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fe870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3300"/>
                <w:sz w:val="52"/>
                <w:szCs w:val="52"/>
              </w:rPr>
              <w:t xml:space="preserve">AiLabs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2d5a1b"/>
                <w:sz w:val="20"/>
                <w:szCs w:val="20"/>
              </w:rPr>
              <w:t xml:space="preserve">Making AI practical for NZ business</w:t>
            </w:r>
          </w:p>
        </w:tc>
      </w:tr>
    </w:tbl>
    <w:p>
      <w:pPr>
        <w:spacing w:after="0" w:before="4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63300"/>
          <w:sz w:val="52"/>
          <w:szCs w:val="52"/>
        </w:rPr>
        <w:t xml:space="preserve">NZ AI Policy Starter Kit</w:t>
      </w:r>
    </w:p>
    <w:p>
      <w:pPr>
        <w:spacing w:after="480" w:before="0"/>
        <w:jc w:val="left"/>
      </w:pPr>
      <w:r>
        <w:rPr>
          <w:rFonts w:ascii="Arial" w:cs="Arial" w:eastAsia="Arial" w:hAnsi="Arial"/>
          <w:b/>
          <w:bCs/>
          <w:color w:val="2d5a1b"/>
          <w:sz w:val="28"/>
          <w:szCs w:val="28"/>
        </w:rPr>
        <w:t xml:space="preserve">Privacy Act 2020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19"/>
                <w:szCs w:val="19"/>
              </w:rPr>
              <w:t xml:space="preserve">Field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1.2 (April 2026)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Compliance Focus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NZ Privacy Act 2020 (incl. IPP 3A, effective 1 May 2024), Human Rights Act 1993, Copyright Act 1994, Consumer Guarantees Act 1993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AiLabs · ailabs.co.nz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Policy Owner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[Insert your name or role]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Next Review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[Insert date]</w:t>
            </w:r>
          </w:p>
        </w:tc>
      </w:tr>
    </w:tbl>
    <w:p>
      <w:pPr>
        <w:spacing w:after="0" w:before="32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fe870" w:sz="24"/>
              <w:bottom w:val="none" w:color="FFFFFF" w:sz="0"/>
              <w:right w:val="none" w:color="FFFFFF" w:sz="0"/>
            </w:tcBorders>
            <w:shd w:fill="F0FAE8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3300"/>
                <w:sz w:val="19"/>
                <w:szCs w:val="19"/>
              </w:rPr>
              <w:t xml:space="preserve">IMPORTANT — Please Read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This document is a template and does not constitute legal advice.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Replace all [placeholder] fields with your organisation's details.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Have the final version reviewed by your legal counsel before use.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9fe87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63300"/>
          <w:sz w:val="26"/>
          <w:szCs w:val="26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policy outlines the acceptable and ethical use of Artificial Intelligence (AI) at [Company Name]. Our goal is to harness AI to drive innovation and efficiency while protecting our clients’ privacy, maintaining data security, upholding fairness, and meeting our obligations under New Zealand law — including the Privacy Act 2020, Human Rights Act 1993, and Copyright Act 1994.</w:t>
      </w:r>
    </w:p>
    <w:p>
      <w:pPr>
        <w:pBdr>
          <w:bottom w:val="single" w:color="9fe87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63300"/>
          <w:sz w:val="26"/>
          <w:szCs w:val="26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policy applies to all employees, contractors, and third-party vendors acting on behalf of [Company Name]. It covers all AI technologies, including Generative AI (e.g., ChatGPT, Claude, Midjourney), specialised machine learning tools, and automated decision-making systems.</w:t>
      </w:r>
    </w:p>
    <w:p>
      <w:pPr>
        <w:pBdr>
          <w:bottom w:val="single" w:color="9fe87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63300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AI System: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 machine-based system that, for explicit or implicit objectives, infers from input how to generate outputs such as predictions, content, recommendations, or decisions that can influence physical or virtual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Generative AI: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 type of AI system that uses machine learning to create new content — text, images, video, music — based on patterns in existing data. Examples: ChatGPT, Claude, Midjourney.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Large Language Model (LLM):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 type of Generative AI designed to process and produce text. LLMs generate outputs based on probability and pattern recognition — not genuine comprehension or conscious thought.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Personal Information: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Any information about an identifiable individual, as defined by the Privacy Act 2020. Includes names, contact details, health information, financial data, and any combination of data that could identify a person.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Sensitive Data: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Information classified as confidential, commercially sensitive, or legally privileged — including client files, trade secrets, and internal financial records.</w:t>
      </w:r>
    </w:p>
    <w:p>
      <w:pPr>
        <w:spacing w:after="0" w:before="80"/>
      </w:pPr>
    </w:p>
    <w:p>
      <w:pPr>
        <w:pBdr>
          <w:bottom w:val="single" w:color="9fe87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63300"/>
          <w:sz w:val="26"/>
          <w:szCs w:val="26"/>
        </w:rPr>
        <w:t xml:space="preserve">4. Core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Transparency: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We are open about when and how we use AI, both internally and with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Human Accountability: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AI assists our work; humans remain responsible for all decisions and outputs. We apply a Human-AI-Human approach — outputs are reviewed before use and monitored throughout their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Privacy First: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Personal information and sensitive data must never be compromised by AI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Fairness &amp; Non-Discrimination: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AI must not be used in a way that unlawfully discriminates or perpetuates systemic bias, in accordance with the Human Rights Act 1993.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Ethical Integrity: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We monitor for bias and ensure AI outputs align with our values and our clients’ interests.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Cultural Safety: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We uphold Te Tiriti o Waitangi and Māori Data Sovereignty principles — see Section 10.</w:t>
      </w:r>
    </w:p>
    <w:p>
      <w:pPr>
        <w:spacing w:after="0" w:before="80"/>
      </w:pPr>
    </w:p>
    <w:p>
      <w:pPr>
        <w:pBdr>
          <w:bottom w:val="single" w:color="9fe87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63300"/>
          <w:sz w:val="26"/>
          <w:szCs w:val="26"/>
        </w:rPr>
        <w:t xml:space="preserve">5. Acceptable Use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tools may be used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Draft internal documentation and summarise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Assist in coding and technical troubleshooting.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Enhance customer service and client engagement.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Brainstorm creative ideas and marketing copy (subject to human review before publishing).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Optimise internal operational workflows and automate repetitive tasks.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63300"/>
          <w:sz w:val="20"/>
          <w:szCs w:val="20"/>
        </w:rPr>
        <w:t xml:space="preserve">Prohibited 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No Personal or Confidential Data: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Never enter personal information (names, emails, addresses, health data), trade secrets, or client-confidential information into public or unsecured AI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No Unverified Output: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AI-generated content must not be published or sent to clients without human review for accuracy, tone, and compliance.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No IP Infringement: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AI must not be used to reproduce, distribute, or adapt copyright-protected material (text, images, trademarks, designs) without authorisation — in accordance with the Copyright Act 1994.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No Discriminatory Use: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AI must not be used to make or inform decisions that unlawfully discriminate against individuals.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Use Fictitious Data for Testing: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When testing AI tools with example scenarios involving people, use generic or fictitious names and details — never real client data.</w:t>
      </w:r>
    </w:p>
    <w:p>
      <w:pPr>
        <w:spacing w:after="0" w:before="80"/>
      </w:pPr>
    </w:p>
    <w:p>
      <w:pPr>
        <w:pBdr>
          <w:bottom w:val="single" w:color="9fe87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63300"/>
          <w:sz w:val="26"/>
          <w:szCs w:val="26"/>
        </w:rPr>
        <w:t xml:space="preserve">6. Tool Selection &amp; Approval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Only AI tools approved by [Policy Owner / IT Lead] are permitted for work-related tasks.</w:t>
      </w:r>
    </w:p>
    <w:p>
      <w:pPr>
        <w:spacing w:after="6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Before approving any tool, confirm: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vendor's privacy policy is compliant with NZ law.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Privacy Impact Assessment (PIA) or Data Protection Impact Assessment (DPIA) has been completed for tools that will handle personal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Data is not used to train the vendor's external models (disable “Training Mode” or equivalent — this prevents your inputs from improving the AI vendor's models).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Data is not transferred outside NZ/Australia without adequate safeguards.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Paid vs. free tools: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Where possible, use paid/enterprise plans (e.g., ChatGPT Team, Claude for Business, Microsoft Copilot). Paid plans typically offer stronger data protection and disable training on your data by default. Note: paying for a tool does not, by itself, mean it meets all ethical or legal standards — the approval checklist above still applies.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[Approved AI Tools: complete this list — e.g., ChatGPT Teams, Claude for Business, Microsoft Copilot]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5a1b"/>
          <w:sz w:val="22"/>
          <w:szCs w:val="22"/>
        </w:rPr>
        <w:t xml:space="preserve">Cross-Border Data Transfers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Many AI tools are hosted in the United States. The Privacy Act 2020 requires that personal information sent offshore is protected to a standard comparable to NZ law. We only use AI tools with a Data Processing Agreement or hosted in jurisdictions with comparable privacy protections (Australia, EU, Canada).</w:t>
      </w:r>
    </w:p>
    <w:p>
      <w:pPr>
        <w:pBdr>
          <w:bottom w:val="single" w:color="9fe87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63300"/>
          <w:sz w:val="26"/>
          <w:szCs w:val="26"/>
        </w:rPr>
        <w:t xml:space="preserve">7. NZ Privacy Act 2020 &amp; IPP 3A Compliance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IPP 3A (indirect collection disclosure) has been in force since 1 May 2024. If your business uses AI to gather or analyse information about individuals from third-party sources, you are already required to comply.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Data collected from third-party sources: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If we gather information about individuals from external sources (e.g., public records, social media, data brokers), we will inform those individuals — at first contact or as soon as practicable — of the collection, its purpose, and their rights under the Privacy 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Automated Decision-Making: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If an AI system plays a material role in a decision that significantly affects a client (e.g., service eligibility, credit assessment), we will inform the client and provide a clear pathway to request human review.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5a1b"/>
          <w:sz w:val="22"/>
          <w:szCs w:val="22"/>
        </w:rPr>
        <w:t xml:space="preserve">Individual Rights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Under the Privacy Act 2020, individuals have the right to access and correct personal information held about them. We will respond to access or correction requests within 20 working days.</w:t>
      </w:r>
    </w:p>
    <w:p>
      <w:pPr>
        <w:pBdr>
          <w:bottom w:val="single" w:color="9fe87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63300"/>
          <w:sz w:val="26"/>
          <w:szCs w:val="26"/>
        </w:rPr>
        <w:t xml:space="preserve">8. Intellectual Property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Content generated by AI while performing duties for [Company Name] is the property of the company.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50% or more of a client deliverable was AI-generated, we will disclose this and explain any relevant limitations.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must not be used to replicate, adapt, or distribute copyright-protected material without authorisation — in accordance with the Copyright Act 1994.</w:t>
      </w:r>
    </w:p>
    <w:p>
      <w:pPr>
        <w:spacing w:after="0" w:before="80"/>
      </w:pPr>
    </w:p>
    <w:p>
      <w:pPr>
        <w:pBdr>
          <w:bottom w:val="single" w:color="9fe87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63300"/>
          <w:sz w:val="26"/>
          <w:szCs w:val="26"/>
        </w:rPr>
        <w:t xml:space="preserve">9. Staff Training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staff who use AI tools must be trained to understand: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capabilities and limitations of the AI tools they use (AI produces probable outputs, not verified facts).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requirements of this policy, including data handling and prohibited uses.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Their individual accountability for AI-assisted work.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Training will be provided during onboarding and refreshed whenever this policy is significantly updated. A record of training completion will be maintained by [Policy Owner].</w:t>
      </w:r>
    </w:p>
    <w:p>
      <w:pPr>
        <w:pBdr>
          <w:bottom w:val="single" w:color="9fe87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63300"/>
          <w:sz w:val="26"/>
          <w:szCs w:val="26"/>
        </w:rPr>
        <w:t xml:space="preserve">10. Māori Data &amp; Te Tiriti Considerations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your work involves Māori data, communities, or outcomes, you must consider your obligations under Te Tiriti o Waitangi and the principles of Māori Data Sovereignty: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Consult with relevant Māori stakeholders or partners before using AI to process or analyse Māori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Consider the cultural significance (tapu and noa) of the data involved.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 aware that Māori communities hold varying and strongly held views on the use of AI with their data — engagement and consent matter.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 guidance, refer to Te Mana Raraunga (the Māori Data Sovereignty Network): </w:t>
      </w:r>
      <w:hyperlink w:history="1" r:id="rIdp08wcbnnvm3wiansgyok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temanararaunga.maori.nz</w:t>
        </w:r>
      </w:hyperlink>
    </w:p>
    <w:p>
      <w:pPr>
        <w:pBdr>
          <w:bottom w:val="single" w:color="9fe87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63300"/>
          <w:sz w:val="26"/>
          <w:szCs w:val="26"/>
        </w:rPr>
        <w:t xml:space="preserve">11. Roles &amp; Accountability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19"/>
                <w:szCs w:val="19"/>
              </w:rPr>
              <w:t xml:space="preserve">Who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[Policy Owner / Business Owner]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[Insert name]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Owns this policy, approves AI tools, ensures compliance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All Staff &amp; Contractors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All team members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Follow this policy; accountable for all AI-assisted work they produce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Managers / Team Leads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[Insert names]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Accountable for their team's compliance and access to approved tools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Failure to comply with this policy may be considered a breach of our Code of Conduct and may result in formal disciplinary action.</w:t>
      </w:r>
    </w:p>
    <w:p>
      <w:pPr>
        <w:pBdr>
          <w:bottom w:val="single" w:color="9fe87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63300"/>
          <w:sz w:val="26"/>
          <w:szCs w:val="26"/>
        </w:rPr>
        <w:t xml:space="preserve">12. Incident Reporting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you suspect that personal information has been disclosed, misused, or compromised through an AI tool — or if you are unsure whether a use of AI complies with this policy — report it immediately to [Policy Owner / Name] at [email or contact].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63300"/>
          <w:sz w:val="20"/>
          <w:szCs w:val="20"/>
        </w:rPr>
        <w:t xml:space="preserve">On confirmed breach: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Immediately restrict further access to the affected tool.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Notify affected individuals as soon as practicable.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Report to the Office of the Privacy Commissioner where required.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Document the incident and implement corrective measures.</w:t>
      </w:r>
    </w:p>
    <w:p>
      <w:pPr>
        <w:spacing w:after="0" w:before="80"/>
      </w:pPr>
    </w:p>
    <w:p>
      <w:pPr>
        <w:pBdr>
          <w:bottom w:val="single" w:color="9fe87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63300"/>
          <w:sz w:val="26"/>
          <w:szCs w:val="26"/>
        </w:rPr>
        <w:t xml:space="preserve">13. Client Disclosure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Where AI plays a significant role in our client-facing services, we will disclose this in our terms of service or directly in our client communications.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Sample disclosure language: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fe870" w:sz="24"/>
              <w:bottom w:val="none" w:color="FFFFFF" w:sz="0"/>
              <w:right w:val="none" w:color="FFFFFF" w:sz="0"/>
            </w:tcBorders>
            <w:shd w:fill="F0FAE8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“[Company Name] uses AI tools to assist in [describe use, e.g., drafting documents, analysing data]. All AI-generated outputs are reviewed by a human team member before delivery. We do not enter your personal information into public AI tools.”</w:t>
            </w:r>
          </w:p>
        </w:tc>
      </w:tr>
    </w:tbl>
    <w:p>
      <w:pPr>
        <w:spacing w:after="0" w:before="80"/>
      </w:pPr>
    </w:p>
    <w:p>
      <w:pPr>
        <w:pBdr>
          <w:bottom w:val="single" w:color="9fe87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63300"/>
          <w:sz w:val="26"/>
          <w:szCs w:val="26"/>
        </w:rPr>
        <w:t xml:space="preserve">14. Consumer Guarantees Act 1993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Our services are provided in a professional manner and warranted to be fit for the purpose agreed with you — in accordance with the Consumer Guarantees Act 1993.</w:t>
      </w:r>
    </w:p>
    <w:p>
      <w:pPr>
        <w:pBdr>
          <w:bottom w:val="single" w:color="9fe87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63300"/>
          <w:sz w:val="26"/>
          <w:szCs w:val="26"/>
        </w:rPr>
        <w:t xml:space="preserve">15. Policy Review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policy will be reviewed every 6 months, or sooner following a significant change in NZ law, AI technology, or our business operations.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19"/>
                <w:szCs w:val="19"/>
              </w:rPr>
              <w:t xml:space="preserve">Field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Next review date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Policy owner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Signed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3300"/>
                <w:sz w:val="19"/>
                <w:szCs w:val="19"/>
              </w:rPr>
              <w:t xml:space="preserve">________________________________</w:t>
            </w:r>
          </w:p>
        </w:tc>
      </w:tr>
    </w:tbl>
    <w:p>
      <w:pPr>
        <w:spacing w:after="0" w:before="480"/>
      </w:pPr>
    </w:p>
    <w:p>
      <w:pPr>
        <w:pBdr>
          <w:top w:val="single" w:color="9fe870" w:sz="4" w:space="4"/>
        </w:pBdr>
        <w:spacing w:after="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Template prepared by </w:t>
      </w:r>
      <w:hyperlink w:history="1" r:id="rIdhlu8m76mgptybq7s_j4da">
        <w:r>
          <w:rPr>
            <w:rStyle w:val="Hyperlink"/>
            <w:rFonts w:ascii="Arial" w:cs="Arial" w:eastAsia="Arial" w:hAnsi="Arial"/>
            <w:b/>
            <w:bCs/>
            <w:sz w:val="18"/>
            <w:szCs w:val="18"/>
          </w:rPr>
          <w:t xml:space="preserve">AiLabs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— Making AI practical for NZ business.</w:t>
      </w:r>
    </w:p>
    <w:sectPr>
      <w:footerReference w:type="default" r:id="rId7"/>
      <w:pgSz w:w="11906" w:h="16838" w:orient="portrait"/>
      <w:pgMar w:top="1440" w:right="1440" w:bottom="16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fe870" w:sz="6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444444"/>
        <w:sz w:val="17"/>
        <w:szCs w:val="17"/>
      </w:rPr>
      <w:t xml:space="preserve">Prepared by AiLabs · ailabs.co.nz · © 2026  </w:t>
    </w:r>
    <w:r>
      <w:rPr>
        <w:rFonts w:ascii="Arial" w:cs="Arial" w:eastAsia="Arial" w:hAnsi="Arial"/>
        <w:color w:val="44444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Default"/>
    <w:rPr>
      <w:color w:val="16330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08wcbnnvm3wiansgyoky" Type="http://schemas.openxmlformats.org/officeDocument/2006/relationships/hyperlink" Target="https://www.temanararaunga.maori.nz/" TargetMode="External"/><Relationship Id="rIdhlu8m76mgptybq7s_j4da" Type="http://schemas.openxmlformats.org/officeDocument/2006/relationships/hyperlink" Target="https://ailabs.co.nz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2026-04-29T02:11:26.338Z</dcterms:created>
  <dcterms:modified xsi:type="dcterms:W3CDTF">2026-04-29T02:11:26.338Z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