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on Excel and Word automation</w:t>
      </w:r>
    </w:p>
    <w:p>
      <w:r>
        <w:t xml:space="preserve">This report will cover how to automate </w:t>
      </w:r>
      <w:r>
        <w:rPr>
          <w:b/>
        </w:rPr>
        <w:t>Excel</w:t>
      </w:r>
      <w:r>
        <w:t xml:space="preserve"> and </w:t>
      </w:r>
      <w:r>
        <w:rPr>
          <w:i/>
        </w:rPr>
        <w:t>Word.</w:t>
      </w:r>
    </w:p>
    <w:p>
      <w:pPr>
        <w:pStyle w:val="Heading1"/>
      </w:pPr>
      <w:r>
        <w:t>Excel automation</w:t>
      </w:r>
    </w:p>
    <w:p>
      <w:pPr>
        <w:pStyle w:val="IntenseQuote"/>
      </w:pPr>
      <w:r>
        <w:t>“Writing code accounts for 90 percent of programming. Debugging code accounts for the other 90 percent.”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5760000" cy="28864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o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648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surface_reelle_bati</w:t>
            </w:r>
          </w:p>
        </w:tc>
        <w:tc>
          <w:tcPr>
            <w:tcW w:type="dxa" w:w="2880"/>
          </w:tcPr>
          <w:p>
            <w:r>
              <w:t>valeur_fonciere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95000.0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545000.0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220000.0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132500.0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590000.0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