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311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25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(d34:2)</w:t>
            </w:r>
          </w:p>
        </w:tc>
        <w:tc>
          <w:trPr/>
          <w:p>
            <w:r>
              <w:t>12</w:t>
            </w:r>
          </w:p>
        </w:tc>
        <w:tc>
          <w:trPr/>
          <w:p>
            <w:r>
              <w:t>0</w:t>
            </w:r>
          </w:p>
        </w:tc>
        <w:tc>
          <w:trPr/>
          <w:p>
            <w:r>
              <w:t>12</w:t>
            </w:r>
          </w:p>
        </w:tc>
        <w:tc>
          <w:trPr/>
          <w:p>
            <w:r>
              <w:t>Yes</w:t>
            </w:r>
          </w:p>
        </w:tc>
      </w:tr>
      <w:tr>
        <w:tc>
          <w:trPr/>
          <w:p>
            <w:r>
              <w:t>LPE (17:1)</w:t>
            </w:r>
          </w:p>
        </w:tc>
        <w:tc>
          <w:trPr/>
          <w:p>
            <w:r>
              <w:t>12</w:t>
            </w:r>
          </w:p>
        </w:tc>
        <w:tc>
          <w:trPr/>
          <w:p>
            <w:r>
              <w:t>0</w:t>
            </w:r>
          </w:p>
        </w:tc>
        <w:tc>
          <w:trPr/>
          <w:p>
            <w:r>
              <w:t>12</w:t>
            </w:r>
          </w:p>
        </w:tc>
        <w:tc>
          <w:trPr/>
          <w:p>
            <w:r>
              <w:t>Yes</w:t>
            </w:r>
          </w:p>
        </w:tc>
      </w:tr>
      <w:tr>
        <w:tc>
          <w:trPr/>
          <w:p>
            <w:r>
              <w:t>SM (d30:1)</w:t>
            </w:r>
          </w:p>
        </w:tc>
        <w:tc>
          <w:trPr/>
          <w:p>
            <w:r>
              <w:t>12</w:t>
            </w:r>
          </w:p>
        </w:tc>
        <w:tc>
          <w:trPr/>
          <w:p>
            <w:r>
              <w:t>0</w:t>
            </w:r>
          </w:p>
        </w:tc>
        <w:tc>
          <w:trPr/>
          <w:p>
            <w:r>
              <w:t>12</w:t>
            </w:r>
          </w:p>
        </w:tc>
        <w:tc>
          <w:trPr/>
          <w:p>
            <w:r>
              <w:t>Yes</w:t>
            </w:r>
          </w:p>
        </w:tc>
      </w:tr>
      <w:tr>
        <w:tc>
          <w:trPr/>
          <w:p>
            <w:r>
              <w:t>SM (d32:0)</w:t>
            </w:r>
          </w:p>
        </w:tc>
        <w:tc>
          <w:trPr/>
          <w:p>
            <w:r>
              <w:t>12</w:t>
            </w:r>
          </w:p>
        </w:tc>
        <w:tc>
          <w:trPr/>
          <w:p>
            <w:r>
              <w:t>0</w:t>
            </w:r>
          </w:p>
        </w:tc>
        <w:tc>
          <w:trPr/>
          <w:p>
            <w:r>
              <w:t>12</w:t>
            </w:r>
          </w:p>
        </w:tc>
        <w:tc>
          <w:trPr/>
          <w:p>
            <w:r>
              <w:t>Yes</w:t>
            </w:r>
          </w:p>
        </w:tc>
      </w:tr>
      <w:tr>
        <w:tc>
          <w:trPr/>
          <w:p>
            <w:r>
              <w:t>Ser-Tyr-Lys</w:t>
            </w:r>
          </w:p>
        </w:tc>
        <w:tc>
          <w:trPr/>
          <w:p>
            <w:r>
              <w:t>12</w:t>
            </w:r>
          </w:p>
        </w:tc>
        <w:tc>
          <w:trPr/>
          <w:p>
            <w:r>
              <w:t>0</w:t>
            </w:r>
          </w:p>
        </w:tc>
        <w:tc>
          <w:trPr/>
          <w:p>
            <w:r>
              <w:t>12</w:t>
            </w:r>
          </w:p>
        </w:tc>
        <w:tc>
          <w:trPr/>
          <w:p>
            <w:r>
              <w:t>Yes</w:t>
            </w:r>
          </w:p>
        </w:tc>
      </w:tr>
      <w:tr>
        <w:tc>
          <w:trPr/>
          <w:p>
            <w:r>
              <w:t>TG (54:3); TG(16:0/18:1/20:2);</w:t>
            </w:r>
          </w:p>
        </w:tc>
        <w:tc>
          <w:trPr/>
          <w:p>
            <w:r>
              <w:t>11</w:t>
            </w:r>
          </w:p>
        </w:tc>
        <w:tc>
          <w:trPr/>
          <w:p>
            <w:r>
              <w:t>0</w:t>
            </w:r>
          </w:p>
        </w:tc>
        <w:tc>
          <w:trPr/>
          <w:p>
            <w:r>
              <w:t>11</w:t>
            </w:r>
          </w:p>
        </w:tc>
        <w:tc>
          <w:trPr/>
          <w:p>
            <w:r>
              <w:t>Yes</w:t>
            </w:r>
          </w:p>
        </w:tc>
      </w:tr>
      <w:tr>
        <w:tc>
          <w:trPr/>
          <w:p>
            <w:r>
              <w:t>3-Chlorotyrosine</w:t>
            </w:r>
          </w:p>
        </w:tc>
        <w:tc>
          <w:trPr/>
          <w:p>
            <w:r>
              <w:t>11</w:t>
            </w:r>
          </w:p>
        </w:tc>
        <w:tc>
          <w:trPr/>
          <w:p>
            <w:r>
              <w:t>0</w:t>
            </w:r>
          </w:p>
        </w:tc>
        <w:tc>
          <w:trPr/>
          <w:p>
            <w:r>
              <w:t>11</w:t>
            </w:r>
          </w:p>
        </w:tc>
        <w:tc>
          <w:trPr/>
          <w:p>
            <w:r>
              <w:t>Yes</w:t>
            </w:r>
          </w:p>
        </w:tc>
      </w:tr>
      <w:tr>
        <w:tc>
          <w:trPr/>
          <w:p>
            <w:r>
              <w:t>SM (d44:2)</w:t>
            </w:r>
          </w:p>
        </w:tc>
        <w:tc>
          <w:trPr/>
          <w:p>
            <w:r>
              <w:t>10</w:t>
            </w:r>
          </w:p>
        </w:tc>
        <w:tc>
          <w:trPr/>
          <w:p>
            <w:r>
              <w:t>0</w:t>
            </w:r>
          </w:p>
        </w:tc>
        <w:tc>
          <w:trPr/>
          <w:p>
            <w:r>
              <w:t>10</w:t>
            </w:r>
          </w:p>
        </w:tc>
        <w:tc>
          <w:trPr/>
          <w:p>
            <w:r>
              <w:t>Yes</w:t>
            </w:r>
          </w:p>
        </w:tc>
      </w:tr>
      <w:tr>
        <w:tc>
          <w:trPr/>
          <w:p>
            <w:r>
              <w:t>TG (56:1)</w:t>
            </w:r>
          </w:p>
        </w:tc>
        <w:tc>
          <w:trPr/>
          <w:p>
            <w:r>
              <w:t>10</w:t>
            </w:r>
          </w:p>
        </w:tc>
        <w:tc>
          <w:trPr/>
          <w:p>
            <w:r>
              <w:t>0</w:t>
            </w:r>
          </w:p>
        </w:tc>
        <w:tc>
          <w:trPr/>
          <w:p>
            <w:r>
              <w:t>10</w:t>
            </w:r>
          </w:p>
        </w:tc>
        <w:tc>
          <w:trPr/>
          <w:p>
            <w:r>
              <w:t>Yes</w:t>
            </w:r>
          </w:p>
        </w:tc>
      </w:tr>
      <w:tr>
        <w:tc>
          <w:trPr/>
          <w:p>
            <w:r>
              <w:t>Acylcarnitine (20:3)</w:t>
            </w:r>
          </w:p>
        </w:tc>
        <w:tc>
          <w:trPr/>
          <w:p>
            <w:r>
              <w:t>9</w:t>
            </w:r>
          </w:p>
        </w:tc>
        <w:tc>
          <w:trPr/>
          <w:p>
            <w:r>
              <w:t>0</w:t>
            </w:r>
          </w:p>
        </w:tc>
        <w:tc>
          <w:trPr/>
          <w:p>
            <w:r>
              <w:t>9</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Transformation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Transformations are nonlinear conversions of the data like, for instance, the log transformation and the power transformation. Transformations are generally applied to correct for heteroscedasticity, to convert multiplicative relations into additive relations, and to make skewed distributions (more) symmetric. In biology, relations between variables are not necessarily additive but can also be multiplicative. A transformation is then necessary to identify such a relation with linear techniques.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log2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Either generalized log2, generalized log10, square root, cubic root, and boxcox-transformation. When the Box-Cox transformation is selected, the treatment group must be provided.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transformed using log2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columns: the samples.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rows: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this dataset can be further used for other statistical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Ahcy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Ahcy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412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57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Ahcy</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309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Ahcy divided by the median average of Null. A fold change greater than 1 indicates a increasing from Null to Ahcy.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hippuric acid</w:t>
            </w:r>
          </w:p>
        </w:tc>
        <w:tc>
          <w:trPr/>
          <w:p>
            <w:r>
              <w:t>6.558511</w:t>
            </w:r>
          </w:p>
        </w:tc>
      </w:tr>
      <w:tr>
        <w:tc>
          <w:trPr/>
          <w:p>
            <w:r>
              <w:t>Methenamine</w:t>
            </w:r>
          </w:p>
        </w:tc>
        <w:tc>
          <w:trPr/>
          <w:p>
            <w:r>
              <w:t>5.395359</w:t>
            </w:r>
          </w:p>
        </w:tc>
      </w:tr>
      <w:tr>
        <w:tc>
          <w:trPr/>
          <w:p>
            <w:r>
              <w:t>(2-oxo-2,3-dihydro-1H-indol-3-yl)acetic acid</w:t>
            </w:r>
          </w:p>
        </w:tc>
        <w:tc>
          <w:trPr/>
          <w:p>
            <w:r>
              <w:t>3.738288</w:t>
            </w:r>
          </w:p>
        </w:tc>
      </w:tr>
      <w:tr>
        <w:tc>
          <w:trPr/>
          <w:p>
            <w:r>
              <w:t>12-Ketodeoxycholic acid</w:t>
            </w:r>
          </w:p>
        </w:tc>
        <w:tc>
          <w:trPr/>
          <w:p>
            <w:r>
              <w:t>3.213139</w:t>
            </w:r>
          </w:p>
        </w:tc>
      </w:tr>
      <w:tr>
        <w:tc>
          <w:trPr/>
          <w:p>
            <w:r>
              <w:t>3.beta.-Hydroxy-5-cholenoic acid</w:t>
            </w:r>
          </w:p>
        </w:tc>
        <w:tc>
          <w:trPr/>
          <w:p>
            <w:r>
              <w:t>3.119557</w:t>
            </w:r>
          </w:p>
        </w:tc>
      </w:tr>
      <w:tr>
        <w:tc>
          <w:trPr/>
          <w:p>
            <w:r>
              <w:t>Deoxycholic acid</w:t>
            </w:r>
          </w:p>
        </w:tc>
        <w:tc>
          <w:trPr/>
          <w:p>
            <w:r>
              <w:t>3.069763</w:t>
            </w:r>
          </w:p>
        </w:tc>
      </w:tr>
      <w:tr>
        <w:tc>
          <w:trPr/>
          <w:p>
            <w:r>
              <w:t>Thromboxane B2</w:t>
            </w:r>
          </w:p>
        </w:tc>
        <w:tc>
          <w:trPr/>
          <w:p>
            <w:r>
              <w:t>2.939619</w:t>
            </w:r>
          </w:p>
        </w:tc>
      </w:tr>
      <w:tr>
        <w:tc>
          <w:trPr/>
          <w:p>
            <w:r>
              <w:t>indoxyl sulfate</w:t>
            </w:r>
          </w:p>
        </w:tc>
        <w:tc>
          <w:trPr/>
          <w:p>
            <w:r>
              <w:t>2.847252</w:t>
            </w:r>
          </w:p>
        </w:tc>
      </w:tr>
      <w:tr>
        <w:tc>
          <w:trPr/>
          <w:p>
            <w:r>
              <w:t>Tris(2-butoxyethyl) phosphate</w:t>
            </w:r>
          </w:p>
        </w:tc>
        <w:tc>
          <w:trPr/>
          <w:p>
            <w:r>
              <w:t>2.814150</w:t>
            </w:r>
          </w:p>
        </w:tc>
      </w:tr>
      <w:tr>
        <w:tc>
          <w:trPr/>
          <w:p>
            <w:r>
              <w:t>Phe-Arg</w:t>
            </w:r>
          </w:p>
        </w:tc>
        <w:tc>
          <w:trPr/>
          <w:p>
            <w:r>
              <w:t>2.813110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Ahcy).</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3-(3-hydroxyphenyl)propionic acid</w:t>
            </w:r>
          </w:p>
        </w:tc>
        <w:tc>
          <w:trPr/>
          <w:p>
            <w:r>
              <w:t>0.1197801</w:t>
            </w:r>
          </w:p>
        </w:tc>
      </w:tr>
      <w:tr>
        <w:tc>
          <w:trPr/>
          <w:p>
            <w:r>
              <w:t>2,8-Quinolinediol</w:t>
            </w:r>
          </w:p>
        </w:tc>
        <w:tc>
          <w:trPr/>
          <w:p>
            <w:r>
              <w:t>0.1619045</w:t>
            </w:r>
          </w:p>
        </w:tc>
      </w:tr>
      <w:tr>
        <w:tc>
          <w:trPr/>
          <w:p>
            <w:r>
              <w:t>Genipin</w:t>
            </w:r>
          </w:p>
        </w:tc>
        <w:tc>
          <w:trPr/>
          <w:p>
            <w:r>
              <w:t>0.1824675</w:t>
            </w:r>
          </w:p>
        </w:tc>
      </w:tr>
      <w:tr>
        <w:tc>
          <w:trPr/>
          <w:p>
            <w:r>
              <w:t>CE (22:1)</w:t>
            </w:r>
          </w:p>
        </w:tc>
        <w:tc>
          <w:trPr/>
          <w:p>
            <w:r>
              <w:t>0.3155378</w:t>
            </w:r>
          </w:p>
        </w:tc>
      </w:tr>
      <w:tr>
        <w:tc>
          <w:trPr/>
          <w:p>
            <w:r>
              <w:t>beta-Muricholic acid</w:t>
            </w:r>
          </w:p>
        </w:tc>
        <w:tc>
          <w:trPr/>
          <w:p>
            <w:r>
              <w:t>0.3159628</w:t>
            </w:r>
          </w:p>
        </w:tc>
      </w:tr>
      <w:tr>
        <w:tc>
          <w:trPr/>
          <w:p>
            <w:r>
              <w:t>Adenosine</w:t>
            </w:r>
          </w:p>
        </w:tc>
        <w:tc>
          <w:trPr/>
          <w:p>
            <w:r>
              <w:t>0.3276734</w:t>
            </w:r>
          </w:p>
        </w:tc>
      </w:tr>
      <w:tr>
        <w:tc>
          <w:trPr/>
          <w:p>
            <w:r>
              <w:t>g-Muricholic acid</w:t>
            </w:r>
          </w:p>
        </w:tc>
        <w:tc>
          <w:trPr/>
          <w:p>
            <w:r>
              <w:t>0.3989510</w:t>
            </w:r>
          </w:p>
        </w:tc>
      </w:tr>
      <w:tr>
        <w:tc>
          <w:trPr/>
          <w:p>
            <w:r>
              <w:t>Glutathione (reduced)</w:t>
            </w:r>
          </w:p>
        </w:tc>
        <w:tc>
          <w:trPr/>
          <w:p>
            <w:r>
              <w:t>0.4156697</w:t>
            </w:r>
          </w:p>
        </w:tc>
      </w:tr>
      <w:tr>
        <w:tc>
          <w:trPr/>
          <w:p>
            <w:r>
              <w:t>TG (48:2)</w:t>
            </w:r>
          </w:p>
        </w:tc>
        <w:tc>
          <w:trPr/>
          <w:p>
            <w:r>
              <w:t>0.4292475</w:t>
            </w:r>
          </w:p>
        </w:tc>
      </w:tr>
      <w:tr>
        <w:tc>
          <w:trPr/>
          <w:p>
            <w:r>
              <w:t>Nicotinamide</w:t>
            </w:r>
          </w:p>
        </w:tc>
        <w:tc>
          <w:trPr/>
          <w:p>
            <w:r>
              <w:t>0.4709603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Ahcy).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Ahcy</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3,6-anhydro-D-galactose</w:t>
            </w:r>
          </w:p>
        </w:tc>
        <w:tc>
          <w:trPr/>
          <w:p>
            <w:r>
              <w:t>0.0000780974</w:t>
            </w:r>
          </w:p>
        </w:tc>
        <w:tc>
          <w:trPr/>
          <w:p>
            <w:r>
              <w:t>0.05630822</w:t>
            </w:r>
          </w:p>
        </w:tc>
      </w:tr>
      <w:tr>
        <w:tc>
          <w:trPr/>
          <w:p>
            <w:r>
              <w:t>2,8-Quinolinediol</w:t>
            </w:r>
          </w:p>
        </w:tc>
        <w:tc>
          <w:trPr/>
          <w:p>
            <w:r>
              <w:t>0.0004544638</w:t>
            </w:r>
          </w:p>
        </w:tc>
        <w:tc>
          <w:trPr/>
          <w:p>
            <w:r>
              <w:t>0.15094209</w:t>
            </w:r>
          </w:p>
        </w:tc>
      </w:tr>
      <w:tr>
        <w:tc>
          <w:trPr/>
          <w:p>
            <w:r>
              <w:t>Nicotinamide</w:t>
            </w:r>
          </w:p>
        </w:tc>
        <w:tc>
          <w:trPr/>
          <w:p>
            <w:r>
              <w:t>0.0006280531</w:t>
            </w:r>
          </w:p>
        </w:tc>
        <w:tc>
          <w:trPr/>
          <w:p>
            <w:r>
              <w:t>0.15094209</w:t>
            </w:r>
          </w:p>
        </w:tc>
      </w:tr>
      <w:tr>
        <w:tc>
          <w:trPr/>
          <w:p>
            <w:r>
              <w:t>glycerol-3-galactoside</w:t>
            </w:r>
          </w:p>
        </w:tc>
        <w:tc>
          <w:trPr/>
          <w:p>
            <w:r>
              <w:t>0.0016066059</w:t>
            </w:r>
          </w:p>
        </w:tc>
        <w:tc>
          <w:trPr/>
          <w:p>
            <w:r>
              <w:t>0.27538478</w:t>
            </w:r>
          </w:p>
        </w:tc>
      </w:tr>
      <w:tr>
        <w:tc>
          <w:trPr/>
          <w:p>
            <w:r>
              <w:t>N-gamma-Acetyl-N-2-formyl-5-methoxykynurenamine</w:t>
            </w:r>
          </w:p>
        </w:tc>
        <w:tc>
          <w:trPr/>
          <w:p>
            <w:r>
              <w:t>0.0019097419</w:t>
            </w:r>
          </w:p>
        </w:tc>
        <w:tc>
          <w:trPr/>
          <w:p>
            <w:r>
              <w:t>0.27538478</w:t>
            </w:r>
          </w:p>
        </w:tc>
      </w:tr>
      <w:tr>
        <w:tc>
          <w:trPr/>
          <w:p>
            <w:r>
              <w:t>hippuric acid</w:t>
            </w:r>
          </w:p>
        </w:tc>
        <w:tc>
          <w:trPr/>
          <w:p>
            <w:r>
              <w:t>0.0036048302</w:t>
            </w:r>
          </w:p>
        </w:tc>
        <w:tc>
          <w:trPr/>
          <w:p>
            <w:r>
              <w:t>0.43014180</w:t>
            </w:r>
          </w:p>
        </w:tc>
      </w:tr>
      <w:tr>
        <w:tc>
          <w:trPr/>
          <w:p>
            <w:r>
              <w:t>15-Deoxy-.DELTA.12,14-prostaglandin J2</w:t>
            </w:r>
          </w:p>
        </w:tc>
        <w:tc>
          <w:trPr/>
          <w:p>
            <w:r>
              <w:t>0.0041761340</w:t>
            </w:r>
          </w:p>
        </w:tc>
        <w:tc>
          <w:trPr/>
          <w:p>
            <w:r>
              <w:t>0.43014180</w:t>
            </w:r>
          </w:p>
        </w:tc>
      </w:tr>
      <w:tr>
        <w:tc>
          <w:trPr/>
          <w:p>
            <w:r>
              <w:t>Propionylcarnitine</w:t>
            </w:r>
          </w:p>
        </w:tc>
        <w:tc>
          <w:trPr/>
          <w:p>
            <w:r>
              <w:t>0.0063536840</w:t>
            </w:r>
          </w:p>
        </w:tc>
        <w:tc>
          <w:trPr/>
          <w:p>
            <w:r>
              <w:t>0.57262577</w:t>
            </w:r>
          </w:p>
        </w:tc>
      </w:tr>
      <w:tr>
        <w:tc>
          <w:trPr/>
          <w:p>
            <w:r>
              <w:t>Bicyclo[2.2.1]heptane-2-methanol</w:t>
            </w:r>
          </w:p>
        </w:tc>
        <w:tc>
          <w:trPr/>
          <w:p>
            <w:r>
              <w:t>0.0076745400</w:t>
            </w:r>
          </w:p>
        </w:tc>
        <w:tc>
          <w:trPr/>
          <w:p>
            <w:r>
              <w:t>0.60653793</w:t>
            </w:r>
          </w:p>
        </w:tc>
      </w:tr>
      <w:tr>
        <w:tc>
          <w:trPr/>
          <w:p>
            <w:r>
              <w:t>glycerol</w:t>
            </w:r>
          </w:p>
        </w:tc>
        <w:tc>
          <w:trPr/>
          <w:p>
            <w:r>
              <w:t>0.0090548810</w:t>
            </w:r>
          </w:p>
        </w:tc>
        <w:tc>
          <w:trPr/>
          <w:p>
            <w:r>
              <w:t>0.60653793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Student t-test -&gt; Fold Change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4, Figure 5 and Figure 6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4),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NaN%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PLSDA -&gt; perm_plot.svg -- vip_plot.svg -- scree_plot.svg -- loading_plot.svg -- score_plot.svg -- vip_data.csv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Genotype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9, the model achieves the highest Q2 score. In this model, the R2X (variances explained), R2Y, and Q2 (cum) is 5.8042,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7, Figure 8 and Figure 9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7),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100 permutations was performed on 9 components (which achieved the highest Q2 score). The p-value of the R2Y is 1, while the Q2 (cum) is 0.4.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11: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Adata -&gt; Missing Value Imputation -&gt; Data Transformation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Adata -&gt; Missing Value Imputation -&gt; Data Transformation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12 samples and 36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Figure12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608576"/>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81280" cy="64008"/>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the heatmap of the dataset with Auto Scaling.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Boxplots are good ways to visualize and compare compounds among different samples. A boxplot graphically depicts a vector through its five-number summary. The edges of the box represent the lower and upper quartiles while the whiskers represent the minimum and maximum values. The median is displayed as a line within the box. Outliers are represented as symbols outside of the whiskers. More information is available on https://www.nature.com/articles/nmeth.2813.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Adata -&gt; Missing Value Imputation -&gt; Data Transformation -&gt; Significant Compounds Only -&gt; Boxplot -&gt; boxplot_plot.zip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Ahcy,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 for each compound were generated and saved in a zip file.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Ahcy,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example boxplot is shown in Figure 14.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14: an example of boxplot.</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6d042e2f2ad.png"/><Relationship Id="rId9" Type="http://schemas.openxmlformats.org/officeDocument/2006/relationships/image" Target="media/file36d08feba96.png"/><Relationship Id="rId10" Type="http://schemas.openxmlformats.org/officeDocument/2006/relationships/image" Target="media/file36d04c9a6204.png"/><Relationship Id="rId11" Type="http://schemas.openxmlformats.org/officeDocument/2006/relationships/image" Target="media/file36d0159fae5e.png"/><Relationship Id="rId12" Type="http://schemas.openxmlformats.org/officeDocument/2006/relationships/image" Target="media/file36d031926566.png"/><Relationship Id="rId13" Type="http://schemas.openxmlformats.org/officeDocument/2006/relationships/image" Target="media/file36d013cf1fbf.png"/><Relationship Id="rId14" Type="http://schemas.openxmlformats.org/officeDocument/2006/relationships/image" Target="media/file36d068ef16b0.png"/><Relationship Id="rId15" Type="http://schemas.openxmlformats.org/officeDocument/2006/relationships/image" Target="media/file36d039380f6a.png"/><Relationship Id="rId16" Type="http://schemas.openxmlformats.org/officeDocument/2006/relationships/image" Target="media/file36d0539c4af5.png"/><Relationship Id="rId17" Type="http://schemas.openxmlformats.org/officeDocument/2006/relationships/image" Target="media/file36d0cd75249.png"/><Relationship Id="rId18" Type="http://schemas.openxmlformats.org/officeDocument/2006/relationships/image" Target="media/file36d05c299b44.png"/><Relationship Id="rId19" Type="http://schemas.openxmlformats.org/officeDocument/2006/relationships/image" Target="media/file36d070df7e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2019-08-28T04:55:00Z</dcterms:modified>
  <cp:category/>
</cp:coreProperties>
</file>