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-&gt;e.csv</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Two-way Boxplots: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boxplots were generated for all the compounds. The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samples were grouped by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fake_two_group and two_groups</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factor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fake_two_group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distinguished by the colors.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fake_two_group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has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levels,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Control MHC, MHC</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while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two_groups</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has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levels,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 B</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An example boxplot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1th xylose.svg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given in the 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04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42333"/>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2, an example boxplot: 1th xylose.svg.</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Arial" w:hAnsi="Arial" w:eastAsia="Arial" w:cs="Arial"/>
          <w:i/>
          <w:sz w:val="16"/>
          <w:szCs w:val="16"/>
          <w:color w:val="000000"/>
        </w:rPr>
        <w:t xml:space="preserve">For the purpose of publication and presentations, MetDA outputs graphics as .svg format. The .svg is vector graphics format, meaning the picture won't get blurred when zoomed out. It can also be easily converted to other formats like .png, .eps and .pdf using online tools. Multiple applications, including Chrome, IE, Inkscape, can open 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file: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-&gt;Boxplot-&gt;boxplot_plot.zip</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2be443f3db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2019-08-08T12:14:38Z</dcterms:modified>
  <cp:category/>
</cp:coreProperties>
</file>