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2A3E19" w14:textId="448D8EB2" w:rsidR="00C53D27" w:rsidRPr="00E030B5" w:rsidRDefault="0025410D">
      <w:pPr>
        <w:rPr>
          <w:rFonts w:ascii="Times New Roman" w:hAnsi="Times New Roman" w:cs="Times New Roman"/>
          <w:b/>
          <w:i/>
        </w:rPr>
      </w:pPr>
      <w:r w:rsidRPr="00E030B5">
        <w:rPr>
          <w:rFonts w:ascii="Times New Roman" w:hAnsi="Times New Roman" w:cs="Times New Roman"/>
          <w:b/>
        </w:rPr>
        <w:t xml:space="preserve">Nutrient enrichment and </w:t>
      </w:r>
      <w:r w:rsidR="00B43CA0" w:rsidRPr="00E030B5">
        <w:rPr>
          <w:rFonts w:ascii="Times New Roman" w:hAnsi="Times New Roman" w:cs="Times New Roman"/>
          <w:b/>
        </w:rPr>
        <w:t>associational</w:t>
      </w:r>
      <w:r w:rsidRPr="00E030B5">
        <w:rPr>
          <w:rFonts w:ascii="Times New Roman" w:hAnsi="Times New Roman" w:cs="Times New Roman"/>
          <w:b/>
        </w:rPr>
        <w:t xml:space="preserve"> effects impact variability in herbivory and herbivore growth of the generalist </w:t>
      </w:r>
      <w:r w:rsidRPr="00E030B5">
        <w:rPr>
          <w:rFonts w:ascii="Times New Roman" w:hAnsi="Times New Roman" w:cs="Times New Roman"/>
          <w:b/>
          <w:i/>
        </w:rPr>
        <w:t xml:space="preserve">Spodoptera </w:t>
      </w:r>
      <w:proofErr w:type="spellStart"/>
      <w:r w:rsidRPr="00E030B5">
        <w:rPr>
          <w:rFonts w:ascii="Times New Roman" w:hAnsi="Times New Roman" w:cs="Times New Roman"/>
          <w:b/>
          <w:i/>
        </w:rPr>
        <w:t>exigua</w:t>
      </w:r>
      <w:proofErr w:type="spellEnd"/>
      <w:r w:rsidRPr="00E030B5">
        <w:rPr>
          <w:rFonts w:ascii="Times New Roman" w:hAnsi="Times New Roman" w:cs="Times New Roman"/>
          <w:b/>
        </w:rPr>
        <w:t xml:space="preserve"> on the crop </w:t>
      </w:r>
      <w:r w:rsidRPr="00E030B5">
        <w:rPr>
          <w:rFonts w:ascii="Times New Roman" w:hAnsi="Times New Roman" w:cs="Times New Roman"/>
          <w:b/>
          <w:i/>
        </w:rPr>
        <w:t>Brassica oleracea</w:t>
      </w:r>
    </w:p>
    <w:p w14:paraId="059CFF4E" w14:textId="4B72AA52" w:rsidR="00C53D27" w:rsidRPr="00E030B5" w:rsidRDefault="00E030B5">
      <w:pPr>
        <w:rPr>
          <w:rFonts w:ascii="Times New Roman" w:hAnsi="Times New Roman" w:cs="Times New Roman"/>
        </w:rPr>
      </w:pPr>
      <w:r>
        <w:rPr>
          <w:rFonts w:ascii="Times New Roman" w:hAnsi="Times New Roman" w:cs="Times New Roman"/>
        </w:rPr>
        <w:t>Stacey L. Halpern</w:t>
      </w:r>
      <w:r>
        <w:rPr>
          <w:rFonts w:ascii="Times New Roman" w:hAnsi="Times New Roman" w:cs="Times New Roman"/>
          <w:vertAlign w:val="superscript"/>
        </w:rPr>
        <w:t>1</w:t>
      </w:r>
      <w:r>
        <w:rPr>
          <w:rFonts w:ascii="Times New Roman" w:hAnsi="Times New Roman" w:cs="Times New Roman"/>
        </w:rPr>
        <w:t xml:space="preserve">, </w:t>
      </w:r>
      <w:commentRangeStart w:id="0"/>
      <w:r w:rsidR="0025410D" w:rsidRPr="00E030B5">
        <w:rPr>
          <w:rFonts w:ascii="Times New Roman" w:hAnsi="Times New Roman" w:cs="Times New Roman"/>
        </w:rPr>
        <w:t>Alissa Cole</w:t>
      </w:r>
      <w:r w:rsidR="0025410D" w:rsidRPr="00E030B5">
        <w:rPr>
          <w:rFonts w:ascii="Times New Roman" w:hAnsi="Times New Roman" w:cs="Times New Roman"/>
          <w:vertAlign w:val="superscript"/>
        </w:rPr>
        <w:t>1</w:t>
      </w:r>
      <w:r w:rsidR="0025410D" w:rsidRPr="00E030B5">
        <w:rPr>
          <w:rFonts w:ascii="Times New Roman" w:hAnsi="Times New Roman" w:cs="Times New Roman"/>
        </w:rPr>
        <w:t>, Mason Hoskins</w:t>
      </w:r>
      <w:r w:rsidR="0025410D" w:rsidRPr="00E030B5">
        <w:rPr>
          <w:rFonts w:ascii="Times New Roman" w:hAnsi="Times New Roman" w:cs="Times New Roman"/>
          <w:vertAlign w:val="superscript"/>
        </w:rPr>
        <w:t>1</w:t>
      </w:r>
      <w:r w:rsidR="0025410D" w:rsidRPr="00E030B5">
        <w:rPr>
          <w:rFonts w:ascii="Times New Roman" w:hAnsi="Times New Roman" w:cs="Times New Roman"/>
        </w:rPr>
        <w:t xml:space="preserve">, </w:t>
      </w:r>
      <w:proofErr w:type="spellStart"/>
      <w:r w:rsidR="0025410D" w:rsidRPr="00E030B5">
        <w:rPr>
          <w:rFonts w:ascii="Times New Roman" w:hAnsi="Times New Roman" w:cs="Times New Roman"/>
        </w:rPr>
        <w:t>Nahaku</w:t>
      </w:r>
      <w:proofErr w:type="spellEnd"/>
      <w:r w:rsidR="0025410D" w:rsidRPr="00E030B5">
        <w:rPr>
          <w:rFonts w:ascii="Times New Roman" w:hAnsi="Times New Roman" w:cs="Times New Roman"/>
        </w:rPr>
        <w:t xml:space="preserve"> Kekauoha</w:t>
      </w:r>
      <w:r w:rsidR="0025410D" w:rsidRPr="00E030B5">
        <w:rPr>
          <w:rFonts w:ascii="Times New Roman" w:hAnsi="Times New Roman" w:cs="Times New Roman"/>
          <w:vertAlign w:val="superscript"/>
        </w:rPr>
        <w:t>1</w:t>
      </w:r>
      <w:commentRangeEnd w:id="0"/>
      <w:r>
        <w:rPr>
          <w:rStyle w:val="CommentReference"/>
        </w:rPr>
        <w:commentReference w:id="0"/>
      </w:r>
      <w:r w:rsidR="0025410D" w:rsidRPr="00E030B5">
        <w:rPr>
          <w:rFonts w:ascii="Times New Roman" w:hAnsi="Times New Roman" w:cs="Times New Roman"/>
        </w:rPr>
        <w:t xml:space="preserve">, </w:t>
      </w:r>
      <w:commentRangeStart w:id="1"/>
      <w:proofErr w:type="spellStart"/>
      <w:r w:rsidR="0025410D" w:rsidRPr="00E030B5">
        <w:rPr>
          <w:rFonts w:ascii="Times New Roman" w:hAnsi="Times New Roman" w:cs="Times New Roman"/>
        </w:rPr>
        <w:t>Shaznae</w:t>
      </w:r>
      <w:proofErr w:type="spellEnd"/>
      <w:r w:rsidR="0025410D" w:rsidRPr="00E030B5">
        <w:rPr>
          <w:rFonts w:ascii="Times New Roman" w:hAnsi="Times New Roman" w:cs="Times New Roman"/>
        </w:rPr>
        <w:t xml:space="preserve"> Marsh</w:t>
      </w:r>
      <w:r w:rsidR="0025410D" w:rsidRPr="00E030B5">
        <w:rPr>
          <w:rFonts w:ascii="Times New Roman" w:hAnsi="Times New Roman" w:cs="Times New Roman"/>
          <w:vertAlign w:val="superscript"/>
        </w:rPr>
        <w:t>2</w:t>
      </w:r>
      <w:r w:rsidR="0025410D" w:rsidRPr="00E030B5">
        <w:rPr>
          <w:rFonts w:ascii="Times New Roman" w:hAnsi="Times New Roman" w:cs="Times New Roman"/>
        </w:rPr>
        <w:t xml:space="preserve">, </w:t>
      </w:r>
      <w:commentRangeEnd w:id="1"/>
      <w:r>
        <w:rPr>
          <w:rStyle w:val="CommentReference"/>
        </w:rPr>
        <w:commentReference w:id="1"/>
      </w:r>
      <w:r w:rsidR="0025410D" w:rsidRPr="00E030B5">
        <w:rPr>
          <w:rFonts w:ascii="Times New Roman" w:hAnsi="Times New Roman" w:cs="Times New Roman"/>
        </w:rPr>
        <w:t>Marley Shouldice</w:t>
      </w:r>
      <w:r w:rsidR="0025410D" w:rsidRPr="00E030B5">
        <w:rPr>
          <w:rFonts w:ascii="Times New Roman" w:hAnsi="Times New Roman" w:cs="Times New Roman"/>
          <w:vertAlign w:val="superscript"/>
        </w:rPr>
        <w:t>2</w:t>
      </w:r>
      <w:r w:rsidR="0025410D" w:rsidRPr="00E030B5">
        <w:rPr>
          <w:rFonts w:ascii="Times New Roman" w:hAnsi="Times New Roman" w:cs="Times New Roman"/>
        </w:rPr>
        <w:t>,</w:t>
      </w:r>
      <w:commentRangeStart w:id="2"/>
      <w:r w:rsidR="0025410D" w:rsidRPr="00E030B5">
        <w:rPr>
          <w:rFonts w:ascii="Times New Roman" w:hAnsi="Times New Roman" w:cs="Times New Roman"/>
        </w:rPr>
        <w:t xml:space="preserve"> Jessie Mutz</w:t>
      </w:r>
      <w:r w:rsidR="0025410D" w:rsidRPr="00E030B5">
        <w:rPr>
          <w:rFonts w:ascii="Times New Roman" w:hAnsi="Times New Roman" w:cs="Times New Roman"/>
          <w:vertAlign w:val="superscript"/>
        </w:rPr>
        <w:t>2</w:t>
      </w:r>
      <w:r w:rsidR="0025410D" w:rsidRPr="00E030B5">
        <w:rPr>
          <w:rFonts w:ascii="Times New Roman" w:hAnsi="Times New Roman" w:cs="Times New Roman"/>
        </w:rPr>
        <w:t>, Brian D. Inouye</w:t>
      </w:r>
      <w:r w:rsidR="0025410D" w:rsidRPr="00E030B5">
        <w:rPr>
          <w:rFonts w:ascii="Times New Roman" w:hAnsi="Times New Roman" w:cs="Times New Roman"/>
          <w:vertAlign w:val="superscript"/>
        </w:rPr>
        <w:t>2</w:t>
      </w:r>
      <w:r w:rsidR="0025410D" w:rsidRPr="00E030B5">
        <w:rPr>
          <w:rFonts w:ascii="Times New Roman" w:hAnsi="Times New Roman" w:cs="Times New Roman"/>
        </w:rPr>
        <w:t>, and Nora Underwood</w:t>
      </w:r>
      <w:r w:rsidR="0025410D" w:rsidRPr="00E030B5">
        <w:rPr>
          <w:rFonts w:ascii="Times New Roman" w:hAnsi="Times New Roman" w:cs="Times New Roman"/>
          <w:vertAlign w:val="superscript"/>
        </w:rPr>
        <w:t>2</w:t>
      </w:r>
      <w:commentRangeEnd w:id="2"/>
      <w:r>
        <w:rPr>
          <w:rStyle w:val="CommentReference"/>
        </w:rPr>
        <w:commentReference w:id="2"/>
      </w:r>
    </w:p>
    <w:p w14:paraId="72FB0BFB" w14:textId="77777777" w:rsidR="00C53D27" w:rsidRPr="00E030B5" w:rsidRDefault="0025410D">
      <w:pPr>
        <w:rPr>
          <w:rFonts w:ascii="Times New Roman" w:hAnsi="Times New Roman" w:cs="Times New Roman"/>
        </w:rPr>
      </w:pPr>
      <w:r w:rsidRPr="00E030B5">
        <w:rPr>
          <w:rFonts w:ascii="Times New Roman" w:hAnsi="Times New Roman" w:cs="Times New Roman"/>
          <w:vertAlign w:val="superscript"/>
        </w:rPr>
        <w:t>1</w:t>
      </w:r>
      <w:r w:rsidRPr="00E030B5">
        <w:rPr>
          <w:rFonts w:ascii="Times New Roman" w:hAnsi="Times New Roman" w:cs="Times New Roman"/>
        </w:rPr>
        <w:t xml:space="preserve">Pacific University, </w:t>
      </w:r>
      <w:r w:rsidRPr="00E030B5">
        <w:rPr>
          <w:rFonts w:ascii="Times New Roman" w:hAnsi="Times New Roman" w:cs="Times New Roman"/>
          <w:vertAlign w:val="superscript"/>
        </w:rPr>
        <w:t>2</w:t>
      </w:r>
      <w:r w:rsidRPr="00E030B5">
        <w:rPr>
          <w:rFonts w:ascii="Times New Roman" w:hAnsi="Times New Roman" w:cs="Times New Roman"/>
        </w:rPr>
        <w:t>Florida State University</w:t>
      </w:r>
    </w:p>
    <w:p w14:paraId="24078250" w14:textId="6D57D33A" w:rsidR="00C53D27" w:rsidRPr="00E030B5" w:rsidRDefault="0025410D">
      <w:pPr>
        <w:pStyle w:val="Heading2"/>
        <w:rPr>
          <w:rFonts w:ascii="Times New Roman" w:hAnsi="Times New Roman" w:cs="Times New Roman"/>
        </w:rPr>
      </w:pPr>
      <w:bookmarkStart w:id="3" w:name="_6om90wxxo13w" w:colFirst="0" w:colLast="0"/>
      <w:bookmarkEnd w:id="3"/>
      <w:r w:rsidRPr="00E030B5">
        <w:rPr>
          <w:rFonts w:ascii="Times New Roman" w:hAnsi="Times New Roman" w:cs="Times New Roman"/>
        </w:rPr>
        <w:t>Abstract</w:t>
      </w:r>
    </w:p>
    <w:p w14:paraId="78A304DC" w14:textId="77777777" w:rsidR="00C53D27" w:rsidRPr="00E030B5" w:rsidRDefault="0025410D">
      <w:pPr>
        <w:pStyle w:val="Heading2"/>
        <w:rPr>
          <w:rFonts w:ascii="Times New Roman" w:hAnsi="Times New Roman" w:cs="Times New Roman"/>
        </w:rPr>
      </w:pPr>
      <w:bookmarkStart w:id="4" w:name="_2scuenbbn3" w:colFirst="0" w:colLast="0"/>
      <w:bookmarkEnd w:id="4"/>
      <w:r w:rsidRPr="00E030B5">
        <w:rPr>
          <w:rFonts w:ascii="Times New Roman" w:hAnsi="Times New Roman" w:cs="Times New Roman"/>
        </w:rPr>
        <w:t>Introduction</w:t>
      </w:r>
    </w:p>
    <w:p w14:paraId="6239B75B" w14:textId="77777777" w:rsidR="00E030B5" w:rsidRDefault="00E030B5">
      <w:pPr>
        <w:pStyle w:val="Heading2"/>
        <w:rPr>
          <w:rFonts w:ascii="Times New Roman" w:hAnsi="Times New Roman" w:cs="Times New Roman"/>
        </w:rPr>
      </w:pPr>
      <w:bookmarkStart w:id="5" w:name="_wbdvqzu2sip5" w:colFirst="0" w:colLast="0"/>
      <w:bookmarkEnd w:id="5"/>
    </w:p>
    <w:p w14:paraId="1F42FB6F" w14:textId="2CDE2B8E" w:rsidR="00C53D27" w:rsidRPr="00E030B5" w:rsidRDefault="0025410D">
      <w:pPr>
        <w:pStyle w:val="Heading2"/>
        <w:rPr>
          <w:rFonts w:ascii="Times New Roman" w:hAnsi="Times New Roman" w:cs="Times New Roman"/>
        </w:rPr>
      </w:pPr>
      <w:r w:rsidRPr="00E030B5">
        <w:rPr>
          <w:rFonts w:ascii="Times New Roman" w:hAnsi="Times New Roman" w:cs="Times New Roman"/>
        </w:rPr>
        <w:t>Methods</w:t>
      </w:r>
    </w:p>
    <w:p w14:paraId="67B48669" w14:textId="71914533" w:rsidR="00C53D27" w:rsidRPr="00E030B5" w:rsidRDefault="0025410D">
      <w:pPr>
        <w:rPr>
          <w:rFonts w:ascii="Times New Roman" w:hAnsi="Times New Roman" w:cs="Times New Roman"/>
        </w:rPr>
      </w:pPr>
      <w:r w:rsidRPr="00E030B5">
        <w:rPr>
          <w:rFonts w:ascii="Times New Roman" w:hAnsi="Times New Roman" w:cs="Times New Roman"/>
          <w:i/>
        </w:rPr>
        <w:t>Study System</w:t>
      </w:r>
      <w:r w:rsidR="00030E8E">
        <w:rPr>
          <w:rFonts w:ascii="Times New Roman" w:hAnsi="Times New Roman" w:cs="Times New Roman"/>
          <w:i/>
        </w:rPr>
        <w:t xml:space="preserve"> and Propagation</w:t>
      </w:r>
      <w:r w:rsidRPr="00E030B5">
        <w:rPr>
          <w:rFonts w:ascii="Times New Roman" w:hAnsi="Times New Roman" w:cs="Times New Roman"/>
        </w:rPr>
        <w:t xml:space="preserve"> </w:t>
      </w:r>
    </w:p>
    <w:p w14:paraId="637D0CAB" w14:textId="39A08428" w:rsidR="00030E8E" w:rsidRDefault="00E030B5">
      <w:pPr>
        <w:rPr>
          <w:rFonts w:ascii="Times New Roman" w:hAnsi="Times New Roman" w:cs="Times New Roman"/>
        </w:rPr>
      </w:pPr>
      <w:r>
        <w:rPr>
          <w:rFonts w:ascii="Times New Roman" w:hAnsi="Times New Roman" w:cs="Times New Roman"/>
        </w:rPr>
        <w:t>We used a crop-agricultural pest system for these greenhouse experiments.</w:t>
      </w:r>
      <w:r w:rsidR="0025410D" w:rsidRPr="00E030B5">
        <w:rPr>
          <w:rFonts w:ascii="Times New Roman" w:hAnsi="Times New Roman" w:cs="Times New Roman"/>
        </w:rPr>
        <w:t xml:space="preserve"> </w:t>
      </w:r>
      <w:r>
        <w:rPr>
          <w:rFonts w:ascii="Times New Roman" w:hAnsi="Times New Roman" w:cs="Times New Roman"/>
        </w:rPr>
        <w:t xml:space="preserve">The herbivore was the generalist </w:t>
      </w:r>
      <w:r w:rsidR="0025410D" w:rsidRPr="00E030B5">
        <w:rPr>
          <w:rFonts w:ascii="Times New Roman" w:hAnsi="Times New Roman" w:cs="Times New Roman"/>
          <w:i/>
        </w:rPr>
        <w:t xml:space="preserve">Spodoptera </w:t>
      </w:r>
      <w:proofErr w:type="spellStart"/>
      <w:r w:rsidR="0025410D" w:rsidRPr="00E030B5">
        <w:rPr>
          <w:rFonts w:ascii="Times New Roman" w:hAnsi="Times New Roman" w:cs="Times New Roman"/>
          <w:i/>
        </w:rPr>
        <w:t>exigua</w:t>
      </w:r>
      <w:proofErr w:type="spellEnd"/>
      <w:r w:rsidR="0025410D" w:rsidRPr="00E030B5">
        <w:rPr>
          <w:rFonts w:ascii="Times New Roman" w:hAnsi="Times New Roman" w:cs="Times New Roman"/>
        </w:rPr>
        <w:t xml:space="preserve"> (Lepidoptera), </w:t>
      </w:r>
      <w:r>
        <w:rPr>
          <w:rFonts w:ascii="Times New Roman" w:hAnsi="Times New Roman" w:cs="Times New Roman"/>
        </w:rPr>
        <w:t xml:space="preserve">which is </w:t>
      </w:r>
      <w:r w:rsidR="0025410D" w:rsidRPr="00E030B5">
        <w:rPr>
          <w:rFonts w:ascii="Times New Roman" w:hAnsi="Times New Roman" w:cs="Times New Roman"/>
        </w:rPr>
        <w:t xml:space="preserve">native to Southeast Asia </w:t>
      </w:r>
      <w:r>
        <w:rPr>
          <w:rFonts w:ascii="Times New Roman" w:hAnsi="Times New Roman" w:cs="Times New Roman"/>
        </w:rPr>
        <w:t>and invasive in</w:t>
      </w:r>
      <w:r w:rsidR="0025410D" w:rsidRPr="00E030B5">
        <w:rPr>
          <w:rFonts w:ascii="Times New Roman" w:hAnsi="Times New Roman" w:cs="Times New Roman"/>
        </w:rPr>
        <w:t xml:space="preserve"> North America </w:t>
      </w:r>
      <w:r w:rsidR="00321D77" w:rsidRPr="00E030B5">
        <w:rPr>
          <w:rFonts w:ascii="Times New Roman" w:hAnsi="Times New Roman" w:cs="Times New Roman"/>
        </w:rPr>
        <w:fldChar w:fldCharType="begin"/>
      </w:r>
      <w:r w:rsidR="007841F3" w:rsidRPr="00E030B5">
        <w:rPr>
          <w:rFonts w:ascii="Times New Roman" w:hAnsi="Times New Roman" w:cs="Times New Roman"/>
        </w:rPr>
        <w:instrText xml:space="preserve"> ADDIN ZOTERO_ITEM CSL_CITATION {"citationID":"Ky2nSqrY","properties":{"formattedCitation":"(Greenberg et al., 2001)","plainCitation":"(Greenberg et al., 2001)","noteIndex":0},"citationItems":[{"id":106,"uris":["http://zotero.org/groups/4590459/items/D93XKG7C"],"itemData":{"id":106,"type":"article-journal","abstract":"Consumption rates, development times, and life table parameters of the beet army-worm, Spodoptera exigua (Hubner). were determined on five host plants: cabbage Brassica oleracea capitata L; cotton, Gossypium hirsutum L.: bell pepper. Capsicum annuum L.: pigweed. Amaranthus retroflexus L.; and sunflower, Helianthus annuus L. Mean total leaf weight consumed by larvae was highest in cabbage (2.7 g) and lowest in pigweed (1.6 g). The feeding index (pupal weight divided by total weight of leaf tissue consumed) was highest oil pigweed, followed by cotton, pepper sunflower, and cabbage. On all host plants, significant relationships were found between amount of leaf tissue consumed and resulting pupal weight. Likewise, significant relationships were found between pupal weight and subsequent adult fecundity on all host plants. The highest percentage of female progeny was recorded in S. exigua reared on pigweed (62.2%) and the lowest for larvae reared on cabbage (43.6%). Duration of the lan al stage was shortest on pigweed (12.4 d) and longest on pepper (18.0 d). Larval survival was highest on pigweed (94.4%) and lowest on cabbage (67.1%). Three key statistics were used to assess performance of S, exigua on the different host plants: 1) feeding index, 2) intrinsic rate of increase, r: and 3) growth index (percentage immature survival divided by immature development time). Using these measures, S, exigua performance was best on pigweed, worst on cabbage. and intermediate oil cotton, pepper. and sunflower., We discuss the implications of these findings for control of S. exigua.","container-title":"Annals of the Entomological Society of America","DOI":"10.1603/0013-8746(2001)094[0566:FALHOS]2.0.CO;2","ISSN":"0013-8746","issue":"4","journalAbbreviation":"Ann. Entomol. Soc. Am.","language":"English","note":"publisher-place: Cary\npublisher: Oxford Univ Press Inc\nWOS:000170052800010","page":"566-575","source":"Web of Science Nextgen","title":"Feeding and life history of Spodoptera exigua (Lepidoptera : Noctuidae) on different host plants","title-short":"Feeding and life history of Spodoptera exigua (Lepidoptera","volume":"94","author":[{"family":"Greenberg","given":"S. M."},{"family":"Sappington","given":"T. W."},{"family":"Legaspi","given":"B. C."},{"family":"Liu","given":"T. X."},{"family":"Setamou","given":"M."}],"issued":{"date-parts":[["2001",7]]}}}],"schema":"https://github.com/citation-style-language/schema/raw/master/csl-citation.json"} </w:instrText>
      </w:r>
      <w:r w:rsidR="00321D77" w:rsidRPr="00E030B5">
        <w:rPr>
          <w:rFonts w:ascii="Times New Roman" w:hAnsi="Times New Roman" w:cs="Times New Roman"/>
        </w:rPr>
        <w:fldChar w:fldCharType="separate"/>
      </w:r>
      <w:r w:rsidR="007841F3" w:rsidRPr="00E030B5">
        <w:rPr>
          <w:rFonts w:ascii="Times New Roman" w:hAnsi="Times New Roman" w:cs="Times New Roman"/>
          <w:noProof/>
        </w:rPr>
        <w:t>(Greenberg et al., 2001)</w:t>
      </w:r>
      <w:r w:rsidR="00321D77" w:rsidRPr="00E030B5">
        <w:rPr>
          <w:rFonts w:ascii="Times New Roman" w:hAnsi="Times New Roman" w:cs="Times New Roman"/>
        </w:rPr>
        <w:fldChar w:fldCharType="end"/>
      </w:r>
      <w:r w:rsidR="007841F3" w:rsidRPr="00E030B5">
        <w:rPr>
          <w:rFonts w:ascii="Times New Roman" w:hAnsi="Times New Roman" w:cs="Times New Roman"/>
        </w:rPr>
        <w:t>.</w:t>
      </w:r>
      <w:r w:rsidR="00030E8E">
        <w:rPr>
          <w:rFonts w:ascii="Times New Roman" w:hAnsi="Times New Roman" w:cs="Times New Roman"/>
        </w:rPr>
        <w:t xml:space="preserve"> We purchased eggs (</w:t>
      </w:r>
      <w:proofErr w:type="spellStart"/>
      <w:r w:rsidR="00030E8E">
        <w:rPr>
          <w:rFonts w:ascii="Times New Roman" w:hAnsi="Times New Roman" w:cs="Times New Roman"/>
        </w:rPr>
        <w:t>Benzon</w:t>
      </w:r>
      <w:proofErr w:type="spellEnd"/>
      <w:r w:rsidR="00030E8E">
        <w:rPr>
          <w:rFonts w:ascii="Times New Roman" w:hAnsi="Times New Roman" w:cs="Times New Roman"/>
        </w:rPr>
        <w:t xml:space="preserve"> Research, Pennsylvania, USA) and reared them on artificial diet (Southland Products Inc., Arkansas, USA) in incubators (</w:t>
      </w:r>
      <w:r w:rsidR="00030E8E" w:rsidRPr="00E030B5">
        <w:rPr>
          <w:rFonts w:ascii="Times New Roman" w:hAnsi="Times New Roman" w:cs="Times New Roman"/>
        </w:rPr>
        <w:t>12-hour light cycle</w:t>
      </w:r>
      <w:r w:rsidR="00030E8E">
        <w:rPr>
          <w:rFonts w:ascii="Times New Roman" w:hAnsi="Times New Roman" w:cs="Times New Roman"/>
        </w:rPr>
        <w:t>, 24-29</w:t>
      </w:r>
      <w:r w:rsidR="00030E8E" w:rsidRPr="00E030B5">
        <w:rPr>
          <w:rFonts w:ascii="Times New Roman" w:hAnsi="Times New Roman" w:cs="Times New Roman"/>
        </w:rPr>
        <w:t>° C</w:t>
      </w:r>
      <w:r w:rsidR="00030E8E">
        <w:rPr>
          <w:rFonts w:ascii="Times New Roman" w:hAnsi="Times New Roman" w:cs="Times New Roman"/>
        </w:rPr>
        <w:t xml:space="preserve"> modified to control developmental timing as needed). </w:t>
      </w:r>
      <w:r w:rsidR="009B7306">
        <w:rPr>
          <w:rFonts w:ascii="Times New Roman" w:hAnsi="Times New Roman" w:cs="Times New Roman"/>
        </w:rPr>
        <w:t>Before trials began, w</w:t>
      </w:r>
      <w:r w:rsidR="00FE219D">
        <w:rPr>
          <w:rFonts w:ascii="Times New Roman" w:hAnsi="Times New Roman" w:cs="Times New Roman"/>
        </w:rPr>
        <w:t xml:space="preserve">e acclimated larvae to feeding on plants by feeding them kale leaves for 24-48 hours. </w:t>
      </w:r>
    </w:p>
    <w:p w14:paraId="61790F71" w14:textId="78FD7BC4" w:rsidR="00C53D27" w:rsidRPr="00FE219D" w:rsidRDefault="00030E8E">
      <w:pPr>
        <w:rPr>
          <w:rFonts w:ascii="Times New Roman" w:hAnsi="Times New Roman" w:cs="Times New Roman"/>
          <w:iCs/>
        </w:rPr>
      </w:pPr>
      <w:r>
        <w:rPr>
          <w:rFonts w:ascii="Times New Roman" w:hAnsi="Times New Roman" w:cs="Times New Roman"/>
        </w:rPr>
        <w:t xml:space="preserve">The host plants were two Brassicaceae: </w:t>
      </w:r>
      <w:r w:rsidR="0025410D" w:rsidRPr="00E030B5">
        <w:rPr>
          <w:rFonts w:ascii="Times New Roman" w:hAnsi="Times New Roman" w:cs="Times New Roman"/>
          <w:i/>
        </w:rPr>
        <w:t>Brassica oleracea</w:t>
      </w:r>
      <w:r>
        <w:rPr>
          <w:rFonts w:ascii="Times New Roman" w:hAnsi="Times New Roman" w:cs="Times New Roman"/>
          <w:i/>
        </w:rPr>
        <w:t xml:space="preserve"> var. </w:t>
      </w:r>
      <w:proofErr w:type="spellStart"/>
      <w:r>
        <w:rPr>
          <w:rFonts w:ascii="Times New Roman" w:hAnsi="Times New Roman" w:cs="Times New Roman"/>
          <w:i/>
        </w:rPr>
        <w:t>sabellica</w:t>
      </w:r>
      <w:proofErr w:type="spellEnd"/>
      <w:r>
        <w:rPr>
          <w:rFonts w:ascii="Times New Roman" w:hAnsi="Times New Roman" w:cs="Times New Roman"/>
          <w:iCs/>
        </w:rPr>
        <w:t xml:space="preserve"> (Russian Red Kale) and </w:t>
      </w:r>
      <w:r>
        <w:rPr>
          <w:rFonts w:ascii="Times New Roman" w:hAnsi="Times New Roman" w:cs="Times New Roman"/>
          <w:i/>
        </w:rPr>
        <w:t xml:space="preserve">Brassica </w:t>
      </w:r>
      <w:proofErr w:type="spellStart"/>
      <w:r>
        <w:rPr>
          <w:rFonts w:ascii="Times New Roman" w:hAnsi="Times New Roman" w:cs="Times New Roman"/>
          <w:i/>
        </w:rPr>
        <w:t>juncea</w:t>
      </w:r>
      <w:proofErr w:type="spellEnd"/>
      <w:r>
        <w:rPr>
          <w:rFonts w:ascii="Times New Roman" w:hAnsi="Times New Roman" w:cs="Times New Roman"/>
          <w:i/>
        </w:rPr>
        <w:t xml:space="preserve"> var. FILL IN </w:t>
      </w:r>
      <w:r>
        <w:rPr>
          <w:rFonts w:ascii="Times New Roman" w:hAnsi="Times New Roman" w:cs="Times New Roman"/>
          <w:iCs/>
        </w:rPr>
        <w:t xml:space="preserve">(NAME OF MUSTARD VARIETY). We grew plants in greenhouses under natural light, </w:t>
      </w:r>
      <w:r w:rsidR="009B7306">
        <w:rPr>
          <w:rFonts w:ascii="Times New Roman" w:hAnsi="Times New Roman" w:cs="Times New Roman"/>
          <w:iCs/>
        </w:rPr>
        <w:t>using</w:t>
      </w:r>
      <w:r>
        <w:rPr>
          <w:rFonts w:ascii="Times New Roman" w:hAnsi="Times New Roman" w:cs="Times New Roman"/>
          <w:iCs/>
        </w:rPr>
        <w:t xml:space="preserve"> heat mats in Oregon to increase germination rates. </w:t>
      </w:r>
      <w:r w:rsidR="00FE219D">
        <w:rPr>
          <w:rFonts w:ascii="Times New Roman" w:hAnsi="Times New Roman" w:cs="Times New Roman"/>
        </w:rPr>
        <w:t>Plants grew in 8.9 cm</w:t>
      </w:r>
      <w:r w:rsidR="00FE219D">
        <w:rPr>
          <w:rFonts w:ascii="Times New Roman" w:hAnsi="Times New Roman" w:cs="Times New Roman"/>
          <w:vertAlign w:val="superscript"/>
        </w:rPr>
        <w:t>2 </w:t>
      </w:r>
      <w:r w:rsidR="00FE219D">
        <w:rPr>
          <w:rFonts w:ascii="Times New Roman" w:hAnsi="Times New Roman" w:cs="Times New Roman"/>
        </w:rPr>
        <w:t xml:space="preserve">pots containing </w:t>
      </w:r>
      <w:proofErr w:type="spellStart"/>
      <w:r w:rsidR="00FE219D" w:rsidRPr="00E030B5">
        <w:rPr>
          <w:rFonts w:ascii="Times New Roman" w:hAnsi="Times New Roman" w:cs="Times New Roman"/>
        </w:rPr>
        <w:t>ProMix</w:t>
      </w:r>
      <w:proofErr w:type="spellEnd"/>
      <w:r w:rsidR="00FE219D" w:rsidRPr="00E030B5">
        <w:rPr>
          <w:rFonts w:ascii="Times New Roman" w:hAnsi="Times New Roman" w:cs="Times New Roman"/>
        </w:rPr>
        <w:t xml:space="preserve"> HP Mycorrhizae </w:t>
      </w:r>
      <w:r w:rsidR="00FE219D">
        <w:rPr>
          <w:rFonts w:ascii="Times New Roman" w:hAnsi="Times New Roman" w:cs="Times New Roman"/>
        </w:rPr>
        <w:t xml:space="preserve">soil </w:t>
      </w:r>
      <w:r w:rsidR="00FE219D" w:rsidRPr="00E030B5">
        <w:rPr>
          <w:rFonts w:ascii="Times New Roman" w:hAnsi="Times New Roman" w:cs="Times New Roman"/>
        </w:rPr>
        <w:t>(Premier Horticulture Inc., Pennsylvania</w:t>
      </w:r>
      <w:r w:rsidR="00FE219D">
        <w:rPr>
          <w:rFonts w:ascii="Times New Roman" w:hAnsi="Times New Roman" w:cs="Times New Roman"/>
        </w:rPr>
        <w:t>, USA</w:t>
      </w:r>
      <w:r w:rsidR="00FE219D" w:rsidRPr="00E030B5">
        <w:rPr>
          <w:rFonts w:ascii="Times New Roman" w:hAnsi="Times New Roman" w:cs="Times New Roman"/>
        </w:rPr>
        <w:t>)</w:t>
      </w:r>
      <w:r w:rsidR="00FE219D">
        <w:rPr>
          <w:rFonts w:ascii="Times New Roman" w:hAnsi="Times New Roman" w:cs="Times New Roman"/>
        </w:rPr>
        <w:t>; except for plants in the “no fertilizer” treatment, we mixed about 2.5 ml</w:t>
      </w:r>
      <w:r w:rsidR="00FE219D" w:rsidRPr="00E030B5">
        <w:rPr>
          <w:rFonts w:ascii="Times New Roman" w:hAnsi="Times New Roman" w:cs="Times New Roman"/>
        </w:rPr>
        <w:t xml:space="preserve"> of 14-14-14 </w:t>
      </w:r>
      <w:proofErr w:type="spellStart"/>
      <w:r w:rsidR="00FE219D" w:rsidRPr="00E030B5">
        <w:rPr>
          <w:rFonts w:ascii="Times New Roman" w:hAnsi="Times New Roman" w:cs="Times New Roman"/>
        </w:rPr>
        <w:t>Osmocote</w:t>
      </w:r>
      <w:proofErr w:type="spellEnd"/>
      <w:r w:rsidR="00FE219D" w:rsidRPr="00E030B5">
        <w:rPr>
          <w:rFonts w:ascii="Times New Roman" w:hAnsi="Times New Roman" w:cs="Times New Roman"/>
        </w:rPr>
        <w:t xml:space="preserve"> Smart Release Plant food (The Scotts Company, Ohio)</w:t>
      </w:r>
      <w:r w:rsidR="00FE219D">
        <w:rPr>
          <w:rFonts w:ascii="Times New Roman" w:hAnsi="Times New Roman" w:cs="Times New Roman"/>
        </w:rPr>
        <w:t xml:space="preserve"> into the soil at planting. </w:t>
      </w:r>
      <w:r w:rsidR="00FE219D">
        <w:rPr>
          <w:rFonts w:ascii="Times New Roman" w:hAnsi="Times New Roman" w:cs="Times New Roman"/>
          <w:iCs/>
        </w:rPr>
        <w:t>We overplanted seeds in 8.9 cm</w:t>
      </w:r>
      <w:r w:rsidR="00FE219D">
        <w:rPr>
          <w:rFonts w:ascii="Times New Roman" w:hAnsi="Times New Roman" w:cs="Times New Roman"/>
          <w:iCs/>
          <w:vertAlign w:val="superscript"/>
        </w:rPr>
        <w:t>2</w:t>
      </w:r>
      <w:r w:rsidR="00FE219D">
        <w:rPr>
          <w:rFonts w:ascii="Times New Roman" w:hAnsi="Times New Roman" w:cs="Times New Roman"/>
          <w:iCs/>
        </w:rPr>
        <w:t xml:space="preserve"> pots and thinned to one plant per pot after seedling establishment. </w:t>
      </w:r>
      <w:r w:rsidR="009B7306">
        <w:rPr>
          <w:rFonts w:ascii="Times New Roman" w:hAnsi="Times New Roman" w:cs="Times New Roman"/>
          <w:iCs/>
        </w:rPr>
        <w:t xml:space="preserve">Plants grew until they reached X size, approximately X weeks, before trials started. </w:t>
      </w:r>
    </w:p>
    <w:p w14:paraId="25C947FA" w14:textId="20382DFB" w:rsidR="00C53D27" w:rsidRPr="00E030B5" w:rsidRDefault="0025410D">
      <w:pPr>
        <w:rPr>
          <w:rFonts w:ascii="Times New Roman" w:hAnsi="Times New Roman" w:cs="Times New Roman"/>
        </w:rPr>
      </w:pPr>
      <w:r w:rsidRPr="00E030B5">
        <w:rPr>
          <w:rFonts w:ascii="Times New Roman" w:hAnsi="Times New Roman" w:cs="Times New Roman"/>
          <w:i/>
        </w:rPr>
        <w:lastRenderedPageBreak/>
        <w:t>Experimental Design</w:t>
      </w:r>
    </w:p>
    <w:p w14:paraId="4FBBE7EA" w14:textId="3AA2AAD0" w:rsidR="00900070" w:rsidRDefault="009B7306">
      <w:pPr>
        <w:rPr>
          <w:rFonts w:ascii="Times New Roman" w:hAnsi="Times New Roman" w:cs="Times New Roman"/>
        </w:rPr>
      </w:pPr>
      <w:r>
        <w:rPr>
          <w:rFonts w:ascii="Times New Roman" w:hAnsi="Times New Roman" w:cs="Times New Roman"/>
        </w:rPr>
        <w:t>We carried out two sets of factorial experiments, each with</w:t>
      </w:r>
      <w:r w:rsidR="00BA709A">
        <w:rPr>
          <w:rFonts w:ascii="Times New Roman" w:hAnsi="Times New Roman" w:cs="Times New Roman"/>
        </w:rPr>
        <w:t xml:space="preserve"> </w:t>
      </w:r>
      <w:r>
        <w:rPr>
          <w:rFonts w:ascii="Times New Roman" w:hAnsi="Times New Roman" w:cs="Times New Roman"/>
        </w:rPr>
        <w:t>temporal replicates. In both experiments, a</w:t>
      </w:r>
      <w:r w:rsidR="00BA709A">
        <w:rPr>
          <w:rFonts w:ascii="Times New Roman" w:hAnsi="Times New Roman" w:cs="Times New Roman"/>
        </w:rPr>
        <w:t>n experimental unit</w:t>
      </w:r>
      <w:r>
        <w:rPr>
          <w:rFonts w:ascii="Times New Roman" w:hAnsi="Times New Roman" w:cs="Times New Roman"/>
        </w:rPr>
        <w:t xml:space="preserve"> consisted of groups of six individually-potted plants</w:t>
      </w:r>
      <w:r w:rsidR="00BA709A">
        <w:rPr>
          <w:rFonts w:ascii="Times New Roman" w:hAnsi="Times New Roman" w:cs="Times New Roman"/>
        </w:rPr>
        <w:t xml:space="preserve"> and six </w:t>
      </w:r>
      <w:r w:rsidR="00BA709A">
        <w:rPr>
          <w:rFonts w:ascii="Times New Roman" w:hAnsi="Times New Roman" w:cs="Times New Roman"/>
          <w:i/>
          <w:iCs/>
        </w:rPr>
        <w:t xml:space="preserve">S. </w:t>
      </w:r>
      <w:proofErr w:type="spellStart"/>
      <w:r w:rsidR="00BA709A">
        <w:rPr>
          <w:rFonts w:ascii="Times New Roman" w:hAnsi="Times New Roman" w:cs="Times New Roman"/>
          <w:i/>
          <w:iCs/>
        </w:rPr>
        <w:t>exigua</w:t>
      </w:r>
      <w:proofErr w:type="spellEnd"/>
      <w:r w:rsidR="00BA709A">
        <w:rPr>
          <w:rFonts w:ascii="Times New Roman" w:hAnsi="Times New Roman" w:cs="Times New Roman"/>
        </w:rPr>
        <w:t xml:space="preserve"> larvae (Fig. 1)</w:t>
      </w:r>
      <w:r>
        <w:rPr>
          <w:rFonts w:ascii="Times New Roman" w:hAnsi="Times New Roman" w:cs="Times New Roman"/>
        </w:rPr>
        <w:t>.</w:t>
      </w:r>
      <w:r w:rsidR="00BA709A">
        <w:rPr>
          <w:rFonts w:ascii="Times New Roman" w:hAnsi="Times New Roman" w:cs="Times New Roman"/>
        </w:rPr>
        <w:t xml:space="preserve"> We assigned each experimental unit a larval movement treatment: no movement (individual plants bagged</w:t>
      </w:r>
      <w:r w:rsidR="00900070">
        <w:rPr>
          <w:rFonts w:ascii="Times New Roman" w:hAnsi="Times New Roman" w:cs="Times New Roman"/>
        </w:rPr>
        <w:t xml:space="preserve"> with INSERT NAME OF BAG</w:t>
      </w:r>
      <w:r w:rsidR="00BA709A">
        <w:rPr>
          <w:rFonts w:ascii="Times New Roman" w:hAnsi="Times New Roman" w:cs="Times New Roman"/>
        </w:rPr>
        <w:t xml:space="preserve">, confining larvae to single plants) or movement (sets of six plants bagged together, </w:t>
      </w:r>
      <w:r w:rsidR="00900070">
        <w:rPr>
          <w:rFonts w:ascii="Times New Roman" w:hAnsi="Times New Roman" w:cs="Times New Roman"/>
        </w:rPr>
        <w:t xml:space="preserve">with pots touching to </w:t>
      </w:r>
      <w:r w:rsidR="00BA709A">
        <w:rPr>
          <w:rFonts w:ascii="Times New Roman" w:hAnsi="Times New Roman" w:cs="Times New Roman"/>
        </w:rPr>
        <w:t>allow larvae to move between plants). In the nutrient enrichment experiment, each experimental unit consisted of either 6 fertilized or 6 unfertilized plants</w:t>
      </w:r>
      <w:r w:rsidR="00900070">
        <w:rPr>
          <w:rFonts w:ascii="Times New Roman" w:hAnsi="Times New Roman" w:cs="Times New Roman"/>
        </w:rPr>
        <w:t xml:space="preserve"> (Fig. 1)</w:t>
      </w:r>
      <w:r w:rsidR="00BA709A">
        <w:rPr>
          <w:rFonts w:ascii="Times New Roman" w:hAnsi="Times New Roman" w:cs="Times New Roman"/>
        </w:rPr>
        <w:t xml:space="preserve">. </w:t>
      </w:r>
      <w:r w:rsidR="00900070">
        <w:rPr>
          <w:rFonts w:ascii="Times New Roman" w:hAnsi="Times New Roman" w:cs="Times New Roman"/>
        </w:rPr>
        <w:t>In the associational effects experiment, each experimental unit consisted of either 6 kale plants (same neighbor) or 3 kale plants with 3 mustard plants (different neighbor, Fig. 1). In both experiments, each temporal block included three replicates (larval movement x fertilizer or neighbor), for a total of 12 experimental units/72 plants/72 larvae. There were four temporal replicates for each experiment, for a total of 48 experimental units/288 plants/288 larvae per experiment. All associational effects trials occurred in Oregon; half the nutrient enrichment trials occurred in Oregon greenhouse and half in Florida.</w:t>
      </w:r>
      <w:r w:rsidR="00C267A9">
        <w:rPr>
          <w:rFonts w:ascii="Times New Roman" w:hAnsi="Times New Roman" w:cs="Times New Roman"/>
        </w:rPr>
        <w:t xml:space="preserve"> We collected data on plant damage levels and larval growth after 24-48 hours of feeding.</w:t>
      </w:r>
    </w:p>
    <w:p w14:paraId="69B6B805" w14:textId="0AE61EE0" w:rsidR="00C53D27" w:rsidRPr="00E030B5" w:rsidRDefault="0025410D">
      <w:pPr>
        <w:rPr>
          <w:rFonts w:ascii="Times New Roman" w:hAnsi="Times New Roman" w:cs="Times New Roman"/>
        </w:rPr>
      </w:pPr>
      <w:r w:rsidRPr="00E030B5">
        <w:rPr>
          <w:rFonts w:ascii="Times New Roman" w:hAnsi="Times New Roman" w:cs="Times New Roman"/>
          <w:i/>
        </w:rPr>
        <w:t>Response variables</w:t>
      </w:r>
    </w:p>
    <w:p w14:paraId="7670500D" w14:textId="5EB32F97" w:rsidR="00C267A9" w:rsidRDefault="00C267A9">
      <w:pPr>
        <w:rPr>
          <w:rFonts w:ascii="Times New Roman" w:hAnsi="Times New Roman" w:cs="Times New Roman"/>
        </w:rPr>
      </w:pPr>
      <w:r>
        <w:rPr>
          <w:rFonts w:ascii="Times New Roman" w:hAnsi="Times New Roman" w:cs="Times New Roman"/>
        </w:rPr>
        <w:t xml:space="preserve">We calculated two measures of leaf damage levels: percent damage and absolute damage. For percent damage, we visually estimated percent herbivory for each leaf on every plant to the nearest 1%, then calculated the mean percent leaf damage per plant. We also used individual leaf damage estimates to calculate the coefficient of variation in herbivory for each plant. For absolute leaf damage, we estimated leaf area consumed by multiplying a plant’s estimated total leaf area by its mean percent leaf damage. </w:t>
      </w:r>
      <w:r w:rsidR="00E116C0">
        <w:rPr>
          <w:rFonts w:ascii="Times New Roman" w:hAnsi="Times New Roman" w:cs="Times New Roman"/>
        </w:rPr>
        <w:t xml:space="preserve">We used linear regression to estimate total leaf area. </w:t>
      </w:r>
      <w:r>
        <w:rPr>
          <w:rFonts w:ascii="Times New Roman" w:hAnsi="Times New Roman" w:cs="Times New Roman"/>
        </w:rPr>
        <w:t xml:space="preserve">For all plants, we counted the number of leaves and measured the length of the longest leaf. For a subset of plants, we also measured total leaf area using </w:t>
      </w:r>
      <w:proofErr w:type="spellStart"/>
      <w:r>
        <w:rPr>
          <w:rFonts w:ascii="Times New Roman" w:hAnsi="Times New Roman" w:cs="Times New Roman"/>
        </w:rPr>
        <w:t>LeafByte</w:t>
      </w:r>
      <w:proofErr w:type="spellEnd"/>
      <w:r>
        <w:rPr>
          <w:rFonts w:ascii="Times New Roman" w:hAnsi="Times New Roman" w:cs="Times New Roman"/>
        </w:rPr>
        <w:t xml:space="preserve"> </w:t>
      </w:r>
      <w:r w:rsidRPr="00E030B5">
        <w:rPr>
          <w:rFonts w:ascii="Times New Roman" w:hAnsi="Times New Roman" w:cs="Times New Roman"/>
        </w:rPr>
        <w:t>(</w:t>
      </w:r>
      <w:proofErr w:type="spellStart"/>
      <w:r w:rsidRPr="00E030B5">
        <w:rPr>
          <w:rFonts w:ascii="Times New Roman" w:hAnsi="Times New Roman" w:cs="Times New Roman"/>
        </w:rPr>
        <w:t>Getman</w:t>
      </w:r>
      <w:proofErr w:type="spellEnd"/>
      <w:r w:rsidRPr="00E030B5">
        <w:rPr>
          <w:rFonts w:ascii="Times New Roman" w:hAnsi="Times New Roman" w:cs="Times New Roman"/>
        </w:rPr>
        <w:t>-Pickering et al., 2019)</w:t>
      </w:r>
      <w:r>
        <w:rPr>
          <w:rFonts w:ascii="Times New Roman" w:hAnsi="Times New Roman" w:cs="Times New Roman"/>
        </w:rPr>
        <w:t xml:space="preserve">. We then used </w:t>
      </w:r>
      <w:r w:rsidR="00E116C0">
        <w:rPr>
          <w:rFonts w:ascii="Times New Roman" w:hAnsi="Times New Roman" w:cs="Times New Roman"/>
        </w:rPr>
        <w:t>NAME OF MODEL (add R citation)</w:t>
      </w:r>
      <w:r>
        <w:rPr>
          <w:rFonts w:ascii="Times New Roman" w:hAnsi="Times New Roman" w:cs="Times New Roman"/>
        </w:rPr>
        <w:t xml:space="preserve"> to </w:t>
      </w:r>
      <w:r w:rsidR="00E116C0">
        <w:rPr>
          <w:rFonts w:ascii="Times New Roman" w:hAnsi="Times New Roman" w:cs="Times New Roman"/>
        </w:rPr>
        <w:t xml:space="preserve">estimate </w:t>
      </w:r>
      <w:r>
        <w:rPr>
          <w:rFonts w:ascii="Times New Roman" w:hAnsi="Times New Roman" w:cs="Times New Roman"/>
        </w:rPr>
        <w:t>total leaf area</w:t>
      </w:r>
      <w:r w:rsidR="00E116C0">
        <w:rPr>
          <w:rFonts w:ascii="Times New Roman" w:hAnsi="Times New Roman" w:cs="Times New Roman"/>
        </w:rPr>
        <w:t xml:space="preserve"> based on plant size (longest leaf length x leaf number).</w:t>
      </w:r>
    </w:p>
    <w:p w14:paraId="23CD182D" w14:textId="07436477" w:rsidR="00C53D27" w:rsidRPr="00E030B5" w:rsidRDefault="0025410D">
      <w:pPr>
        <w:rPr>
          <w:rFonts w:ascii="Times New Roman" w:hAnsi="Times New Roman" w:cs="Times New Roman"/>
        </w:rPr>
      </w:pPr>
      <w:r w:rsidRPr="00E030B5">
        <w:rPr>
          <w:rFonts w:ascii="Times New Roman" w:hAnsi="Times New Roman" w:cs="Times New Roman"/>
          <w:highlight w:val="white"/>
        </w:rPr>
        <w:t xml:space="preserve">We </w:t>
      </w:r>
      <w:r w:rsidR="00C267A9">
        <w:rPr>
          <w:rFonts w:ascii="Times New Roman" w:hAnsi="Times New Roman" w:cs="Times New Roman"/>
          <w:highlight w:val="white"/>
        </w:rPr>
        <w:t xml:space="preserve">also </w:t>
      </w:r>
      <w:r w:rsidR="00E116C0">
        <w:rPr>
          <w:rFonts w:ascii="Times New Roman" w:hAnsi="Times New Roman" w:cs="Times New Roman"/>
          <w:highlight w:val="white"/>
        </w:rPr>
        <w:t xml:space="preserve">used </w:t>
      </w:r>
      <w:r w:rsidR="00C267A9">
        <w:rPr>
          <w:rFonts w:ascii="Times New Roman" w:hAnsi="Times New Roman" w:cs="Times New Roman"/>
          <w:highlight w:val="white"/>
        </w:rPr>
        <w:t xml:space="preserve">larval </w:t>
      </w:r>
      <w:r w:rsidR="00E116C0">
        <w:rPr>
          <w:rFonts w:ascii="Times New Roman" w:hAnsi="Times New Roman" w:cs="Times New Roman"/>
          <w:highlight w:val="white"/>
        </w:rPr>
        <w:t xml:space="preserve">relative </w:t>
      </w:r>
      <w:r w:rsidR="00C267A9">
        <w:rPr>
          <w:rFonts w:ascii="Times New Roman" w:hAnsi="Times New Roman" w:cs="Times New Roman"/>
          <w:highlight w:val="white"/>
        </w:rPr>
        <w:t>growth rates</w:t>
      </w:r>
      <w:r w:rsidR="00E116C0">
        <w:rPr>
          <w:rFonts w:ascii="Times New Roman" w:hAnsi="Times New Roman" w:cs="Times New Roman"/>
          <w:highlight w:val="white"/>
        </w:rPr>
        <w:t xml:space="preserve"> (RGR)</w:t>
      </w:r>
      <w:r w:rsidR="00C267A9">
        <w:rPr>
          <w:rFonts w:ascii="Times New Roman" w:hAnsi="Times New Roman" w:cs="Times New Roman"/>
          <w:highlight w:val="white"/>
        </w:rPr>
        <w:t xml:space="preserve"> as a measure of plant quality/plant resistance to herbivores. </w:t>
      </w:r>
      <w:r w:rsidR="00C81C6F">
        <w:rPr>
          <w:rFonts w:ascii="Times New Roman" w:hAnsi="Times New Roman" w:cs="Times New Roman"/>
          <w:highlight w:val="white"/>
        </w:rPr>
        <w:t>We calculated</w:t>
      </w:r>
      <w:r w:rsidR="00E116C0">
        <w:rPr>
          <w:rFonts w:ascii="Times New Roman" w:hAnsi="Times New Roman" w:cs="Times New Roman"/>
          <w:highlight w:val="white"/>
        </w:rPr>
        <w:t xml:space="preserve"> RGR</w:t>
      </w:r>
      <w:r w:rsidR="00C81C6F">
        <w:rPr>
          <w:rFonts w:ascii="Times New Roman" w:hAnsi="Times New Roman" w:cs="Times New Roman"/>
          <w:highlight w:val="white"/>
        </w:rPr>
        <w:t xml:space="preserve"> as </w:t>
      </w:r>
      <w:proofErr w:type="gramStart"/>
      <w:r w:rsidR="00C81C6F">
        <w:rPr>
          <w:rFonts w:ascii="Times New Roman" w:hAnsi="Times New Roman" w:cs="Times New Roman"/>
          <w:highlight w:val="white"/>
        </w:rPr>
        <w:t>ln(</w:t>
      </w:r>
      <w:proofErr w:type="gramEnd"/>
      <w:r w:rsidRPr="00E030B5">
        <w:rPr>
          <w:rFonts w:ascii="Times New Roman" w:hAnsi="Times New Roman" w:cs="Times New Roman"/>
          <w:highlight w:val="white"/>
        </w:rPr>
        <w:t>final mass</w:t>
      </w:r>
      <w:r w:rsidR="00C81C6F">
        <w:rPr>
          <w:rFonts w:ascii="Times New Roman" w:hAnsi="Times New Roman" w:cs="Times New Roman"/>
          <w:highlight w:val="white"/>
        </w:rPr>
        <w:t>) – ln(</w:t>
      </w:r>
      <w:r w:rsidRPr="00E030B5">
        <w:rPr>
          <w:rFonts w:ascii="Times New Roman" w:hAnsi="Times New Roman" w:cs="Times New Roman"/>
          <w:highlight w:val="white"/>
        </w:rPr>
        <w:t>initial mass</w:t>
      </w:r>
      <w:r w:rsidR="00C81C6F">
        <w:rPr>
          <w:rFonts w:ascii="Times New Roman" w:hAnsi="Times New Roman" w:cs="Times New Roman"/>
          <w:highlight w:val="white"/>
        </w:rPr>
        <w:t>)</w:t>
      </w:r>
      <w:r w:rsidRPr="00E030B5">
        <w:rPr>
          <w:rFonts w:ascii="Times New Roman" w:hAnsi="Times New Roman" w:cs="Times New Roman"/>
          <w:highlight w:val="white"/>
        </w:rPr>
        <w:t>.</w:t>
      </w:r>
      <w:r w:rsidRPr="00E030B5">
        <w:rPr>
          <w:rFonts w:ascii="Times New Roman" w:hAnsi="Times New Roman" w:cs="Times New Roman"/>
        </w:rPr>
        <w:t xml:space="preserve"> </w:t>
      </w:r>
      <w:r w:rsidR="00C81C6F">
        <w:rPr>
          <w:rFonts w:ascii="Times New Roman" w:hAnsi="Times New Roman" w:cs="Times New Roman"/>
        </w:rPr>
        <w:t>To clear guts</w:t>
      </w:r>
      <w:r w:rsidR="00E116C0">
        <w:rPr>
          <w:rFonts w:ascii="Times New Roman" w:hAnsi="Times New Roman" w:cs="Times New Roman"/>
        </w:rPr>
        <w:t xml:space="preserve"> before each weighing</w:t>
      </w:r>
      <w:r w:rsidR="00C81C6F">
        <w:rPr>
          <w:rFonts w:ascii="Times New Roman" w:hAnsi="Times New Roman" w:cs="Times New Roman"/>
        </w:rPr>
        <w:t xml:space="preserve">, we starved larvae for 1 hour. In the no movement treatment, we could track individual </w:t>
      </w:r>
      <w:r w:rsidR="00C81C6F">
        <w:rPr>
          <w:rFonts w:ascii="Times New Roman" w:hAnsi="Times New Roman" w:cs="Times New Roman"/>
        </w:rPr>
        <w:lastRenderedPageBreak/>
        <w:t xml:space="preserve">larvae in trials so collected initial and final weights of each one. In the movement treatment, we could not identify individual larvae in trials, so we weighed them as a group and then averaged their initial and final weights. Some larvae disappeared in trials. For the no movement treatment, we dropped these larvae from analyses. For the movement treatment, we calculated the average final mass using only the recovered larvae. </w:t>
      </w:r>
    </w:p>
    <w:p w14:paraId="7E68B992" w14:textId="77777777" w:rsidR="00C53D27" w:rsidRPr="00E030B5" w:rsidRDefault="0025410D">
      <w:pPr>
        <w:rPr>
          <w:rFonts w:ascii="Times New Roman" w:hAnsi="Times New Roman" w:cs="Times New Roman"/>
          <w:i/>
        </w:rPr>
      </w:pPr>
      <w:commentRangeStart w:id="6"/>
      <w:r w:rsidRPr="00E030B5">
        <w:rPr>
          <w:rFonts w:ascii="Times New Roman" w:hAnsi="Times New Roman" w:cs="Times New Roman"/>
          <w:i/>
        </w:rPr>
        <w:t>Data Analysis</w:t>
      </w:r>
      <w:commentRangeEnd w:id="6"/>
      <w:r w:rsidR="00A90B18">
        <w:rPr>
          <w:rStyle w:val="CommentReference"/>
        </w:rPr>
        <w:commentReference w:id="6"/>
      </w:r>
    </w:p>
    <w:p w14:paraId="3B9460FB" w14:textId="30A05E2F" w:rsidR="00712A5F" w:rsidRDefault="00712A5F">
      <w:pPr>
        <w:rPr>
          <w:rFonts w:ascii="Times New Roman" w:hAnsi="Times New Roman" w:cs="Times New Roman"/>
        </w:rPr>
      </w:pPr>
      <w:r>
        <w:rPr>
          <w:rFonts w:ascii="Times New Roman" w:hAnsi="Times New Roman" w:cs="Times New Roman"/>
        </w:rPr>
        <w:t xml:space="preserve">We conducted all analyses in R (add citation). </w:t>
      </w:r>
    </w:p>
    <w:p w14:paraId="12A40469" w14:textId="71C323AE" w:rsidR="00C53D27" w:rsidRPr="00E030B5" w:rsidRDefault="00E116C0">
      <w:pPr>
        <w:rPr>
          <w:rFonts w:ascii="Times New Roman" w:hAnsi="Times New Roman" w:cs="Times New Roman"/>
        </w:rPr>
      </w:pPr>
      <w:r>
        <w:rPr>
          <w:rFonts w:ascii="Times New Roman" w:hAnsi="Times New Roman" w:cs="Times New Roman"/>
        </w:rPr>
        <w:t>To determine whether variances differed among treatments, w</w:t>
      </w:r>
      <w:r w:rsidR="0025410D" w:rsidRPr="00E030B5">
        <w:rPr>
          <w:rFonts w:ascii="Times New Roman" w:hAnsi="Times New Roman" w:cs="Times New Roman"/>
        </w:rPr>
        <w:t xml:space="preserve">e used </w:t>
      </w:r>
      <w:proofErr w:type="spellStart"/>
      <w:r w:rsidR="0025410D" w:rsidRPr="00E030B5">
        <w:rPr>
          <w:rFonts w:ascii="Times New Roman" w:hAnsi="Times New Roman" w:cs="Times New Roman"/>
        </w:rPr>
        <w:t>Levene’s</w:t>
      </w:r>
      <w:proofErr w:type="spellEnd"/>
      <w:r w:rsidR="0025410D" w:rsidRPr="00E030B5">
        <w:rPr>
          <w:rFonts w:ascii="Times New Roman" w:hAnsi="Times New Roman" w:cs="Times New Roman"/>
        </w:rPr>
        <w:t xml:space="preserve"> tests. For each response variable (mean percent leaf damage, absolute leaf damage</w:t>
      </w:r>
      <w:r>
        <w:rPr>
          <w:rFonts w:ascii="Times New Roman" w:hAnsi="Times New Roman" w:cs="Times New Roman"/>
        </w:rPr>
        <w:t>, and larval RGR</w:t>
      </w:r>
      <w:r w:rsidR="0025410D" w:rsidRPr="00E030B5">
        <w:rPr>
          <w:rFonts w:ascii="Times New Roman" w:hAnsi="Times New Roman" w:cs="Times New Roman"/>
        </w:rPr>
        <w:t xml:space="preserve">), we first tested for overall differences in variances amongst all the treatments. </w:t>
      </w:r>
      <w:commentRangeStart w:id="7"/>
      <w:r w:rsidR="00664C6C">
        <w:rPr>
          <w:rFonts w:ascii="Times New Roman" w:hAnsi="Times New Roman" w:cs="Times New Roman"/>
        </w:rPr>
        <w:t>To account for differences among temporal blocks</w:t>
      </w:r>
      <w:r w:rsidR="00712A5F">
        <w:rPr>
          <w:rFonts w:ascii="Times New Roman" w:hAnsi="Times New Roman" w:cs="Times New Roman"/>
        </w:rPr>
        <w:t>, location (Florida vs. Oregon), and host plant in the associational effects experiment, w</w:t>
      </w:r>
      <w:r w:rsidR="00664C6C">
        <w:rPr>
          <w:rFonts w:ascii="Times New Roman" w:hAnsi="Times New Roman" w:cs="Times New Roman"/>
        </w:rPr>
        <w:t>e used residuals from ANOVAs</w:t>
      </w:r>
      <w:r w:rsidR="00712A5F">
        <w:rPr>
          <w:rFonts w:ascii="Times New Roman" w:hAnsi="Times New Roman" w:cs="Times New Roman"/>
        </w:rPr>
        <w:t xml:space="preserve"> (using </w:t>
      </w:r>
      <w:proofErr w:type="spellStart"/>
      <w:r w:rsidR="00712A5F">
        <w:rPr>
          <w:rFonts w:ascii="Times New Roman" w:hAnsi="Times New Roman" w:cs="Times New Roman"/>
        </w:rPr>
        <w:t>lm</w:t>
      </w:r>
      <w:proofErr w:type="spellEnd"/>
      <w:r w:rsidR="00712A5F">
        <w:rPr>
          <w:rFonts w:ascii="Times New Roman" w:hAnsi="Times New Roman" w:cs="Times New Roman"/>
        </w:rPr>
        <w:t>) as the response variable in these tests.</w:t>
      </w:r>
      <w:commentRangeEnd w:id="7"/>
      <w:r w:rsidR="00712A5F">
        <w:rPr>
          <w:rStyle w:val="CommentReference"/>
        </w:rPr>
        <w:commentReference w:id="7"/>
      </w:r>
      <w:r w:rsidR="00664C6C">
        <w:rPr>
          <w:rFonts w:ascii="Times New Roman" w:hAnsi="Times New Roman" w:cs="Times New Roman"/>
        </w:rPr>
        <w:t xml:space="preserve"> </w:t>
      </w:r>
      <w:r w:rsidR="0025410D" w:rsidRPr="00E030B5">
        <w:rPr>
          <w:rFonts w:ascii="Times New Roman" w:hAnsi="Times New Roman" w:cs="Times New Roman"/>
        </w:rPr>
        <w:t>When we detected overall differences</w:t>
      </w:r>
      <w:r w:rsidR="00712A5F">
        <w:rPr>
          <w:rFonts w:ascii="Times New Roman" w:hAnsi="Times New Roman" w:cs="Times New Roman"/>
        </w:rPr>
        <w:t xml:space="preserve"> in variances</w:t>
      </w:r>
      <w:r>
        <w:rPr>
          <w:rFonts w:ascii="Times New Roman" w:hAnsi="Times New Roman" w:cs="Times New Roman"/>
        </w:rPr>
        <w:t xml:space="preserve"> among treatments</w:t>
      </w:r>
      <w:r w:rsidR="0025410D" w:rsidRPr="00E030B5">
        <w:rPr>
          <w:rFonts w:ascii="Times New Roman" w:hAnsi="Times New Roman" w:cs="Times New Roman"/>
        </w:rPr>
        <w:t>, we determined which of the treatment combinations differed using a series of</w:t>
      </w:r>
      <w:r w:rsidR="0025410D" w:rsidRPr="00E030B5">
        <w:rPr>
          <w:rFonts w:ascii="Times New Roman" w:hAnsi="Times New Roman" w:cs="Times New Roman"/>
          <w:i/>
        </w:rPr>
        <w:t xml:space="preserve"> post-hoc </w:t>
      </w:r>
      <w:proofErr w:type="spellStart"/>
      <w:r w:rsidR="0025410D" w:rsidRPr="00E030B5">
        <w:rPr>
          <w:rFonts w:ascii="Times New Roman" w:hAnsi="Times New Roman" w:cs="Times New Roman"/>
        </w:rPr>
        <w:t>Levene</w:t>
      </w:r>
      <w:r w:rsidR="00712A5F">
        <w:rPr>
          <w:rFonts w:ascii="Times New Roman" w:hAnsi="Times New Roman" w:cs="Times New Roman"/>
        </w:rPr>
        <w:t>’s</w:t>
      </w:r>
      <w:proofErr w:type="spellEnd"/>
      <w:r w:rsidR="0025410D" w:rsidRPr="00E030B5">
        <w:rPr>
          <w:rFonts w:ascii="Times New Roman" w:hAnsi="Times New Roman" w:cs="Times New Roman"/>
        </w:rPr>
        <w:t xml:space="preserve"> pairwise tests.</w:t>
      </w:r>
    </w:p>
    <w:p w14:paraId="3949F90D" w14:textId="705BF9CC" w:rsidR="00C53D27" w:rsidRPr="00E030B5" w:rsidRDefault="0025410D">
      <w:pPr>
        <w:rPr>
          <w:rFonts w:ascii="Times New Roman" w:hAnsi="Times New Roman" w:cs="Times New Roman"/>
          <w:highlight w:val="yellow"/>
        </w:rPr>
      </w:pPr>
      <w:commentRangeStart w:id="8"/>
      <w:r w:rsidRPr="00E030B5">
        <w:rPr>
          <w:rFonts w:ascii="Times New Roman" w:hAnsi="Times New Roman" w:cs="Times New Roman"/>
        </w:rPr>
        <w:t>To test within</w:t>
      </w:r>
      <w:commentRangeEnd w:id="8"/>
      <w:r w:rsidR="007D4D71">
        <w:rPr>
          <w:rStyle w:val="CommentReference"/>
        </w:rPr>
        <w:commentReference w:id="8"/>
      </w:r>
      <w:r w:rsidRPr="00E030B5">
        <w:rPr>
          <w:rFonts w:ascii="Times New Roman" w:hAnsi="Times New Roman" w:cs="Times New Roman"/>
        </w:rPr>
        <w:t>-plant variation in percent damage we used a linear mixed model (</w:t>
      </w:r>
      <w:proofErr w:type="spellStart"/>
      <w:r w:rsidRPr="00E030B5">
        <w:rPr>
          <w:rFonts w:ascii="Times New Roman" w:hAnsi="Times New Roman" w:cs="Times New Roman"/>
        </w:rPr>
        <w:t>lmer</w:t>
      </w:r>
      <w:proofErr w:type="spellEnd"/>
      <w:r w:rsidRPr="00E030B5">
        <w:rPr>
          <w:rFonts w:ascii="Times New Roman" w:hAnsi="Times New Roman" w:cs="Times New Roman"/>
        </w:rPr>
        <w:t xml:space="preserve"> in RStudio, lme4 package). For both experiments</w:t>
      </w:r>
      <w:r w:rsidR="00872FCB" w:rsidRPr="00E030B5">
        <w:rPr>
          <w:rFonts w:ascii="Times New Roman" w:hAnsi="Times New Roman" w:cs="Times New Roman"/>
        </w:rPr>
        <w:t>,</w:t>
      </w:r>
      <w:r w:rsidRPr="00E030B5">
        <w:rPr>
          <w:rFonts w:ascii="Times New Roman" w:hAnsi="Times New Roman" w:cs="Times New Roman"/>
        </w:rPr>
        <w:t xml:space="preserve"> the predictors included temporal block and larval movement; to account for </w:t>
      </w:r>
      <w:r w:rsidR="00872FCB" w:rsidRPr="00E030B5">
        <w:rPr>
          <w:rFonts w:ascii="Times New Roman" w:hAnsi="Times New Roman" w:cs="Times New Roman"/>
        </w:rPr>
        <w:t xml:space="preserve">the </w:t>
      </w:r>
      <w:r w:rsidRPr="00E030B5">
        <w:rPr>
          <w:rFonts w:ascii="Times New Roman" w:hAnsi="Times New Roman" w:cs="Times New Roman"/>
        </w:rPr>
        <w:t>grouping of individual plants in clusters in the movement treatment, we also included individuals nested within clusters.</w:t>
      </w:r>
    </w:p>
    <w:p w14:paraId="65E43772" w14:textId="77777777" w:rsidR="00C53D27" w:rsidRPr="00E030B5" w:rsidRDefault="0025410D">
      <w:pPr>
        <w:rPr>
          <w:rFonts w:ascii="Times New Roman" w:hAnsi="Times New Roman" w:cs="Times New Roman"/>
          <w:b/>
        </w:rPr>
      </w:pPr>
      <w:commentRangeStart w:id="9"/>
      <w:r w:rsidRPr="00E030B5">
        <w:rPr>
          <w:rFonts w:ascii="Times New Roman" w:hAnsi="Times New Roman" w:cs="Times New Roman"/>
          <w:b/>
        </w:rPr>
        <w:t>Results</w:t>
      </w:r>
      <w:commentRangeEnd w:id="9"/>
      <w:r w:rsidR="00A329E1">
        <w:rPr>
          <w:rStyle w:val="CommentReference"/>
        </w:rPr>
        <w:commentReference w:id="9"/>
      </w:r>
    </w:p>
    <w:p w14:paraId="7F2FF471" w14:textId="67D3417A" w:rsidR="00C53D27" w:rsidRPr="00E030B5" w:rsidRDefault="0025410D">
      <w:pPr>
        <w:rPr>
          <w:rFonts w:ascii="Times New Roman" w:hAnsi="Times New Roman" w:cs="Times New Roman"/>
          <w:b/>
        </w:rPr>
      </w:pPr>
      <w:r w:rsidRPr="00E030B5">
        <w:rPr>
          <w:rFonts w:ascii="Times New Roman" w:hAnsi="Times New Roman" w:cs="Times New Roman"/>
          <w:i/>
        </w:rPr>
        <w:t>Nutrient Enrichment Experiment</w:t>
      </w:r>
    </w:p>
    <w:p w14:paraId="6DC17FB2" w14:textId="125176A7" w:rsidR="00C53D27" w:rsidRPr="00E030B5" w:rsidRDefault="0025410D">
      <w:pPr>
        <w:rPr>
          <w:rFonts w:ascii="Times New Roman" w:hAnsi="Times New Roman" w:cs="Times New Roman"/>
        </w:rPr>
      </w:pPr>
      <w:r w:rsidRPr="00E030B5">
        <w:rPr>
          <w:rFonts w:ascii="Times New Roman" w:hAnsi="Times New Roman" w:cs="Times New Roman"/>
        </w:rPr>
        <w:t>Kale plants that received fertilizer were overall larger than those that were left unfertilized. The longest leaf length of fertilized kale plants ranged from 4.0-14.6 centimeters, while the unfertilized ones ranged from 3.1-11.2 centimeters. Plants had 2 to 8 leaves prior to experimentation, with fewer leaves on the unfertilized plants compared to the fertilized plants. Additionally, the leaves of the unfertilized plant were observed to be purple in color and exhibited more trichomes resulting in a rougher texture compared to the fertilized plants that were green and exhibited a softer texture.</w:t>
      </w:r>
    </w:p>
    <w:p w14:paraId="334CB831" w14:textId="2E83D364" w:rsidR="00C53D27" w:rsidRPr="00E030B5" w:rsidRDefault="0025410D">
      <w:pPr>
        <w:rPr>
          <w:rFonts w:ascii="Times New Roman" w:hAnsi="Times New Roman" w:cs="Times New Roman"/>
        </w:rPr>
      </w:pPr>
      <w:r w:rsidRPr="00E030B5">
        <w:rPr>
          <w:rFonts w:ascii="Times New Roman" w:hAnsi="Times New Roman" w:cs="Times New Roman"/>
        </w:rPr>
        <w:lastRenderedPageBreak/>
        <w:t>Overall, nutrient enrichment and movement each affected the among plant variance in all three response variables (Figures 2, 4, and 6). The effects of larval movement on variance were not consistent across treatments and changed based on the presence or absence of fertilizer (see below).</w:t>
      </w:r>
    </w:p>
    <w:p w14:paraId="2142F244" w14:textId="4536F274" w:rsidR="00C53D27" w:rsidRPr="00E030B5" w:rsidRDefault="0025410D">
      <w:pPr>
        <w:rPr>
          <w:rFonts w:ascii="Times New Roman" w:hAnsi="Times New Roman" w:cs="Times New Roman"/>
        </w:rPr>
      </w:pPr>
      <w:r w:rsidRPr="00E030B5">
        <w:rPr>
          <w:rFonts w:ascii="Times New Roman" w:hAnsi="Times New Roman" w:cs="Times New Roman"/>
          <w:i/>
        </w:rPr>
        <w:t>Relative Growth Rate</w:t>
      </w:r>
      <w:r w:rsidR="00B651D8" w:rsidRPr="00E030B5">
        <w:rPr>
          <w:rFonts w:ascii="Times New Roman" w:hAnsi="Times New Roman" w:cs="Times New Roman"/>
          <w:i/>
        </w:rPr>
        <w:t xml:space="preserve">- </w:t>
      </w:r>
      <w:r w:rsidR="00B651D8" w:rsidRPr="00E030B5">
        <w:rPr>
          <w:rFonts w:ascii="Times New Roman" w:hAnsi="Times New Roman" w:cs="Times New Roman"/>
        </w:rPr>
        <w:t>Fertilization</w:t>
      </w:r>
      <w:r w:rsidRPr="00E030B5">
        <w:rPr>
          <w:rFonts w:ascii="Times New Roman" w:hAnsi="Times New Roman" w:cs="Times New Roman"/>
        </w:rPr>
        <w:t xml:space="preserve"> and movement affected overall variance in the relative growth rate of </w:t>
      </w:r>
      <w:r w:rsidRPr="00E030B5">
        <w:rPr>
          <w:rFonts w:ascii="Times New Roman" w:hAnsi="Times New Roman" w:cs="Times New Roman"/>
          <w:i/>
        </w:rPr>
        <w:t xml:space="preserve">Spodoptera </w:t>
      </w:r>
      <w:proofErr w:type="spellStart"/>
      <w:r w:rsidRPr="00E030B5">
        <w:rPr>
          <w:rFonts w:ascii="Times New Roman" w:hAnsi="Times New Roman" w:cs="Times New Roman"/>
          <w:i/>
        </w:rPr>
        <w:t>exigua</w:t>
      </w:r>
      <w:proofErr w:type="spellEnd"/>
      <w:r w:rsidRPr="00E030B5">
        <w:rPr>
          <w:rFonts w:ascii="Times New Roman" w:hAnsi="Times New Roman" w:cs="Times New Roman"/>
        </w:rPr>
        <w:t xml:space="preserve"> (</w:t>
      </w:r>
      <w:proofErr w:type="spellStart"/>
      <w:r w:rsidRPr="00E030B5">
        <w:rPr>
          <w:rFonts w:ascii="Times New Roman" w:hAnsi="Times New Roman" w:cs="Times New Roman"/>
        </w:rPr>
        <w:t>Levene’s</w:t>
      </w:r>
      <w:proofErr w:type="spellEnd"/>
      <w:r w:rsidRPr="00E030B5">
        <w:rPr>
          <w:rFonts w:ascii="Times New Roman" w:hAnsi="Times New Roman" w:cs="Times New Roman"/>
        </w:rPr>
        <w:t xml:space="preserve"> test, df = 13,132, p&lt;0.001). Overall, fertilized plants had lower variance in larval RGR than unfertilized plants, driven by the significantly greater variation in fertilized plants than unfertilized plants in the absence of movement (Figure 2, Table S1). In addition, preventing larval movement increased variation in larval RGR only in the fertilized plants. The RGR for </w:t>
      </w:r>
      <w:r w:rsidRPr="00E030B5">
        <w:rPr>
          <w:rFonts w:ascii="Times New Roman" w:hAnsi="Times New Roman" w:cs="Times New Roman"/>
          <w:i/>
        </w:rPr>
        <w:t xml:space="preserve">S. </w:t>
      </w:r>
      <w:proofErr w:type="spellStart"/>
      <w:r w:rsidRPr="00E030B5">
        <w:rPr>
          <w:rFonts w:ascii="Times New Roman" w:hAnsi="Times New Roman" w:cs="Times New Roman"/>
          <w:i/>
        </w:rPr>
        <w:t>exigua</w:t>
      </w:r>
      <w:proofErr w:type="spellEnd"/>
      <w:r w:rsidRPr="00E030B5">
        <w:rPr>
          <w:rFonts w:ascii="Times New Roman" w:hAnsi="Times New Roman" w:cs="Times New Roman"/>
        </w:rPr>
        <w:t xml:space="preserve"> had values ranging from -0.79 g/g/day to 1.11 g/g/day. In many instances after the allotted feeding time </w:t>
      </w:r>
      <w:r w:rsidRPr="00E030B5">
        <w:rPr>
          <w:rFonts w:ascii="Times New Roman" w:hAnsi="Times New Roman" w:cs="Times New Roman"/>
          <w:i/>
        </w:rPr>
        <w:t xml:space="preserve">S. </w:t>
      </w:r>
      <w:proofErr w:type="spellStart"/>
      <w:r w:rsidRPr="00E030B5">
        <w:rPr>
          <w:rFonts w:ascii="Times New Roman" w:hAnsi="Times New Roman" w:cs="Times New Roman"/>
          <w:i/>
        </w:rPr>
        <w:t>exigua</w:t>
      </w:r>
      <w:proofErr w:type="spellEnd"/>
      <w:r w:rsidRPr="00E030B5">
        <w:rPr>
          <w:rFonts w:ascii="Times New Roman" w:hAnsi="Times New Roman" w:cs="Times New Roman"/>
          <w:i/>
        </w:rPr>
        <w:t xml:space="preserve"> </w:t>
      </w:r>
      <w:r w:rsidRPr="00E030B5">
        <w:rPr>
          <w:rFonts w:ascii="Times New Roman" w:hAnsi="Times New Roman" w:cs="Times New Roman"/>
        </w:rPr>
        <w:t xml:space="preserve">were not found on the plants but instead were on the side of the mesh bag at the end of the trail, likely contributing to negative RGR observations. Further, not all </w:t>
      </w:r>
      <w:proofErr w:type="spellStart"/>
      <w:proofErr w:type="gramStart"/>
      <w:r w:rsidRPr="00E030B5">
        <w:rPr>
          <w:rFonts w:ascii="Times New Roman" w:hAnsi="Times New Roman" w:cs="Times New Roman"/>
          <w:i/>
        </w:rPr>
        <w:t>S.exigua</w:t>
      </w:r>
      <w:proofErr w:type="spellEnd"/>
      <w:proofErr w:type="gramEnd"/>
      <w:r w:rsidRPr="00E030B5">
        <w:rPr>
          <w:rFonts w:ascii="Times New Roman" w:hAnsi="Times New Roman" w:cs="Times New Roman"/>
        </w:rPr>
        <w:t xml:space="preserve"> could be located after the experiment.</w:t>
      </w:r>
    </w:p>
    <w:p w14:paraId="2054D29A" w14:textId="0C8E49F2" w:rsidR="00C53D27" w:rsidRPr="00E030B5" w:rsidRDefault="0025410D">
      <w:pPr>
        <w:rPr>
          <w:rFonts w:ascii="Times New Roman" w:hAnsi="Times New Roman" w:cs="Times New Roman"/>
        </w:rPr>
      </w:pPr>
      <w:r w:rsidRPr="00E030B5">
        <w:rPr>
          <w:rFonts w:ascii="Times New Roman" w:hAnsi="Times New Roman" w:cs="Times New Roman"/>
          <w:i/>
        </w:rPr>
        <w:t>Mean Percent Damage</w:t>
      </w:r>
      <w:r w:rsidRPr="00E030B5">
        <w:rPr>
          <w:rFonts w:ascii="Times New Roman" w:hAnsi="Times New Roman" w:cs="Times New Roman"/>
        </w:rPr>
        <w:t>- The overall variation of among-plant mean percent leaf damage was affected by the presence of fertilizer and movement (</w:t>
      </w:r>
      <w:proofErr w:type="spellStart"/>
      <w:r w:rsidRPr="00E030B5">
        <w:rPr>
          <w:rFonts w:ascii="Times New Roman" w:hAnsi="Times New Roman" w:cs="Times New Roman"/>
        </w:rPr>
        <w:t>Levene’s</w:t>
      </w:r>
      <w:proofErr w:type="spellEnd"/>
      <w:r w:rsidRPr="00E030B5">
        <w:rPr>
          <w:rFonts w:ascii="Times New Roman" w:hAnsi="Times New Roman" w:cs="Times New Roman"/>
        </w:rPr>
        <w:t xml:space="preserve"> test, df = 13, 238, p &lt; 0.001, Figure 4). The levels of damage for unfertilized plants ranged from 0-78.3%, whereas fertilized plants had damage levels between 0-15.3%. In contrast to RGR results, unfertilized plants had higher variation in mean percent leaf damage, driven by the difference between fertilizer treatments when larvae could move (Figure 4, Table S1).</w:t>
      </w:r>
    </w:p>
    <w:p w14:paraId="712024C0" w14:textId="276D8128" w:rsidR="00C53D27" w:rsidRPr="00E030B5" w:rsidRDefault="0025410D">
      <w:pPr>
        <w:rPr>
          <w:rFonts w:ascii="Times New Roman" w:hAnsi="Times New Roman" w:cs="Times New Roman"/>
        </w:rPr>
      </w:pPr>
      <w:r w:rsidRPr="00E030B5">
        <w:rPr>
          <w:rFonts w:ascii="Times New Roman" w:hAnsi="Times New Roman" w:cs="Times New Roman"/>
          <w:i/>
        </w:rPr>
        <w:t>Mean Absolute Leaf Damage</w:t>
      </w:r>
      <w:r w:rsidRPr="00E030B5">
        <w:rPr>
          <w:rFonts w:ascii="Times New Roman" w:hAnsi="Times New Roman" w:cs="Times New Roman"/>
        </w:rPr>
        <w:t>- Overall the variation of the absolute leaf damage was significantly affected by the presence of fertilizer and movement (</w:t>
      </w:r>
      <w:proofErr w:type="spellStart"/>
      <w:r w:rsidRPr="00E030B5">
        <w:rPr>
          <w:rFonts w:ascii="Times New Roman" w:hAnsi="Times New Roman" w:cs="Times New Roman"/>
        </w:rPr>
        <w:t>Levene’s</w:t>
      </w:r>
      <w:proofErr w:type="spellEnd"/>
      <w:r w:rsidRPr="00E030B5">
        <w:rPr>
          <w:rFonts w:ascii="Times New Roman" w:hAnsi="Times New Roman" w:cs="Times New Roman"/>
        </w:rPr>
        <w:t xml:space="preserve"> test, df = 13, 238, p &lt; 0.001, Figure 6). Mean absolute leaf damage ranged from 0-21.9 cm</w:t>
      </w:r>
      <w:r w:rsidRPr="00E030B5">
        <w:rPr>
          <w:rFonts w:ascii="Times New Roman" w:hAnsi="Times New Roman" w:cs="Times New Roman"/>
          <w:vertAlign w:val="superscript"/>
        </w:rPr>
        <w:t>2</w:t>
      </w:r>
      <w:r w:rsidRPr="00E030B5">
        <w:rPr>
          <w:rFonts w:ascii="Times New Roman" w:hAnsi="Times New Roman" w:cs="Times New Roman"/>
        </w:rPr>
        <w:t xml:space="preserve">. All </w:t>
      </w:r>
      <w:r w:rsidRPr="00E030B5">
        <w:rPr>
          <w:rFonts w:ascii="Times New Roman" w:hAnsi="Times New Roman" w:cs="Times New Roman"/>
          <w:i/>
        </w:rPr>
        <w:t>post-hoc</w:t>
      </w:r>
      <w:r w:rsidRPr="00E030B5">
        <w:rPr>
          <w:rFonts w:ascii="Times New Roman" w:hAnsi="Times New Roman" w:cs="Times New Roman"/>
        </w:rPr>
        <w:t xml:space="preserve"> pairwise tests were statistically significant (Table S1). Without larval movement, unfertilized plants had higher variability in damage. The opposite effect was seen when larvae could move</w:t>
      </w:r>
      <w:r w:rsidR="00B45F15" w:rsidRPr="00E030B5">
        <w:rPr>
          <w:rFonts w:ascii="Times New Roman" w:hAnsi="Times New Roman" w:cs="Times New Roman"/>
        </w:rPr>
        <w:t>--</w:t>
      </w:r>
      <w:r w:rsidRPr="00E030B5">
        <w:rPr>
          <w:rFonts w:ascii="Times New Roman" w:hAnsi="Times New Roman" w:cs="Times New Roman"/>
        </w:rPr>
        <w:t>among-plant variance increased with fertilizer. In the absence of fertilizer, no larval movement resulted in higher variance of damage. In contrast, with fertilizer, larval movement resulted in higher variance of damage.</w:t>
      </w:r>
    </w:p>
    <w:p w14:paraId="792ECC89" w14:textId="3B7AC990" w:rsidR="00C53D27" w:rsidRPr="00E030B5" w:rsidRDefault="0025410D">
      <w:pPr>
        <w:rPr>
          <w:rFonts w:ascii="Times New Roman" w:hAnsi="Times New Roman" w:cs="Times New Roman"/>
        </w:rPr>
      </w:pPr>
      <w:r w:rsidRPr="00E030B5">
        <w:rPr>
          <w:rFonts w:ascii="Times New Roman" w:hAnsi="Times New Roman" w:cs="Times New Roman"/>
          <w:i/>
        </w:rPr>
        <w:t xml:space="preserve">Within Plant - </w:t>
      </w:r>
      <w:r w:rsidRPr="00E030B5">
        <w:rPr>
          <w:rFonts w:ascii="Times New Roman" w:hAnsi="Times New Roman" w:cs="Times New Roman"/>
        </w:rPr>
        <w:t xml:space="preserve">Damage within plants was more variable under high levels of nutrients and ranged from -1.69 to 1.25 (Figure 8). Within plant variation was significantly affected by the presence of </w:t>
      </w:r>
      <w:r w:rsidRPr="00E030B5">
        <w:rPr>
          <w:rFonts w:ascii="Times New Roman" w:hAnsi="Times New Roman" w:cs="Times New Roman"/>
        </w:rPr>
        <w:lastRenderedPageBreak/>
        <w:t>fertilizer (</w:t>
      </w:r>
      <w:r w:rsidRPr="00E030B5">
        <w:rPr>
          <w:rFonts w:ascii="Cambria Math" w:hAnsi="Cambria Math" w:cs="Cambria Math"/>
        </w:rPr>
        <w:t>𝜒</w:t>
      </w:r>
      <w:r w:rsidRPr="00E030B5">
        <w:rPr>
          <w:rFonts w:ascii="Times New Roman" w:hAnsi="Times New Roman" w:cs="Times New Roman"/>
          <w:vertAlign w:val="superscript"/>
        </w:rPr>
        <w:t>2</w:t>
      </w:r>
      <w:r w:rsidRPr="00E030B5">
        <w:rPr>
          <w:rFonts w:ascii="Times New Roman" w:hAnsi="Times New Roman" w:cs="Times New Roman"/>
        </w:rPr>
        <w:t>, df =1, p&lt;0.001) and the interaction of fertilizer and movement (</w:t>
      </w:r>
      <w:r w:rsidRPr="00E030B5">
        <w:rPr>
          <w:rFonts w:ascii="Cambria Math" w:hAnsi="Cambria Math" w:cs="Cambria Math"/>
        </w:rPr>
        <w:t>𝜒</w:t>
      </w:r>
      <w:r w:rsidRPr="00E030B5">
        <w:rPr>
          <w:rFonts w:ascii="Times New Roman" w:hAnsi="Times New Roman" w:cs="Times New Roman"/>
          <w:vertAlign w:val="superscript"/>
        </w:rPr>
        <w:t>2</w:t>
      </w:r>
      <w:r w:rsidRPr="00E030B5">
        <w:rPr>
          <w:rFonts w:ascii="Times New Roman" w:hAnsi="Times New Roman" w:cs="Times New Roman"/>
        </w:rPr>
        <w:t>, df =1, p&lt;0.01). Movement alone did not affect within plant variation (</w:t>
      </w:r>
      <w:r w:rsidRPr="00E030B5">
        <w:rPr>
          <w:rFonts w:ascii="Cambria Math" w:hAnsi="Cambria Math" w:cs="Cambria Math"/>
        </w:rPr>
        <w:t>𝜒</w:t>
      </w:r>
      <w:r w:rsidRPr="00E030B5">
        <w:rPr>
          <w:rFonts w:ascii="Times New Roman" w:hAnsi="Times New Roman" w:cs="Times New Roman"/>
          <w:vertAlign w:val="superscript"/>
        </w:rPr>
        <w:t>2</w:t>
      </w:r>
      <w:r w:rsidRPr="00E030B5">
        <w:rPr>
          <w:rFonts w:ascii="Times New Roman" w:hAnsi="Times New Roman" w:cs="Times New Roman"/>
        </w:rPr>
        <w:t>, df =1, p = 0.75).</w:t>
      </w:r>
    </w:p>
    <w:p w14:paraId="1369AE77" w14:textId="77777777" w:rsidR="00C53D27" w:rsidRPr="00E030B5" w:rsidRDefault="0025410D">
      <w:pPr>
        <w:rPr>
          <w:rFonts w:ascii="Times New Roman" w:hAnsi="Times New Roman" w:cs="Times New Roman"/>
          <w:i/>
        </w:rPr>
      </w:pPr>
      <w:r w:rsidRPr="00E030B5">
        <w:rPr>
          <w:rFonts w:ascii="Times New Roman" w:hAnsi="Times New Roman" w:cs="Times New Roman"/>
          <w:i/>
        </w:rPr>
        <w:t>Associational Effects Experiment</w:t>
      </w:r>
    </w:p>
    <w:p w14:paraId="5856C719" w14:textId="2F00A21D" w:rsidR="00C53D27" w:rsidRPr="00E030B5" w:rsidRDefault="0025410D">
      <w:pPr>
        <w:rPr>
          <w:rFonts w:ascii="Times New Roman" w:hAnsi="Times New Roman" w:cs="Times New Roman"/>
        </w:rPr>
      </w:pPr>
      <w:r w:rsidRPr="00E030B5">
        <w:rPr>
          <w:rFonts w:ascii="Times New Roman" w:hAnsi="Times New Roman" w:cs="Times New Roman"/>
        </w:rPr>
        <w:t>Mustard plants were overall larger in size and leaf length than the kale plants. The longest leaf length on kale plants ranged from 6.3-14.5 centimeters, while the mustard plants ranged from 7.2-17.5 centimeters. Kale plants started with 3-7 leaves per plant and mustard plants had 3-9 leaves per plant. Mustard plants had long smooth leaves appearing mostly green with a little bit of purple and little to no trichomes present to the touch. Kale plants were green and exhibited a soft texture.</w:t>
      </w:r>
    </w:p>
    <w:p w14:paraId="1420E8F2" w14:textId="77777777" w:rsidR="00C53D27" w:rsidRPr="00E030B5" w:rsidRDefault="0025410D">
      <w:pPr>
        <w:rPr>
          <w:rFonts w:ascii="Times New Roman" w:hAnsi="Times New Roman" w:cs="Times New Roman"/>
          <w:strike/>
          <w:highlight w:val="white"/>
        </w:rPr>
      </w:pPr>
      <w:r w:rsidRPr="00E030B5">
        <w:rPr>
          <w:rFonts w:ascii="Times New Roman" w:hAnsi="Times New Roman" w:cs="Times New Roman"/>
          <w:highlight w:val="white"/>
        </w:rPr>
        <w:t>Overall, associational effects and larval movement affected the variance in all three response variables (Figure 3, 5, and 7). Larval movement (cluster vs individual kale) affected variance in all three response variables, while neighbors (same or different) affected damage but not larval RGR (Table S2)</w:t>
      </w:r>
      <w:r w:rsidRPr="00E030B5">
        <w:rPr>
          <w:rFonts w:ascii="Times New Roman" w:hAnsi="Times New Roman" w:cs="Times New Roman"/>
          <w:i/>
          <w:highlight w:val="white"/>
        </w:rPr>
        <w:t>.</w:t>
      </w:r>
    </w:p>
    <w:p w14:paraId="4D953DBE" w14:textId="382996FE" w:rsidR="00C53D27" w:rsidRPr="00E030B5" w:rsidRDefault="0025410D">
      <w:pPr>
        <w:rPr>
          <w:rFonts w:ascii="Times New Roman" w:hAnsi="Times New Roman" w:cs="Times New Roman"/>
          <w:strike/>
          <w:highlight w:val="white"/>
        </w:rPr>
      </w:pPr>
      <w:r w:rsidRPr="00E030B5">
        <w:rPr>
          <w:rFonts w:ascii="Times New Roman" w:hAnsi="Times New Roman" w:cs="Times New Roman"/>
          <w:i/>
          <w:highlight w:val="white"/>
        </w:rPr>
        <w:t xml:space="preserve">Relative Growth Rate </w:t>
      </w:r>
      <w:r w:rsidRPr="00E030B5">
        <w:rPr>
          <w:rFonts w:ascii="Times New Roman" w:hAnsi="Times New Roman" w:cs="Times New Roman"/>
          <w:highlight w:val="white"/>
        </w:rPr>
        <w:t xml:space="preserve">- </w:t>
      </w:r>
      <w:r w:rsidRPr="00E030B5">
        <w:rPr>
          <w:rFonts w:ascii="Times New Roman" w:hAnsi="Times New Roman" w:cs="Times New Roman"/>
        </w:rPr>
        <w:t>Larval RGR was significantly affected by host variation and larval movement (</w:t>
      </w:r>
      <w:proofErr w:type="spellStart"/>
      <w:r w:rsidRPr="00E030B5">
        <w:rPr>
          <w:rFonts w:ascii="Times New Roman" w:hAnsi="Times New Roman" w:cs="Times New Roman"/>
        </w:rPr>
        <w:t>Levene’s</w:t>
      </w:r>
      <w:proofErr w:type="spellEnd"/>
      <w:r w:rsidRPr="00E030B5">
        <w:rPr>
          <w:rFonts w:ascii="Times New Roman" w:hAnsi="Times New Roman" w:cs="Times New Roman"/>
        </w:rPr>
        <w:t xml:space="preserve"> Test, p&lt; 0.001, df = 10,112). In kale monoculture, variation in larval RGR was higher without larval movement (Table S2). </w:t>
      </w:r>
      <w:r w:rsidRPr="00E030B5">
        <w:rPr>
          <w:rFonts w:ascii="Times New Roman" w:hAnsi="Times New Roman" w:cs="Times New Roman"/>
          <w:i/>
        </w:rPr>
        <w:t xml:space="preserve">S. </w:t>
      </w:r>
      <w:proofErr w:type="spellStart"/>
      <w:r w:rsidRPr="00E030B5">
        <w:rPr>
          <w:rFonts w:ascii="Times New Roman" w:hAnsi="Times New Roman" w:cs="Times New Roman"/>
          <w:i/>
        </w:rPr>
        <w:t>exigua</w:t>
      </w:r>
      <w:proofErr w:type="spellEnd"/>
      <w:r w:rsidRPr="00E030B5">
        <w:rPr>
          <w:rFonts w:ascii="Times New Roman" w:hAnsi="Times New Roman" w:cs="Times New Roman"/>
        </w:rPr>
        <w:t xml:space="preserve"> RGR’s ranging from -2.01 to 1.69 g/g/day. When removing larvae from plants, they were often found on the side of mesh bags. Since larvae were not actively feeding for an allotted time, it likely contributed to negative larval RGR. In some </w:t>
      </w:r>
      <w:r w:rsidR="004B156B" w:rsidRPr="00E030B5">
        <w:rPr>
          <w:rFonts w:ascii="Times New Roman" w:hAnsi="Times New Roman" w:cs="Times New Roman"/>
        </w:rPr>
        <w:t>instances,</w:t>
      </w:r>
      <w:r w:rsidRPr="00E030B5">
        <w:rPr>
          <w:rFonts w:ascii="Times New Roman" w:hAnsi="Times New Roman" w:cs="Times New Roman"/>
        </w:rPr>
        <w:t xml:space="preserve"> </w:t>
      </w:r>
      <w:r w:rsidRPr="00E030B5">
        <w:rPr>
          <w:rFonts w:ascii="Times New Roman" w:hAnsi="Times New Roman" w:cs="Times New Roman"/>
          <w:i/>
        </w:rPr>
        <w:t xml:space="preserve">S. </w:t>
      </w:r>
      <w:proofErr w:type="spellStart"/>
      <w:r w:rsidRPr="00E030B5">
        <w:rPr>
          <w:rFonts w:ascii="Times New Roman" w:hAnsi="Times New Roman" w:cs="Times New Roman"/>
          <w:i/>
        </w:rPr>
        <w:t>exigua</w:t>
      </w:r>
      <w:proofErr w:type="spellEnd"/>
      <w:r w:rsidRPr="00E030B5">
        <w:rPr>
          <w:rFonts w:ascii="Times New Roman" w:hAnsi="Times New Roman" w:cs="Times New Roman"/>
        </w:rPr>
        <w:t xml:space="preserve"> could not be located.</w:t>
      </w:r>
    </w:p>
    <w:p w14:paraId="716E73D8" w14:textId="2E925C33" w:rsidR="00C53D27" w:rsidRPr="00E030B5" w:rsidRDefault="0025410D">
      <w:pPr>
        <w:rPr>
          <w:rFonts w:ascii="Times New Roman" w:hAnsi="Times New Roman" w:cs="Times New Roman"/>
          <w:highlight w:val="white"/>
        </w:rPr>
      </w:pPr>
      <w:r w:rsidRPr="00E030B5">
        <w:rPr>
          <w:rFonts w:ascii="Times New Roman" w:hAnsi="Times New Roman" w:cs="Times New Roman"/>
          <w:i/>
          <w:highlight w:val="white"/>
        </w:rPr>
        <w:t>Mean Percent Damage</w:t>
      </w:r>
      <w:r w:rsidRPr="00E030B5">
        <w:rPr>
          <w:rFonts w:ascii="Times New Roman" w:hAnsi="Times New Roman" w:cs="Times New Roman"/>
          <w:highlight w:val="white"/>
        </w:rPr>
        <w:t xml:space="preserve"> - T</w:t>
      </w:r>
      <w:r w:rsidRPr="00E030B5">
        <w:rPr>
          <w:rFonts w:ascii="Times New Roman" w:hAnsi="Times New Roman" w:cs="Times New Roman"/>
        </w:rPr>
        <w:t xml:space="preserve">he overall variation of among-plant mean percent leaf damage of </w:t>
      </w:r>
      <w:r w:rsidRPr="00E030B5">
        <w:rPr>
          <w:rFonts w:ascii="Times New Roman" w:hAnsi="Times New Roman" w:cs="Times New Roman"/>
          <w:i/>
        </w:rPr>
        <w:t xml:space="preserve">S. </w:t>
      </w:r>
      <w:proofErr w:type="spellStart"/>
      <w:r w:rsidRPr="00E030B5">
        <w:rPr>
          <w:rFonts w:ascii="Times New Roman" w:hAnsi="Times New Roman" w:cs="Times New Roman"/>
          <w:i/>
        </w:rPr>
        <w:t>exigua</w:t>
      </w:r>
      <w:proofErr w:type="spellEnd"/>
      <w:r w:rsidRPr="00E030B5">
        <w:rPr>
          <w:rFonts w:ascii="Times New Roman" w:hAnsi="Times New Roman" w:cs="Times New Roman"/>
        </w:rPr>
        <w:t xml:space="preserve"> was significantly affected by associational effects and movement (</w:t>
      </w:r>
      <w:proofErr w:type="spellStart"/>
      <w:r w:rsidRPr="00E030B5">
        <w:rPr>
          <w:rFonts w:ascii="Times New Roman" w:hAnsi="Times New Roman" w:cs="Times New Roman"/>
        </w:rPr>
        <w:t>Levene’s</w:t>
      </w:r>
      <w:proofErr w:type="spellEnd"/>
      <w:r w:rsidRPr="00E030B5">
        <w:rPr>
          <w:rFonts w:ascii="Times New Roman" w:hAnsi="Times New Roman" w:cs="Times New Roman"/>
        </w:rPr>
        <w:t xml:space="preserve"> test, df = 11, 117, p &lt; 0.001, Figure 5). Mean percent leaf damage ranged from 0 to 28.8 percent. Monoculture kale plants in the no movement treatment had higher variance in damage, driven by the absence of movement (Table S2)</w:t>
      </w:r>
      <w:r w:rsidRPr="00E030B5">
        <w:rPr>
          <w:rFonts w:ascii="Times New Roman" w:hAnsi="Times New Roman" w:cs="Times New Roman"/>
          <w:i/>
        </w:rPr>
        <w:t>.</w:t>
      </w:r>
      <w:r w:rsidRPr="00E030B5">
        <w:rPr>
          <w:rFonts w:ascii="Times New Roman" w:hAnsi="Times New Roman" w:cs="Times New Roman"/>
        </w:rPr>
        <w:t xml:space="preserve"> However, in the presence of larval movement, the </w:t>
      </w:r>
      <w:proofErr w:type="spellStart"/>
      <w:r w:rsidRPr="00E030B5">
        <w:rPr>
          <w:rFonts w:ascii="Times New Roman" w:hAnsi="Times New Roman" w:cs="Times New Roman"/>
        </w:rPr>
        <w:t>diculture</w:t>
      </w:r>
      <w:proofErr w:type="spellEnd"/>
      <w:r w:rsidRPr="00E030B5">
        <w:rPr>
          <w:rFonts w:ascii="Times New Roman" w:hAnsi="Times New Roman" w:cs="Times New Roman"/>
        </w:rPr>
        <w:t xml:space="preserve"> had higher variance than the kale monoculture.</w:t>
      </w:r>
    </w:p>
    <w:p w14:paraId="355F0CCC" w14:textId="465B02BF" w:rsidR="00C53D27" w:rsidRPr="00E030B5" w:rsidRDefault="0025410D">
      <w:pPr>
        <w:rPr>
          <w:rFonts w:ascii="Times New Roman" w:hAnsi="Times New Roman" w:cs="Times New Roman"/>
          <w:strike/>
          <w:highlight w:val="white"/>
        </w:rPr>
      </w:pPr>
      <w:r w:rsidRPr="00E030B5">
        <w:rPr>
          <w:rFonts w:ascii="Times New Roman" w:hAnsi="Times New Roman" w:cs="Times New Roman"/>
          <w:i/>
          <w:highlight w:val="white"/>
        </w:rPr>
        <w:t xml:space="preserve">Absolute Mean Leaf Damage </w:t>
      </w:r>
      <w:r w:rsidRPr="00E030B5">
        <w:rPr>
          <w:rFonts w:ascii="Times New Roman" w:hAnsi="Times New Roman" w:cs="Times New Roman"/>
          <w:highlight w:val="white"/>
        </w:rPr>
        <w:t xml:space="preserve">- The overall variation in absolute leaf damage was significantly affected by associational effects and movement </w:t>
      </w:r>
      <w:r w:rsidRPr="00E030B5">
        <w:rPr>
          <w:rFonts w:ascii="Times New Roman" w:hAnsi="Times New Roman" w:cs="Times New Roman"/>
        </w:rPr>
        <w:t>(</w:t>
      </w:r>
      <w:proofErr w:type="spellStart"/>
      <w:r w:rsidRPr="00E030B5">
        <w:rPr>
          <w:rFonts w:ascii="Times New Roman" w:hAnsi="Times New Roman" w:cs="Times New Roman"/>
        </w:rPr>
        <w:t>Levene’s</w:t>
      </w:r>
      <w:proofErr w:type="spellEnd"/>
      <w:r w:rsidRPr="00E030B5">
        <w:rPr>
          <w:rFonts w:ascii="Times New Roman" w:hAnsi="Times New Roman" w:cs="Times New Roman"/>
        </w:rPr>
        <w:t xml:space="preserve"> Test, df = 13, 238, p &lt; 0.001, Figure 7)</w:t>
      </w:r>
      <w:r w:rsidRPr="00E030B5">
        <w:rPr>
          <w:rFonts w:ascii="Times New Roman" w:hAnsi="Times New Roman" w:cs="Times New Roman"/>
          <w:highlight w:val="white"/>
        </w:rPr>
        <w:t xml:space="preserve">. </w:t>
      </w:r>
      <w:r w:rsidRPr="00E030B5">
        <w:rPr>
          <w:rFonts w:ascii="Times New Roman" w:hAnsi="Times New Roman" w:cs="Times New Roman"/>
        </w:rPr>
        <w:t>Mean absolute leaf damage calculated ranged from 0 to 27.62 cm</w:t>
      </w:r>
      <w:r w:rsidRPr="00E030B5">
        <w:rPr>
          <w:rFonts w:ascii="Times New Roman" w:hAnsi="Times New Roman" w:cs="Times New Roman"/>
          <w:vertAlign w:val="superscript"/>
        </w:rPr>
        <w:t>2</w:t>
      </w:r>
      <w:r w:rsidRPr="00E030B5">
        <w:rPr>
          <w:rFonts w:ascii="Times New Roman" w:hAnsi="Times New Roman" w:cs="Times New Roman"/>
          <w:highlight w:val="white"/>
        </w:rPr>
        <w:t xml:space="preserve">. When larval movement </w:t>
      </w:r>
      <w:r w:rsidRPr="00E030B5">
        <w:rPr>
          <w:rFonts w:ascii="Times New Roman" w:hAnsi="Times New Roman" w:cs="Times New Roman"/>
          <w:highlight w:val="white"/>
        </w:rPr>
        <w:lastRenderedPageBreak/>
        <w:t xml:space="preserve">was present in the kale monocultures, variance in damage increased. Comparing monocultures to </w:t>
      </w:r>
      <w:proofErr w:type="spellStart"/>
      <w:r w:rsidRPr="00E030B5">
        <w:rPr>
          <w:rFonts w:ascii="Times New Roman" w:hAnsi="Times New Roman" w:cs="Times New Roman"/>
          <w:highlight w:val="white"/>
        </w:rPr>
        <w:t>dicultures</w:t>
      </w:r>
      <w:proofErr w:type="spellEnd"/>
      <w:r w:rsidRPr="00E030B5">
        <w:rPr>
          <w:rFonts w:ascii="Times New Roman" w:hAnsi="Times New Roman" w:cs="Times New Roman"/>
          <w:highlight w:val="white"/>
        </w:rPr>
        <w:t xml:space="preserve">, variance was higher in the </w:t>
      </w:r>
      <w:proofErr w:type="spellStart"/>
      <w:r w:rsidRPr="00E030B5">
        <w:rPr>
          <w:rFonts w:ascii="Times New Roman" w:hAnsi="Times New Roman" w:cs="Times New Roman"/>
          <w:highlight w:val="white"/>
        </w:rPr>
        <w:t>dicultures</w:t>
      </w:r>
      <w:proofErr w:type="spellEnd"/>
      <w:r w:rsidRPr="00E030B5">
        <w:rPr>
          <w:rFonts w:ascii="Times New Roman" w:hAnsi="Times New Roman" w:cs="Times New Roman"/>
          <w:highlight w:val="white"/>
        </w:rPr>
        <w:t xml:space="preserve"> than the monocultures.</w:t>
      </w:r>
    </w:p>
    <w:p w14:paraId="1A7AB42C" w14:textId="0A7027C0" w:rsidR="00C53D27" w:rsidRPr="00E030B5" w:rsidRDefault="0025410D">
      <w:pPr>
        <w:rPr>
          <w:rFonts w:ascii="Times New Roman" w:hAnsi="Times New Roman" w:cs="Times New Roman"/>
          <w:highlight w:val="white"/>
        </w:rPr>
      </w:pPr>
      <w:r w:rsidRPr="00E030B5">
        <w:rPr>
          <w:rFonts w:ascii="Times New Roman" w:hAnsi="Times New Roman" w:cs="Times New Roman"/>
          <w:i/>
          <w:highlight w:val="white"/>
        </w:rPr>
        <w:t>Within Plant</w:t>
      </w:r>
      <w:r w:rsidRPr="00E030B5">
        <w:rPr>
          <w:rFonts w:ascii="Times New Roman" w:hAnsi="Times New Roman" w:cs="Times New Roman"/>
          <w:highlight w:val="white"/>
        </w:rPr>
        <w:t xml:space="preserve"> - The within-plant damage calculated using coefficient of variation was only significantly affected by temporal block (</w:t>
      </w:r>
      <w:r w:rsidRPr="00E030B5">
        <w:rPr>
          <w:rFonts w:ascii="Cambria Math" w:hAnsi="Cambria Math" w:cs="Cambria Math"/>
        </w:rPr>
        <w:t>𝜒</w:t>
      </w:r>
      <w:r w:rsidRPr="00E030B5">
        <w:rPr>
          <w:rFonts w:ascii="Times New Roman" w:hAnsi="Times New Roman" w:cs="Times New Roman"/>
          <w:vertAlign w:val="superscript"/>
        </w:rPr>
        <w:t>2</w:t>
      </w:r>
      <w:r w:rsidRPr="00E030B5">
        <w:rPr>
          <w:rFonts w:ascii="Times New Roman" w:hAnsi="Times New Roman" w:cs="Times New Roman"/>
        </w:rPr>
        <w:t>, df = 1, p = 0.02, Figure 9). While within-plant variability ranged from 0 to 2.65, associational effects and movement did not significantly affect the variance of damage found within each plant.</w:t>
      </w:r>
      <w:r w:rsidRPr="00E030B5">
        <w:rPr>
          <w:rFonts w:ascii="Times New Roman" w:hAnsi="Times New Roman" w:cs="Times New Roman"/>
          <w:highlight w:val="white"/>
        </w:rPr>
        <w:t xml:space="preserve"> In each treatment </w:t>
      </w:r>
      <w:r w:rsidRPr="00E030B5">
        <w:rPr>
          <w:rFonts w:ascii="Times New Roman" w:hAnsi="Times New Roman" w:cs="Times New Roman"/>
        </w:rPr>
        <w:t>all plants received similar levels of damage.</w:t>
      </w:r>
    </w:p>
    <w:p w14:paraId="705EA917" w14:textId="77777777" w:rsidR="00C53D27" w:rsidRPr="00E030B5" w:rsidRDefault="0025410D">
      <w:pPr>
        <w:pStyle w:val="Heading2"/>
        <w:rPr>
          <w:rFonts w:ascii="Times New Roman" w:hAnsi="Times New Roman" w:cs="Times New Roman"/>
        </w:rPr>
      </w:pPr>
      <w:bookmarkStart w:id="10" w:name="_dr7kb3hek3y3" w:colFirst="0" w:colLast="0"/>
      <w:bookmarkEnd w:id="10"/>
      <w:commentRangeStart w:id="11"/>
      <w:r w:rsidRPr="00E030B5">
        <w:rPr>
          <w:rFonts w:ascii="Times New Roman" w:hAnsi="Times New Roman" w:cs="Times New Roman"/>
        </w:rPr>
        <w:t>Discussion</w:t>
      </w:r>
      <w:commentRangeEnd w:id="11"/>
      <w:r w:rsidR="00A329E1">
        <w:rPr>
          <w:rStyle w:val="CommentReference"/>
          <w:b w:val="0"/>
        </w:rPr>
        <w:commentReference w:id="11"/>
      </w:r>
    </w:p>
    <w:p w14:paraId="08DA1B3C" w14:textId="4B997A6E" w:rsidR="00FD3E77" w:rsidRPr="00E030B5" w:rsidRDefault="00FD3E77" w:rsidP="00FD3E77">
      <w:pPr>
        <w:rPr>
          <w:rFonts w:ascii="Times New Roman" w:hAnsi="Times New Roman" w:cs="Times New Roman"/>
        </w:rPr>
      </w:pPr>
      <w:r w:rsidRPr="00E030B5">
        <w:rPr>
          <w:rFonts w:ascii="Times New Roman" w:hAnsi="Times New Roman" w:cs="Times New Roman"/>
        </w:rPr>
        <w:t xml:space="preserve">Our study shows that variability of herbivory damage amongst plants is affected by changes in the environment. While other studies have looked at nutrient availability or associational effects on the mean effect of damage, our study is the first to our knowledge to investigate how environmental changes affect the variability of herbivory damage among and within plants </w:t>
      </w:r>
      <w:r w:rsidR="00F1624F" w:rsidRPr="00E030B5">
        <w:rPr>
          <w:rFonts w:ascii="Times New Roman" w:hAnsi="Times New Roman" w:cs="Times New Roman"/>
        </w:rPr>
        <w:fldChar w:fldCharType="begin"/>
      </w:r>
      <w:r w:rsidR="00105577" w:rsidRPr="00E030B5">
        <w:rPr>
          <w:rFonts w:ascii="Times New Roman" w:hAnsi="Times New Roman" w:cs="Times New Roman"/>
        </w:rPr>
        <w:instrText xml:space="preserve"> ADDIN ZOTERO_ITEM CSL_CITATION {"citationID":"sTpmqpBh","properties":{"formattedCitation":"(Wetzel et al., 2016)","plainCitation":"(Wetzel et al., 2016)","noteIndex":0},"citationItems":[{"id":61,"uris":["http://zotero.org/groups/4590459/items/XHMXYASY"],"itemData":{"id":61,"type":"article-journal","abstract":"Variation in plant nutrient levels suppresses insect herbivore populations and the homogenous nutrient content of modern agricultural crops could be contributing to insect pest outbreaks.","container-title":"Nature","DOI":"10.1038/nature20140","ISSN":"1476-4687","issue":"7629","language":"en","note":"number: 7629\npublisher: Nature Publishing Group","page":"425-427","source":"www-nature-com.proxy.lib.pacificu.edu:2443","title":"Variability in plant nutrients reduces insect herbivore performance","volume":"539","author":[{"family":"Wetzel","given":"William C."},{"family":"Kharouba","given":"Heather M."},{"family":"Robinson","given":"Moria"},{"family":"Holyoak","given":"Marcel"},{"family":"Karban","given":"Richard"}],"issued":{"date-parts":[["2016",11]]}}}],"schema":"https://github.com/citation-style-language/schema/raw/master/csl-citation.json"} </w:instrText>
      </w:r>
      <w:r w:rsidR="00F1624F" w:rsidRPr="00E030B5">
        <w:rPr>
          <w:rFonts w:ascii="Times New Roman" w:hAnsi="Times New Roman" w:cs="Times New Roman"/>
        </w:rPr>
        <w:fldChar w:fldCharType="separate"/>
      </w:r>
      <w:r w:rsidR="00105577" w:rsidRPr="00E030B5">
        <w:rPr>
          <w:rFonts w:ascii="Times New Roman" w:hAnsi="Times New Roman" w:cs="Times New Roman"/>
          <w:noProof/>
        </w:rPr>
        <w:t>(Wetzel et al., 2016)</w:t>
      </w:r>
      <w:r w:rsidR="00F1624F" w:rsidRPr="00E030B5">
        <w:rPr>
          <w:rFonts w:ascii="Times New Roman" w:hAnsi="Times New Roman" w:cs="Times New Roman"/>
        </w:rPr>
        <w:fldChar w:fldCharType="end"/>
      </w:r>
      <w:r w:rsidR="00105577" w:rsidRPr="00E030B5">
        <w:rPr>
          <w:rFonts w:ascii="Times New Roman" w:hAnsi="Times New Roman" w:cs="Times New Roman"/>
        </w:rPr>
        <w:t>.</w:t>
      </w:r>
      <w:r w:rsidRPr="00E030B5">
        <w:rPr>
          <w:rFonts w:ascii="Times New Roman" w:hAnsi="Times New Roman" w:cs="Times New Roman"/>
        </w:rPr>
        <w:t xml:space="preserve"> Investigating the variability of plant or herbivore traits and defenses on damage levels has provided insight into plant and herbivore interactions' evolutionary and ecological trends </w:t>
      </w:r>
      <w:r w:rsidR="00105577" w:rsidRPr="00E030B5">
        <w:rPr>
          <w:rFonts w:ascii="Times New Roman" w:hAnsi="Times New Roman" w:cs="Times New Roman"/>
        </w:rPr>
        <w:fldChar w:fldCharType="begin"/>
      </w:r>
      <w:r w:rsidR="007A1E45" w:rsidRPr="00E030B5">
        <w:rPr>
          <w:rFonts w:ascii="Times New Roman" w:hAnsi="Times New Roman" w:cs="Times New Roman"/>
        </w:rPr>
        <w:instrText xml:space="preserve"> ADDIN ZOTERO_ITEM CSL_CITATION {"citationID":"gH8BRq7m","properties":{"formattedCitation":"(Gray et al., 2020; Moreira et al., 2017)","plainCitation":"(Gray et al., 2020; Moreira et al., 2017)","noteIndex":0},"citationItems":[{"id":107,"uris":["http://zotero.org/groups/4590459/items/RDGRV4YM"],"itemData":{"id":107,"type":"article-journal","abstract":"Effective insect management strategies require a firm understanding of the factors determining host preference, particularly in highly mobile insect herbivores. Host preference studies commonly employ average or first position as a proxy for preference. Yet few studies have explored host preference in relation to transitory attraction and leaving rates, yet these are both components of host plant selection. We investigated the transitory dynamics of preference by the green rice leafhopper, Nephotettix cincticeps (Uhler) (Hemiptera: Cicadellidae) by conducting experiments on groups of females, males, or mixed-sex leafhoppers, and recording their position over time between low-N and normal-N rice plants. Utilizing a log-linear model and variants of a biostatistical model we used these positional data to extract attraction, leaving and tenure rates to better understand the process of host-plant selection. We found a general preference for normal-N over low-N plants at equilibrium. However, between sexes there was variation in the relative significance of attraction or leaving rates on that preference. Female leafhoppers were more attracted to host plants with higher nitrogen content. Male leafhoppers were less discriminate in their initial attraction to hosts but left low-N hosts at a faster rate. Whereas estimated tenure times on both normal- and low-N plants exceeded transmission times for the leafhopper-transmitted rice dwarf virus, longer tenure on normal-N plants likely increases the likelihood of virus acquisition from these plants. Our findings support previous recommendations that growers can mitigate the risks of leafhopper damage and pathogen transmission by optimizing their application of nitrogenous fertilizers.","container-title":"Environmental Entomology","DOI":"10.1093/ee/nvz128","ISSN":"0046-225X","issue":"1","journalAbbreviation":"Environ. Entomol.","language":"English","note":"publisher-place: Cary\npublisher: Oxford Univ Press Inc\nWOS:000515110400013","page":"115-122","source":"Web of Science Nextgen","title":"Investigating the Movement Components of Host Preference in a Highly Mobile Insect Herbivore, Nephotettix cincticeps (Hemiptera: Cicadellidae)","title-short":"Investigating the Movement Components of Host Preference in a Highly Mobile Insect Herbivore, Nephotettix cincticeps (Hemiptera","volume":"49","author":[{"family":"Gray","given":"Hannah L."},{"family":"Andow","given":"David A."},{"family":"Kiritani","given":"Keizi"}],"issued":{"date-parts":[["2020",2]]}}},{"id":31,"uris":["http://zotero.org/groups/4590459/items/3WLHWQF6"],"itemData":{"id":31,"type":"article-journal","abstract":"Plant ontogenetic stage and features of surrounding plant neighbourhoods can strongly influence herbivory and defences on focal plants. However, the effects of both factors have been assessed independently in previous studies. Here we tested for the independent and interactive effects of neighbourhood type (low vs. high frequency of our focal plant species in heterospecific stands) and ontogeny on leaf herbivory, physical traits and chemical defences of the English oak Quercus robur. We further tested whether plant traits were associated with neighbourhood and ontogenetic effects on herbivory. We found that leaf herbivory decreased in stands with a low frequency of Q. robur, and that saplings received less herbivory than adult trees. Interestingly, we also found interactive effects of these factors where a difference in damage between saplings and adult trees was only observed in stands with a high frequency of Q. robur. We also found strong ontogenetic differences in leaf traits where saplings had more defended leaves than adult trees, and this difference in turn explained ontogenetic differences in herbivory. Plant trait variation did not explain the neighbourhood effect on herbivory. This study builds towards a better understanding of the concurrent effects of plant individual- and community-level characteristics influencing plant-herbivore interactions.","container-title":"Scientific Reports","DOI":"10.1038/s41598-017-04314-3","ISSN":"2045-2322","journalAbbreviation":"Sci Rep","language":"English","note":"publisher-place: London\npublisher: Nature Publishing Group\nWOS:000403874900030","page":"4047","source":"Web of Science Nextgen","title":"Interactive effects of plant neighbourhood and ontogeny on insect herbivory and plant defensive traits","volume":"7","author":[{"family":"Moreira","given":"Xoaquin"},{"family":"Glauser","given":"Gaetan"},{"family":"Abdala-Roberts","given":"Luis"}],"issued":{"date-parts":[["2017",6,22]]}}}],"schema":"https://github.com/citation-style-language/schema/raw/master/csl-citation.json"} </w:instrText>
      </w:r>
      <w:r w:rsidR="00105577" w:rsidRPr="00E030B5">
        <w:rPr>
          <w:rFonts w:ascii="Times New Roman" w:hAnsi="Times New Roman" w:cs="Times New Roman"/>
        </w:rPr>
        <w:fldChar w:fldCharType="separate"/>
      </w:r>
      <w:r w:rsidR="007A1E45" w:rsidRPr="00E030B5">
        <w:rPr>
          <w:rFonts w:ascii="Times New Roman" w:hAnsi="Times New Roman" w:cs="Times New Roman"/>
          <w:noProof/>
        </w:rPr>
        <w:t>(Gray et al., 2020; Moreira et al., 2017)</w:t>
      </w:r>
      <w:r w:rsidR="00105577" w:rsidRPr="00E030B5">
        <w:rPr>
          <w:rFonts w:ascii="Times New Roman" w:hAnsi="Times New Roman" w:cs="Times New Roman"/>
        </w:rPr>
        <w:fldChar w:fldCharType="end"/>
      </w:r>
      <w:r w:rsidR="007A1E45" w:rsidRPr="00E030B5">
        <w:rPr>
          <w:rFonts w:ascii="Times New Roman" w:hAnsi="Times New Roman" w:cs="Times New Roman"/>
        </w:rPr>
        <w:t>.</w:t>
      </w:r>
      <w:r w:rsidRPr="00E030B5">
        <w:rPr>
          <w:rFonts w:ascii="Times New Roman" w:hAnsi="Times New Roman" w:cs="Times New Roman"/>
        </w:rPr>
        <w:t xml:space="preserve"> Our findings shed light on nutrient enrichment and associational effects' influence on herbivore feeding behavior, specifically its </w:t>
      </w:r>
      <w:proofErr w:type="spellStart"/>
      <w:r w:rsidRPr="00E030B5">
        <w:rPr>
          <w:rFonts w:ascii="Times New Roman" w:hAnsi="Times New Roman" w:cs="Times New Roman"/>
        </w:rPr>
        <w:t>spacial</w:t>
      </w:r>
      <w:proofErr w:type="spellEnd"/>
      <w:r w:rsidRPr="00E030B5">
        <w:rPr>
          <w:rFonts w:ascii="Times New Roman" w:hAnsi="Times New Roman" w:cs="Times New Roman"/>
        </w:rPr>
        <w:t xml:space="preserve"> variability amongst plant individuals. The spatial variability of damage amongst plants may influence the reproductive ability or survivability of a plant in the community; as a result, the patterns could influence evolutionary trends to favor those who were minimally affected </w:t>
      </w:r>
      <w:r w:rsidR="00465E8B" w:rsidRPr="00E030B5">
        <w:rPr>
          <w:rFonts w:ascii="Times New Roman" w:hAnsi="Times New Roman" w:cs="Times New Roman"/>
        </w:rPr>
        <w:fldChar w:fldCharType="begin"/>
      </w:r>
      <w:r w:rsidR="00465E8B" w:rsidRPr="00E030B5">
        <w:rPr>
          <w:rFonts w:ascii="Times New Roman" w:hAnsi="Times New Roman" w:cs="Times New Roman"/>
        </w:rPr>
        <w:instrText xml:space="preserve"> ADDIN ZOTERO_ITEM CSL_CITATION {"citationID":"M18ekccs","properties":{"formattedCitation":"(Shiels et al., 2014)","plainCitation":"(Shiels et al., 2014)","noteIndex":0},"citationItems":[{"id":98,"uris":["http://zotero.org/groups/4590459/items/MPLYQZZD"],"itemData":{"id":98,"type":"article-journal","abstract":"Non-native herbivores may alter plant communities through their preferential consumption of seedlings of different species. We assessed seedling herbivory by two invasive gastropod species in Hawaii, the giant African snail (Achatina fulica) and the Cuban brown slug (Veronicella cubensis). We hypothesized that six native species would suffer greater gastropod herbivory than four non-native species, and that species with short stature, thin leaves, and lacking physical defenses would suffer the greatest mortality from gastropods. Herbivory was measured during 13-day preference trials using enclosures that each contained four different woody species (two native, two non-native) and were assigned to one of three treatments: giant African snail, Cuban brown slug, or control (no gastropod). Discriminant function analysis was used to predict gastropod-induced seedling mortality from a suite of seedling characteristics. Native species did not always experience greater herbivory than non-natives species, and seedling mortality was 0-100 %. Native Pipturus albidus and Clermontia parviflora suffered 100 % mortality from V. cubensis herbivory, and P. albidus, Psychotria hawaiiensis, and Myrsine lessertiana suffered a parts per thousand yen80 % mortality from A. fulica. Two non-natives (Fraxinus uhdei, Clidemia hirta), and two natives (Metrosideros polymorpha, Diospyros sandwicensis), suffered little damage and no mortality. Non-native Ardisia elliptica suffered 10-30 % gastropod mortality, and non-native Psidium cattleianum mortality was 0-50 %. Leaf thickness best predicted species mortality caused by slugs and snails; some thicker-leaved species suffered most. Invasive snails and slugs threaten some native and non-native seedlings by directly consuming them. Current and future plant community structure in Hawaii may in part reflect the feeding preferences of invasive gastropods.","container-title":"Biological Invasions","DOI":"10.1007/s10530-013-0636-3","ISSN":"1387-3547","issue":"9","journalAbbreviation":"Biol. Invasions","language":"English","note":"publisher-place: Dordrecht\npublisher: Springer\nWOS:000339970100011","page":"1929-1940","source":"Web of Science Nextgen","title":"Trait-based plant mortality and preference for native versus non-native seedlings by invasive slug and snail herbivores in Hawaii","volume":"16","author":[{"family":"Shiels","given":"Aaron B."},{"family":"Ennis","given":"Martin K."},{"family":"Shiels","given":"Laura"}],"issued":{"date-parts":[["2014",9]]}}}],"schema":"https://github.com/citation-style-language/schema/raw/master/csl-citation.json"} </w:instrText>
      </w:r>
      <w:r w:rsidR="00465E8B" w:rsidRPr="00E030B5">
        <w:rPr>
          <w:rFonts w:ascii="Times New Roman" w:hAnsi="Times New Roman" w:cs="Times New Roman"/>
        </w:rPr>
        <w:fldChar w:fldCharType="separate"/>
      </w:r>
      <w:r w:rsidR="00465E8B" w:rsidRPr="00E030B5">
        <w:rPr>
          <w:rFonts w:ascii="Times New Roman" w:hAnsi="Times New Roman" w:cs="Times New Roman"/>
          <w:noProof/>
        </w:rPr>
        <w:t>(Shiels et al., 2014)</w:t>
      </w:r>
      <w:r w:rsidR="00465E8B" w:rsidRPr="00E030B5">
        <w:rPr>
          <w:rFonts w:ascii="Times New Roman" w:hAnsi="Times New Roman" w:cs="Times New Roman"/>
        </w:rPr>
        <w:fldChar w:fldCharType="end"/>
      </w:r>
      <w:r w:rsidR="00465E8B" w:rsidRPr="00E030B5">
        <w:rPr>
          <w:rFonts w:ascii="Times New Roman" w:hAnsi="Times New Roman" w:cs="Times New Roman"/>
        </w:rPr>
        <w:t>.</w:t>
      </w:r>
      <w:r w:rsidRPr="00E030B5">
        <w:rPr>
          <w:rFonts w:ascii="Times New Roman" w:hAnsi="Times New Roman" w:cs="Times New Roman"/>
        </w:rPr>
        <w:t xml:space="preserve"> Additionally, spatial patterns of damage may shed light on herbivore behavior such as</w:t>
      </w:r>
      <w:r w:rsidR="0036120A" w:rsidRPr="00E030B5">
        <w:rPr>
          <w:rFonts w:ascii="Times New Roman" w:hAnsi="Times New Roman" w:cs="Times New Roman"/>
        </w:rPr>
        <w:t>:</w:t>
      </w:r>
      <w:r w:rsidRPr="00E030B5">
        <w:rPr>
          <w:rFonts w:ascii="Times New Roman" w:hAnsi="Times New Roman" w:cs="Times New Roman"/>
        </w:rPr>
        <w:t xml:space="preserve"> preferential feeding, growth rate, and survivability. In poly-culture environments, understanding the spatial patterns of damage amongst different species in a community may help understand the rise and fall of species densities that lead to changes in species composition over time </w:t>
      </w:r>
      <w:r w:rsidR="00465E8B" w:rsidRPr="00E030B5">
        <w:rPr>
          <w:rFonts w:ascii="Times New Roman" w:hAnsi="Times New Roman" w:cs="Times New Roman"/>
        </w:rPr>
        <w:fldChar w:fldCharType="begin"/>
      </w:r>
      <w:r w:rsidR="00884651" w:rsidRPr="00E030B5">
        <w:rPr>
          <w:rFonts w:ascii="Times New Roman" w:hAnsi="Times New Roman" w:cs="Times New Roman"/>
        </w:rPr>
        <w:instrText xml:space="preserve"> ADDIN ZOTERO_ITEM CSL_CITATION {"citationID":"ueinlRMb","properties":{"formattedCitation":"(Shiels et al., 2014)","plainCitation":"(Shiels et al., 2014)","noteIndex":0},"citationItems":[{"id":98,"uris":["http://zotero.org/groups/4590459/items/MPLYQZZD"],"itemData":{"id":98,"type":"article-journal","abstract":"Non-native herbivores may alter plant communities through their preferential consumption of seedlings of different species. We assessed seedling herbivory by two invasive gastropod species in Hawaii, the giant African snail (Achatina fulica) and the Cuban brown slug (Veronicella cubensis). We hypothesized that six native species would suffer greater gastropod herbivory than four non-native species, and that species with short stature, thin leaves, and lacking physical defenses would suffer the greatest mortality from gastropods. Herbivory was measured during 13-day preference trials using enclosures that each contained four different woody species (two native, two non-native) and were assigned to one of three treatments: giant African snail, Cuban brown slug, or control (no gastropod). Discriminant function analysis was used to predict gastropod-induced seedling mortality from a suite of seedling characteristics. Native species did not always experience greater herbivory than non-natives species, and seedling mortality was 0-100 %. Native Pipturus albidus and Clermontia parviflora suffered 100 % mortality from V. cubensis herbivory, and P. albidus, Psychotria hawaiiensis, and Myrsine lessertiana suffered a parts per thousand yen80 % mortality from A. fulica. Two non-natives (Fraxinus uhdei, Clidemia hirta), and two natives (Metrosideros polymorpha, Diospyros sandwicensis), suffered little damage and no mortality. Non-native Ardisia elliptica suffered 10-30 % gastropod mortality, and non-native Psidium cattleianum mortality was 0-50 %. Leaf thickness best predicted species mortality caused by slugs and snails; some thicker-leaved species suffered most. Invasive snails and slugs threaten some native and non-native seedlings by directly consuming them. Current and future plant community structure in Hawaii may in part reflect the feeding preferences of invasive gastropods.","container-title":"Biological Invasions","DOI":"10.1007/s10530-013-0636-3","ISSN":"1387-3547","issue":"9","journalAbbreviation":"Biol. Invasions","language":"English","note":"publisher-place: Dordrecht\npublisher: Springer\nWOS:000339970100011","page":"1929-1940","source":"Web of Science Nextgen","title":"Trait-based plant mortality and preference for native versus non-native seedlings by invasive slug and snail herbivores in Hawaii","volume":"16","author":[{"family":"Shiels","given":"Aaron B."},{"family":"Ennis","given":"Martin K."},{"family":"Shiels","given":"Laura"}],"issued":{"date-parts":[["2014",9]]}}}],"schema":"https://github.com/citation-style-language/schema/raw/master/csl-citation.json"} </w:instrText>
      </w:r>
      <w:r w:rsidR="00465E8B" w:rsidRPr="00E030B5">
        <w:rPr>
          <w:rFonts w:ascii="Times New Roman" w:hAnsi="Times New Roman" w:cs="Times New Roman"/>
        </w:rPr>
        <w:fldChar w:fldCharType="separate"/>
      </w:r>
      <w:r w:rsidR="00884651" w:rsidRPr="00E030B5">
        <w:rPr>
          <w:rFonts w:ascii="Times New Roman" w:hAnsi="Times New Roman" w:cs="Times New Roman"/>
          <w:noProof/>
        </w:rPr>
        <w:t>(Shiels et al., 2014)</w:t>
      </w:r>
      <w:r w:rsidR="00465E8B" w:rsidRPr="00E030B5">
        <w:rPr>
          <w:rFonts w:ascii="Times New Roman" w:hAnsi="Times New Roman" w:cs="Times New Roman"/>
        </w:rPr>
        <w:fldChar w:fldCharType="end"/>
      </w:r>
      <w:r w:rsidR="00884651" w:rsidRPr="00E030B5">
        <w:rPr>
          <w:rFonts w:ascii="Times New Roman" w:hAnsi="Times New Roman" w:cs="Times New Roman"/>
        </w:rPr>
        <w:t>.</w:t>
      </w:r>
      <w:r w:rsidRPr="00E030B5">
        <w:rPr>
          <w:rFonts w:ascii="Times New Roman" w:hAnsi="Times New Roman" w:cs="Times New Roman"/>
        </w:rPr>
        <w:t xml:space="preserve"> Furthermore, nutrient availability and associational effects' impact--prominent in </w:t>
      </w:r>
      <w:proofErr w:type="spellStart"/>
      <w:r w:rsidRPr="00E030B5">
        <w:rPr>
          <w:rFonts w:ascii="Times New Roman" w:hAnsi="Times New Roman" w:cs="Times New Roman"/>
        </w:rPr>
        <w:t>agro</w:t>
      </w:r>
      <w:proofErr w:type="spellEnd"/>
      <w:r w:rsidRPr="00E030B5">
        <w:rPr>
          <w:rFonts w:ascii="Times New Roman" w:hAnsi="Times New Roman" w:cs="Times New Roman"/>
        </w:rPr>
        <w:t xml:space="preserve">-ecological environments--on the variability of damage a plant experiences may alter crop viability. Consequently, these findings hold additive economic importance due to the ever-changing environment resulting from human manipulation </w:t>
      </w:r>
      <w:r w:rsidR="00681C16" w:rsidRPr="00E030B5">
        <w:rPr>
          <w:rFonts w:ascii="Times New Roman" w:hAnsi="Times New Roman" w:cs="Times New Roman"/>
        </w:rPr>
        <w:fldChar w:fldCharType="begin"/>
      </w:r>
      <w:r w:rsidR="00681C16" w:rsidRPr="00E030B5">
        <w:rPr>
          <w:rFonts w:ascii="Times New Roman" w:hAnsi="Times New Roman" w:cs="Times New Roman"/>
        </w:rPr>
        <w:instrText xml:space="preserve"> ADDIN ZOTERO_ITEM CSL_CITATION {"citationID":"BpRfRD1D","properties":{"formattedCitation":"(Fuentealba et al., 2020)","plainCitation":"(Fuentealba et al., 2020)","noteIndex":0},"citationItems":[{"id":99,"uris":["http://zotero.org/groups/4590459/items/J9VS9V7D"],"itemData":{"id":99,"type":"article-journal","abstract":"Human activities have profoundly altered the global nutrient cycle through Land Use and Cover Changes (LUCCs) since the industrial revolution and especially during the Great Acceleration (1950 CE). Yet, the impact of such activities on terrestrial and aquatic ecosystems above their ecological baselines are not well known, especially when considering the response of these systems to the intensity of LUCCs on nutrient cycles. Here, we used a multiproxy approach (sedimentological, geochemical and isotopic analyses, historical records, climate data, and satellite images) to evaluate the role that LUCCs have on Nitrogen (N) cycling in a coastal mediterranean watershed system of central Chile over the last two centuries. Despite long-term anthropogenic use (agriculture, cattle grazing) in the Matanzas watershed- lake system, these LUCC appear to have had little impact on nutrient and organic matter transfer since the Spanish Colonial period. In contrast, the largest changes in N dynamics occurred in the mid-1970s, driven by the replacement of native forests and grasslands by government-subsidized tree plantations of introduced Monterey pine (Pinus radiata) and eucalyptus (Eucalyptus globulus). These LUCC had major impacts on the transfer of organic matter (which increased by 9.4%) and nutrients (as revealed by an increase in total N) to Laguna Matanzas. Our study shows that the presence of anthropogenic land use/cover changes do not necessarily alter nutrient supply and N availability per se but rather it is the magnitude and intensity of such changes that produce major impact on these processes in these mediterranean watersheds.","container-title":"Scientific Reports","DOI":"10.1038/s41598-020-62627-2","ISSN":"2045-2322","issue":"1","journalAbbreviation":"Sci Rep","language":"English","note":"publisher-place: Berlin\npublisher: Nature Portfolio\nWOS:000544932300001","page":"5864","source":"Web of Science Nextgen","title":"A combined approach to establishing the timing and magnitude of anthropogenic nutrient alteration in a mediterranean coastal lake- watershed system","volume":"10","author":[{"family":"Fuentealba","given":"Magdalena"},{"family":"Latorre","given":"Claudio"},{"family":"Frugone-Alvarez","given":"Matias"},{"family":"Sarricolea","given":"Pablo"},{"family":"Giralt","given":"Santiago"},{"family":"Contreras-Lopez","given":"Manuel"},{"family":"Prego","given":"Ricardo"},{"family":"Bernardez","given":"Patricia"},{"family":"Valero-Garces","given":"Blas"}],"issued":{"date-parts":[["2020",4,3]]}}}],"schema":"https://github.com/citation-style-language/schema/raw/master/csl-citation.json"} </w:instrText>
      </w:r>
      <w:r w:rsidR="00681C16" w:rsidRPr="00E030B5">
        <w:rPr>
          <w:rFonts w:ascii="Times New Roman" w:hAnsi="Times New Roman" w:cs="Times New Roman"/>
        </w:rPr>
        <w:fldChar w:fldCharType="separate"/>
      </w:r>
      <w:r w:rsidR="00681C16" w:rsidRPr="00E030B5">
        <w:rPr>
          <w:rFonts w:ascii="Times New Roman" w:hAnsi="Times New Roman" w:cs="Times New Roman"/>
          <w:noProof/>
        </w:rPr>
        <w:t>(Fuentealba et al., 2020)</w:t>
      </w:r>
      <w:r w:rsidR="00681C16" w:rsidRPr="00E030B5">
        <w:rPr>
          <w:rFonts w:ascii="Times New Roman" w:hAnsi="Times New Roman" w:cs="Times New Roman"/>
        </w:rPr>
        <w:fldChar w:fldCharType="end"/>
      </w:r>
      <w:r w:rsidR="00681C16" w:rsidRPr="00E030B5">
        <w:rPr>
          <w:rFonts w:ascii="Times New Roman" w:hAnsi="Times New Roman" w:cs="Times New Roman"/>
        </w:rPr>
        <w:t>.</w:t>
      </w:r>
    </w:p>
    <w:p w14:paraId="48C8CAF6" w14:textId="5E7E4C94" w:rsidR="00FD3E77" w:rsidRPr="00E030B5" w:rsidRDefault="00FD3E77" w:rsidP="00FD3E77">
      <w:pPr>
        <w:rPr>
          <w:rFonts w:ascii="Times New Roman" w:hAnsi="Times New Roman" w:cs="Times New Roman"/>
        </w:rPr>
      </w:pPr>
      <w:r w:rsidRPr="00E030B5">
        <w:rPr>
          <w:rFonts w:ascii="Times New Roman" w:hAnsi="Times New Roman" w:cs="Times New Roman"/>
        </w:rPr>
        <w:lastRenderedPageBreak/>
        <w:t xml:space="preserve">The availability of limiting nutrients varies across landscapes; fertilizer application influences our agriculture systems by increasing limiting nutrients to increase plant biomass production </w:t>
      </w:r>
      <w:r w:rsidR="00681C16" w:rsidRPr="00E030B5">
        <w:rPr>
          <w:rFonts w:ascii="Times New Roman" w:hAnsi="Times New Roman" w:cs="Times New Roman"/>
        </w:rPr>
        <w:fldChar w:fldCharType="begin"/>
      </w:r>
      <w:r w:rsidR="00D97C9B" w:rsidRPr="00E030B5">
        <w:rPr>
          <w:rFonts w:ascii="Times New Roman" w:hAnsi="Times New Roman" w:cs="Times New Roman"/>
        </w:rPr>
        <w:instrText xml:space="preserve"> ADDIN ZOTERO_ITEM CSL_CITATION {"citationID":"UNtiAxXr","properties":{"formattedCitation":"(Lee et al., 2017)","plainCitation":"(Lee et al., 2017)","noteIndex":0},"citationItems":[{"id":100,"uris":["http://zotero.org/groups/4590459/items/3L2IA4VH"],"itemData":{"id":100,"type":"article-journal","abstract":"Grasses such as Miscanthus ×giganteus and Panicum virgatum (switchgrass) can potentially be used to produce bioenergy on a large scale in the Midwestern USA. The biomass productivity of these warm-season perennial grasses, particularly M. × giganteus, can be substantial, even when grown with limited inputs. The literature, however, varies regarding the nitrogen requirements for M. ×giganteus biomass production. In addition, there is a lack of information that identifies the yield-component(s) (including total tiller number, tiller weight, total tiller diameter, total tiller height, phytomer number, reproductive tiller number, vegetative tiller number, reproductive tiller height, vegetative tiller height, reproductive tiller diameter, vegetative tiller diameter, and reproductive tiller phytomer number) that contributes to M. ×giganteus biomass yields. Thus, the objective of this study was to examine the effects of fertilization on biomass yield and individual M. × giganteus plant-yield components. Plots of M. ×giganteus were planted in 2008 in Urbana, IL, USA, and received annual applications of 0, 60, or 120 kg N ha-1. M. ×giganteus productivity increased when nitrogen was applied; between 2011 and 2014, nitrogen applications of 60 or 120 kg N ha-1 produced average annual yields of 22.0 dry Mg ha-1 compared to 11.8 dry Mg ha-1 for unfertilized M. ×giganteus. Both the total number of tillers per m2 and the tiller weight also increased as N-application rates increased. Our results indicate that increased reproductive tiller density and tiller weight with increased N fertilization increased M. ×giganteus biomass yield.","container-title":"Frontiers in Plant Science","ISSN":"1664-462X","source":"Frontiers","title":"Nitrogen Fertilization Effects on Biomass Production and Yield Components of Miscanthus ×giganteus","URL":"https://www.frontiersin.org/article/10.3389/fpls.2017.00544","volume":"8","author":[{"family":"Lee","given":"Moon-Sub"},{"family":"Wycislo","given":"Andrew"},{"family":"Guo","given":"Jia"},{"family":"Lee","given":"D. K."},{"family":"Voigt","given":"Thomas"}],"accessed":{"date-parts":[["2022",5,9]]},"issued":{"date-parts":[["2017"]]}}}],"schema":"https://github.com/citation-style-language/schema/raw/master/csl-citation.json"} </w:instrText>
      </w:r>
      <w:r w:rsidR="00681C16" w:rsidRPr="00E030B5">
        <w:rPr>
          <w:rFonts w:ascii="Times New Roman" w:hAnsi="Times New Roman" w:cs="Times New Roman"/>
        </w:rPr>
        <w:fldChar w:fldCharType="separate"/>
      </w:r>
      <w:r w:rsidR="00D97C9B" w:rsidRPr="00E030B5">
        <w:rPr>
          <w:rFonts w:ascii="Times New Roman" w:hAnsi="Times New Roman" w:cs="Times New Roman"/>
          <w:noProof/>
        </w:rPr>
        <w:t>(Lee et al., 2017)</w:t>
      </w:r>
      <w:r w:rsidR="00681C16" w:rsidRPr="00E030B5">
        <w:rPr>
          <w:rFonts w:ascii="Times New Roman" w:hAnsi="Times New Roman" w:cs="Times New Roman"/>
        </w:rPr>
        <w:fldChar w:fldCharType="end"/>
      </w:r>
      <w:r w:rsidR="00D97C9B" w:rsidRPr="00E030B5">
        <w:rPr>
          <w:rFonts w:ascii="Times New Roman" w:hAnsi="Times New Roman" w:cs="Times New Roman"/>
        </w:rPr>
        <w:t>.</w:t>
      </w:r>
      <w:r w:rsidRPr="00E030B5">
        <w:rPr>
          <w:rFonts w:ascii="Times New Roman" w:hAnsi="Times New Roman" w:cs="Times New Roman"/>
        </w:rPr>
        <w:t xml:space="preserve"> In our study shows that increased nutrient availability due to fertilizer lessens the variability of damage among plants. Although nutrient enrichment influences the levels of induced defenses </w:t>
      </w:r>
      <w:r w:rsidR="00D97C9B" w:rsidRPr="00E030B5">
        <w:rPr>
          <w:rFonts w:ascii="Times New Roman" w:hAnsi="Times New Roman" w:cs="Times New Roman"/>
        </w:rPr>
        <w:fldChar w:fldCharType="begin"/>
      </w:r>
      <w:r w:rsidR="00D97C9B" w:rsidRPr="00E030B5">
        <w:rPr>
          <w:rFonts w:ascii="Times New Roman" w:hAnsi="Times New Roman" w:cs="Times New Roman"/>
        </w:rPr>
        <w:instrText xml:space="preserve"> ADDIN ZOTERO_ITEM CSL_CITATION {"citationID":"Ff1SHzMV","properties":{"formattedCitation":"(Lou &amp; Baldwin, 2004)","plainCitation":"(Lou &amp; Baldwin, 2004)","noteIndex":0},"citationItems":[{"id":47,"uris":["http://zotero.org/groups/4590459/items/U2VFSXLC"],"itemData":{"id":47,"type":"article-journal","abstract":"Although nitrogen (N) availability is known to alter constitutive resistance against herbivores, its influence on herbivore-induced responses, including signaling pathways, transcriptional signatures, and the subsequently elicited chemical defenses is poorly understood. We used the native tobacco, Nicotiana attenuata, which germinates in the postfire environment and copes with large changes in soil N during postfire succession, to compare a suite of Manduca sexta- and elicitor-induced responses in plants grown under high- and low-N (LN) supply rates. LN supply decreased relative growth rates and biomass by 35% at 40 d compared to high-N plants; furthermore, it also attenuated (by 39 and 60%) the elicitor-induced jasmonate and salicylate bursts, two N-intensive direct defenses (nicotine and trypsin proteinase inhibitors, albeit by different mechanisms), and carbon-containing nonvolatile defenses (rutin, chlorogenic acid, and diterpene glycosides), but did not affect the induced release of volatiles (cis-alpha-bergamotene and germacrene A), which function as indirect defenses. M. sexta and methyl jasmonate-induced transcriptional responses measured with a microarray enriched in herbivore-induced genes were also substantially reduced in plants grown under LN supply rates. In M. sexta-attacked LN plants, only 36 (45%) up-regulated and 46 (58%) down-regulated genes showed the same regulation as those in attacked high-N plants. However, transcriptional responses frequently directly countered the observed metabolic changes. Changes in a leaf's sensitivity to elicitation, an attacked leaf's waning ability to export oxylipin wound signals, and/or resource limitations in LN plants can account for the observed results, underscoring the conclusion that defense activation is a resource-intensive response.","container-title":"Plant Physiology","DOI":"10.1104/pp.104.040360","ISSN":"0032-0889","issue":"1","journalAbbreviation":"Plant Physiol.","language":"English","note":"publisher-place: Cary\npublisher: Oxford Univ Press Inc\nWOS:000221420800049","page":"496-506","source":"Web of Science Nextgen","title":"Nitrogen supply influences herbivore-induced direct and indirect defenses and transcriptional responses to Nicotiana attenuata","volume":"135","author":[{"family":"Lou","given":"Y. G."},{"family":"Baldwin","given":"I. T."}],"issued":{"date-parts":[["2004",5]]}}}],"schema":"https://github.com/citation-style-language/schema/raw/master/csl-citation.json"} </w:instrText>
      </w:r>
      <w:r w:rsidR="00D97C9B" w:rsidRPr="00E030B5">
        <w:rPr>
          <w:rFonts w:ascii="Times New Roman" w:hAnsi="Times New Roman" w:cs="Times New Roman"/>
        </w:rPr>
        <w:fldChar w:fldCharType="separate"/>
      </w:r>
      <w:r w:rsidR="00D97C9B" w:rsidRPr="00E030B5">
        <w:rPr>
          <w:rFonts w:ascii="Times New Roman" w:hAnsi="Times New Roman" w:cs="Times New Roman"/>
          <w:noProof/>
        </w:rPr>
        <w:t>(Lou &amp; Baldwin, 2004)</w:t>
      </w:r>
      <w:r w:rsidR="00D97C9B" w:rsidRPr="00E030B5">
        <w:rPr>
          <w:rFonts w:ascii="Times New Roman" w:hAnsi="Times New Roman" w:cs="Times New Roman"/>
        </w:rPr>
        <w:fldChar w:fldCharType="end"/>
      </w:r>
      <w:r w:rsidR="00D97C9B" w:rsidRPr="00E030B5">
        <w:rPr>
          <w:rFonts w:ascii="Times New Roman" w:hAnsi="Times New Roman" w:cs="Times New Roman"/>
        </w:rPr>
        <w:t>,</w:t>
      </w:r>
      <w:r w:rsidRPr="00E030B5">
        <w:rPr>
          <w:rFonts w:ascii="Times New Roman" w:hAnsi="Times New Roman" w:cs="Times New Roman"/>
        </w:rPr>
        <w:t xml:space="preserve"> the corresponding time lags of these defenses extend beyond the timescale of our study </w:t>
      </w:r>
      <w:r w:rsidR="00D97C9B" w:rsidRPr="00E030B5">
        <w:rPr>
          <w:rFonts w:ascii="Times New Roman" w:hAnsi="Times New Roman" w:cs="Times New Roman"/>
        </w:rPr>
        <w:fldChar w:fldCharType="begin"/>
      </w:r>
      <w:r w:rsidR="00CA6E9E" w:rsidRPr="00E030B5">
        <w:rPr>
          <w:rFonts w:ascii="Times New Roman" w:hAnsi="Times New Roman" w:cs="Times New Roman"/>
        </w:rPr>
        <w:instrText xml:space="preserve"> ADDIN ZOTERO_ITEM CSL_CITATION {"citationID":"PUjxgm4Z","properties":{"formattedCitation":"(N. Underwood et al., 2005; N. C. Underwood, 1998)","plainCitation":"(N. Underwood et al., 2005; N. C. Underwood, 1998)","noteIndex":0},"citationItems":[{"id":83,"uris":["http://zotero.org/groups/4590459/items/ZHJPGQVK"],"itemData":{"id":83,"type":"article-journal","abstract":"Because herbivores can move away from plants of low quality, induced resistance should affect the spatial distribution of herbivore damage (or herbivores) within or among plants. We used a spatially explicit simulation model and data from a field experiment to examine the effect of induced resistance on the distribution of herbivores and their damage among plants within a population. The model is appropriate only for rapid (as opposed to delayed) induced resistance, assumes that resistance affects herbivore behavior but not performance, and assumes no interplant communication. It is also appropriate only for induced resistance that decays in the absence of herbivore damage. The simulation tracks herbivores on a linear array of plants or plant parts with reflecting boundaries and allows manipulation of the timing of induced resistance and the initial distribution of herbivores. Our model suggests that increasing tags and thresholds for the production of induced resistance causes increasing aggregation of herbivores and their damage, but in the absence of either a lag or a threshold, induced resistance can lead to an even distribution of herbivores. The formation of even or aggreated distributions of herbivores depends not on initial distributions, but on the characteristics of the induced resistance. In the field experiment, we measured the degree of aggregation of Mexican bean beetle larvae among plants within experimental soybean populations consisting of soybean varieties that had no resistance (low constitutive, low inducible resistance), induced resistance (and low constitutive resistance), or constitutive resistance (and low inducible resistance). In general agreement with qualitative predictions of the model, we found that larvae on soybean varieties with induced resistance remained significantly more aggregated than larvae on varieties with no or high constitutive resistance.","container-title":"Ecology","DOI":"10.1890/03-0290","ISSN":"0012-9658","issue":"3","journalAbbreviation":"Ecology","language":"English","note":"publisher-place: Hoboken\npublisher: Wiley\nWOS:000227659700008","page":"594-602","source":"Web of Science Nextgen","title":"Induced vs. constitutive resistance and the spatial distribution of insect herbivores among plants","volume":"86","author":[{"family":"Underwood","given":"N."},{"family":"Anderson","given":"K."},{"family":"Inouye","given":"B. D."}],"issued":{"date-parts":[["2005",3]]}}},{"id":78,"uris":["http://zotero.org/groups/4590459/items/HQFLIHP5"],"itemData":{"id":78,"type":"article-journal","abstract":"Induced plant responses to herbivory have been demonstrated in many systems. It has been suggested that the timing of these responses may influence the impact of induced resistance on herbivore populations, and may affect the evolution of induced defenses. This study used a bioassay to characterize the time course of systemic induced responses to Mexican bean beetle herbivory in four genotypes of soybeans. The results suggest that the time course of induced responses in this system is more complex than most previous studies have indicated. Herbivory provoked both rapid induced resistance and subsequent induced susceptibility to beetle feeding. All four genotypes of soybean induced significant resistance to beetle damage (beetles preferred undamaged to damaged plants) by 3 days after damage. By 15 days after damage, this resistance had decayed (beetles showed no preference for undamaged over damaged plants), and by 20 days after damage, all four genotypes exhibited significant induced susceptibility (beetles preferred previously damaged plants over undamaged plants). The magnitude of induced resistance in each genotype correlated strongly with the magnitude of induced susceptibility in that genotype.","container-title":"Oecologia","DOI":"10.1007/s004420050460","ISSN":"0029-8549","issue":"3","journalAbbreviation":"Oecologia","language":"English","note":"publisher-place: New York\npublisher: Springer\nWOS:000073400700011","page":"376-381","source":"Web of Science Nextgen","title":"The timing of induced resistance and induced susceptibility in the soybean Mexican bean beetle system","volume":"114","author":[{"family":"Underwood","given":"N. C."}],"issued":{"date-parts":[["1998",4]]}}}],"schema":"https://github.com/citation-style-language/schema/raw/master/csl-citation.json"} </w:instrText>
      </w:r>
      <w:r w:rsidR="00D97C9B" w:rsidRPr="00E030B5">
        <w:rPr>
          <w:rFonts w:ascii="Times New Roman" w:hAnsi="Times New Roman" w:cs="Times New Roman"/>
        </w:rPr>
        <w:fldChar w:fldCharType="separate"/>
      </w:r>
      <w:r w:rsidR="00CA6E9E" w:rsidRPr="00E030B5">
        <w:rPr>
          <w:rFonts w:ascii="Times New Roman" w:hAnsi="Times New Roman" w:cs="Times New Roman"/>
          <w:noProof/>
        </w:rPr>
        <w:t>(N. Underwood et al., 2005; N. C. Underwood, 1998)</w:t>
      </w:r>
      <w:r w:rsidR="00D97C9B" w:rsidRPr="00E030B5">
        <w:rPr>
          <w:rFonts w:ascii="Times New Roman" w:hAnsi="Times New Roman" w:cs="Times New Roman"/>
        </w:rPr>
        <w:fldChar w:fldCharType="end"/>
      </w:r>
      <w:r w:rsidR="00CA6E9E" w:rsidRPr="00E030B5">
        <w:rPr>
          <w:rFonts w:ascii="Times New Roman" w:hAnsi="Times New Roman" w:cs="Times New Roman"/>
        </w:rPr>
        <w:t>,</w:t>
      </w:r>
      <w:r w:rsidRPr="00E030B5">
        <w:rPr>
          <w:rFonts w:ascii="Times New Roman" w:hAnsi="Times New Roman" w:cs="Times New Roman"/>
        </w:rPr>
        <w:t xml:space="preserve"> suggesting they are unlikely to contribute to our results. On the other hand, increased constitutive plant defenses resulting from nutrient enrichment </w:t>
      </w:r>
      <w:r w:rsidR="00CA6E9E" w:rsidRPr="00E030B5">
        <w:rPr>
          <w:rFonts w:ascii="Times New Roman" w:hAnsi="Times New Roman" w:cs="Times New Roman"/>
        </w:rPr>
        <w:fldChar w:fldCharType="begin"/>
      </w:r>
      <w:r w:rsidR="00030051" w:rsidRPr="00E030B5">
        <w:rPr>
          <w:rFonts w:ascii="Times New Roman" w:hAnsi="Times New Roman" w:cs="Times New Roman"/>
        </w:rPr>
        <w:instrText xml:space="preserve"> ADDIN ZOTERO_ITEM CSL_CITATION {"citationID":"mqmkPDEw","properties":{"formattedCitation":"(Stout et al., 1998)","plainCitation":"(Stout et al., 1998)","noteIndex":0},"citationItems":[{"id":82,"uris":["http://zotero.org/groups/4590459/items/4BNHUP4S"],"itemData":{"id":82,"type":"article-journal","abstract":"Young tomato plants (Lycopersicon esculentum) grown in sand in a greenhouse and subjected to different fertilization regimes were used to test the effects of nitrogen availability on constitutive levels of phenolics and on constitutive and inducible activities of polyphenol oxidase and proteinase inhibitors. Theories that emphasize physiological constraints on the expression of phytochemicals predict an increase in levels of carbon-based allelochemicals under moderate nitrogen stress but predict, under the same conditions, an attenuation of chemical responses involving nitrogen-containing compounds such as proteinase inhibitors and polyphenol oxidase. We found that nitrogen availability had a strong effect on constitutive levels of phenolics; weaker effects on constitutive polyphenol oxidase activity, constitutive proteinase inhibitor activity, and inducible polyphenol oxidase activity; and no effect on inducible proteinase inhibitor activity. These results point to a need for the integration of theories that emphasize physiological influences on secondary metabolism with those that emphasize ecological influences on secondary metabolism and suggest that current theories of plant defense do not adequately account for enzymatic and proteinaceous defenses against arthropods.","container-title":"Journal of Chemical Ecology","DOI":"10.1023/A:1022350100718","ISSN":"0098-0331","issue":"6","journalAbbreviation":"J. Chem. Ecol.","language":"English","note":"publisher-place: Dordrecht\npublisher: Springer\nWOS:000074211100001","page":"945-963","source":"Web of Science Nextgen","title":"Effect of nitrogen availability on expression of constitutive and inducible chemical defenses in tomato, Lycopersicon esculentum","volume":"24","author":[{"family":"Stout","given":"M. J."},{"family":"Brovont","given":"R. A."},{"family":"Duffey","given":"S. S."}],"issued":{"date-parts":[["1998",6]]}}}],"schema":"https://github.com/citation-style-language/schema/raw/master/csl-citation.json"} </w:instrText>
      </w:r>
      <w:r w:rsidR="00CA6E9E" w:rsidRPr="00E030B5">
        <w:rPr>
          <w:rFonts w:ascii="Times New Roman" w:hAnsi="Times New Roman" w:cs="Times New Roman"/>
        </w:rPr>
        <w:fldChar w:fldCharType="separate"/>
      </w:r>
      <w:r w:rsidR="00030051" w:rsidRPr="00E030B5">
        <w:rPr>
          <w:rFonts w:ascii="Times New Roman" w:hAnsi="Times New Roman" w:cs="Times New Roman"/>
          <w:noProof/>
        </w:rPr>
        <w:t>(Stout et al., 1998)</w:t>
      </w:r>
      <w:r w:rsidR="00CA6E9E" w:rsidRPr="00E030B5">
        <w:rPr>
          <w:rFonts w:ascii="Times New Roman" w:hAnsi="Times New Roman" w:cs="Times New Roman"/>
        </w:rPr>
        <w:fldChar w:fldCharType="end"/>
      </w:r>
      <w:r w:rsidRPr="00E030B5">
        <w:rPr>
          <w:rFonts w:ascii="Times New Roman" w:hAnsi="Times New Roman" w:cs="Times New Roman"/>
        </w:rPr>
        <w:t xml:space="preserve"> may reduce the variation of feeding damage among plants. Plant defenses may change herbivore behavior; for example, increased constitutive defenses may change leaf taste or quality, causing herbivores to reduce feeding or leave the plant in pursuit of another food source </w:t>
      </w:r>
      <w:r w:rsidR="00030051" w:rsidRPr="00E030B5">
        <w:rPr>
          <w:rFonts w:ascii="Times New Roman" w:hAnsi="Times New Roman" w:cs="Times New Roman"/>
        </w:rPr>
        <w:fldChar w:fldCharType="begin"/>
      </w:r>
      <w:r w:rsidR="00E061CF" w:rsidRPr="00E030B5">
        <w:rPr>
          <w:rFonts w:ascii="Times New Roman" w:hAnsi="Times New Roman" w:cs="Times New Roman"/>
        </w:rPr>
        <w:instrText xml:space="preserve"> ADDIN ZOTERO_ITEM CSL_CITATION {"citationID":"LgwEL7uz","properties":{"formattedCitation":"(N. Underwood et al., 2005)","plainCitation":"(N. Underwood et al., 2005)","noteIndex":0},"citationItems":[{"id":83,"uris":["http://zotero.org/groups/4590459/items/ZHJPGQVK"],"itemData":{"id":83,"type":"article-journal","abstract":"Because herbivores can move away from plants of low quality, induced resistance should affect the spatial distribution of herbivore damage (or herbivores) within or among plants. We used a spatially explicit simulation model and data from a field experiment to examine the effect of induced resistance on the distribution of herbivores and their damage among plants within a population. The model is appropriate only for rapid (as opposed to delayed) induced resistance, assumes that resistance affects herbivore behavior but not performance, and assumes no interplant communication. It is also appropriate only for induced resistance that decays in the absence of herbivore damage. The simulation tracks herbivores on a linear array of plants or plant parts with reflecting boundaries and allows manipulation of the timing of induced resistance and the initial distribution of herbivores. Our model suggests that increasing tags and thresholds for the production of induced resistance causes increasing aggregation of herbivores and their damage, but in the absence of either a lag or a threshold, induced resistance can lead to an even distribution of herbivores. The formation of even or aggreated distributions of herbivores depends not on initial distributions, but on the characteristics of the induced resistance. In the field experiment, we measured the degree of aggregation of Mexican bean beetle larvae among plants within experimental soybean populations consisting of soybean varieties that had no resistance (low constitutive, low inducible resistance), induced resistance (and low constitutive resistance), or constitutive resistance (and low inducible resistance). In general agreement with qualitative predictions of the model, we found that larvae on soybean varieties with induced resistance remained significantly more aggregated than larvae on varieties with no or high constitutive resistance.","container-title":"Ecology","DOI":"10.1890/03-0290","ISSN":"0012-9658","issue":"3","journalAbbreviation":"Ecology","language":"English","note":"publisher-place: Hoboken\npublisher: Wiley\nWOS:000227659700008","page":"594-602","source":"Web of Science Nextgen","title":"Induced vs. constitutive resistance and the spatial distribution of insect herbivores among plants","volume":"86","author":[{"family":"Underwood","given":"N."},{"family":"Anderson","given":"K."},{"family":"Inouye","given":"B. D."}],"issued":{"date-parts":[["2005",3]]}}}],"schema":"https://github.com/citation-style-language/schema/raw/master/csl-citation.json"} </w:instrText>
      </w:r>
      <w:r w:rsidR="00030051" w:rsidRPr="00E030B5">
        <w:rPr>
          <w:rFonts w:ascii="Times New Roman" w:hAnsi="Times New Roman" w:cs="Times New Roman"/>
        </w:rPr>
        <w:fldChar w:fldCharType="separate"/>
      </w:r>
      <w:r w:rsidR="00E061CF" w:rsidRPr="00E030B5">
        <w:rPr>
          <w:rFonts w:ascii="Times New Roman" w:hAnsi="Times New Roman" w:cs="Times New Roman"/>
          <w:noProof/>
        </w:rPr>
        <w:t>(N. Underwood et al., 2005)</w:t>
      </w:r>
      <w:r w:rsidR="00030051" w:rsidRPr="00E030B5">
        <w:rPr>
          <w:rFonts w:ascii="Times New Roman" w:hAnsi="Times New Roman" w:cs="Times New Roman"/>
        </w:rPr>
        <w:fldChar w:fldCharType="end"/>
      </w:r>
      <w:r w:rsidR="00E061CF" w:rsidRPr="00E030B5">
        <w:rPr>
          <w:rFonts w:ascii="Times New Roman" w:hAnsi="Times New Roman" w:cs="Times New Roman"/>
        </w:rPr>
        <w:t>.</w:t>
      </w:r>
      <w:r w:rsidRPr="00E030B5">
        <w:rPr>
          <w:rFonts w:ascii="Times New Roman" w:hAnsi="Times New Roman" w:cs="Times New Roman"/>
        </w:rPr>
        <w:t xml:space="preserve"> In avoidance of constitutive defense, the herbivore's moving and feeding between plants may reduce the variability of herbivore damage among plants </w:t>
      </w:r>
      <w:r w:rsidR="00E061CF" w:rsidRPr="00E030B5">
        <w:rPr>
          <w:rFonts w:ascii="Times New Roman" w:hAnsi="Times New Roman" w:cs="Times New Roman"/>
        </w:rPr>
        <w:fldChar w:fldCharType="begin"/>
      </w:r>
      <w:r w:rsidR="00205933" w:rsidRPr="00E030B5">
        <w:rPr>
          <w:rFonts w:ascii="Times New Roman" w:hAnsi="Times New Roman" w:cs="Times New Roman"/>
        </w:rPr>
        <w:instrText xml:space="preserve"> ADDIN ZOTERO_ITEM CSL_CITATION {"citationID":"dRSPKNzb","properties":{"formattedCitation":"(N. Underwood et al., 2005)","plainCitation":"(N. Underwood et al., 2005)","noteIndex":0},"citationItems":[{"id":83,"uris":["http://zotero.org/groups/4590459/items/ZHJPGQVK"],"itemData":{"id":83,"type":"article-journal","abstract":"Because herbivores can move away from plants of low quality, induced resistance should affect the spatial distribution of herbivore damage (or herbivores) within or among plants. We used a spatially explicit simulation model and data from a field experiment to examine the effect of induced resistance on the distribution of herbivores and their damage among plants within a population. The model is appropriate only for rapid (as opposed to delayed) induced resistance, assumes that resistance affects herbivore behavior but not performance, and assumes no interplant communication. It is also appropriate only for induced resistance that decays in the absence of herbivore damage. The simulation tracks herbivores on a linear array of plants or plant parts with reflecting boundaries and allows manipulation of the timing of induced resistance and the initial distribution of herbivores. Our model suggests that increasing tags and thresholds for the production of induced resistance causes increasing aggregation of herbivores and their damage, but in the absence of either a lag or a threshold, induced resistance can lead to an even distribution of herbivores. The formation of even or aggreated distributions of herbivores depends not on initial distributions, but on the characteristics of the induced resistance. In the field experiment, we measured the degree of aggregation of Mexican bean beetle larvae among plants within experimental soybean populations consisting of soybean varieties that had no resistance (low constitutive, low inducible resistance), induced resistance (and low constitutive resistance), or constitutive resistance (and low inducible resistance). In general agreement with qualitative predictions of the model, we found that larvae on soybean varieties with induced resistance remained significantly more aggregated than larvae on varieties with no or high constitutive resistance.","container-title":"Ecology","DOI":"10.1890/03-0290","ISSN":"0012-9658","issue":"3","journalAbbreviation":"Ecology","language":"English","note":"publisher-place: Hoboken\npublisher: Wiley\nWOS:000227659700008","page":"594-602","source":"Web of Science Nextgen","title":"Induced vs. constitutive resistance and the spatial distribution of insect herbivores among plants","volume":"86","author":[{"family":"Underwood","given":"N."},{"family":"Anderson","given":"K."},{"family":"Inouye","given":"B. D."}],"issued":{"date-parts":[["2005",3]]}}}],"schema":"https://github.com/citation-style-language/schema/raw/master/csl-citation.json"} </w:instrText>
      </w:r>
      <w:r w:rsidR="00E061CF" w:rsidRPr="00E030B5">
        <w:rPr>
          <w:rFonts w:ascii="Times New Roman" w:hAnsi="Times New Roman" w:cs="Times New Roman"/>
        </w:rPr>
        <w:fldChar w:fldCharType="separate"/>
      </w:r>
      <w:r w:rsidR="00205933" w:rsidRPr="00E030B5">
        <w:rPr>
          <w:rFonts w:ascii="Times New Roman" w:hAnsi="Times New Roman" w:cs="Times New Roman"/>
          <w:noProof/>
        </w:rPr>
        <w:t>(N. Underwood et al., 2005)</w:t>
      </w:r>
      <w:r w:rsidR="00E061CF" w:rsidRPr="00E030B5">
        <w:rPr>
          <w:rFonts w:ascii="Times New Roman" w:hAnsi="Times New Roman" w:cs="Times New Roman"/>
        </w:rPr>
        <w:fldChar w:fldCharType="end"/>
      </w:r>
      <w:r w:rsidR="00205933" w:rsidRPr="00E030B5">
        <w:rPr>
          <w:rFonts w:ascii="Times New Roman" w:hAnsi="Times New Roman" w:cs="Times New Roman"/>
        </w:rPr>
        <w:t>,</w:t>
      </w:r>
      <w:r w:rsidRPr="00E030B5">
        <w:rPr>
          <w:rFonts w:ascii="Times New Roman" w:hAnsi="Times New Roman" w:cs="Times New Roman"/>
        </w:rPr>
        <w:t xml:space="preserve"> as seen in our study. Additionally, nutrient enrichment increases the nutrient quality of the leaf tissues in the plant </w:t>
      </w:r>
      <w:r w:rsidR="00205933" w:rsidRPr="00E030B5">
        <w:rPr>
          <w:rFonts w:ascii="Times New Roman" w:hAnsi="Times New Roman" w:cs="Times New Roman"/>
        </w:rPr>
        <w:fldChar w:fldCharType="begin"/>
      </w:r>
      <w:r w:rsidR="00205933" w:rsidRPr="00E030B5">
        <w:rPr>
          <w:rFonts w:ascii="Times New Roman" w:hAnsi="Times New Roman" w:cs="Times New Roman"/>
        </w:rPr>
        <w:instrText xml:space="preserve"> ADDIN ZOTERO_ITEM CSL_CITATION {"citationID":"P2PGHpfF","properties":{"formattedCitation":"(Murage et al., 1996)","plainCitation":"(Murage et al., 1996)","noteIndex":0},"citationItems":[{"id":103,"uris":["http://zotero.org/groups/4590459/items/K567BLM5"],"itemData":{"id":103,"type":"article-journal","abstract":"The effect of nitrogen application rates on the leaf yield and nutritive quality of the black nightshade (Solanum nigrum L.), an indigenous Kenyan leafy vegetable was investigated. Application of 5 g N per plant gave the highest fresh leaf yield of 19 and 40 tons/ha after 10 and 12 weeks of growth, respectively. The dry matter and crude fibre contents decreased with increasing nitrogen rates. With a supply of 5 to 15 g N per plant, the dry matter and crude fibre contents were on average 8.3% and 17.8 g/100 g dry matter. The crude fat and protein contents increased with nitrogen supply. Plants treated with N fertilizer yielded about 60% more proteins than the control plants grown with zero g N. The level of beta-carotene in the leaves increased by about 60% from 63 mg/100 g fresh weight with zero g N to 103 mg/100 g fresh weight with 5 g N per plant. Although, the ascorbic acid content increased by over 100% in plants grown with 5 g N per plant, thereafter, a declining trend was observed with higher rates of N supply. Nitrogen application had little effect on the levels of potassium, calcium and magnesium in the leaves. In addition, no major effect of nitrogen supply was observed on the levels of oxalates and phenolic compounds. However: the accumulation of nitrate-nitrogen (NO3-N) in the leaves was greatly enhanced by nitrogen application. In leaves of plants supplied with 5 g N, the amount of NO3-N was ten times more than in the control plants. important aspects on the dietary contribution of S. nigrum leaves are also discussed.","container-title":"Ecology of Food and Nutrition","DOI":"10.1080/03670244.1996.9991484","ISSN":"0367-0244","issue":"2","journalAbbreviation":"Ecol. Food Nutr.","language":"English","note":"publisher-place: Reading\npublisher: Gordon Breach Sci Publ Ltd\nWOS:A1996VL01800007","page":"149-157","source":"Web of Science Nextgen","title":"Changes in leaf yield and nutritive quality of the black nightshade (Solanum nigrum) as influenced by nitrogen application","volume":"35","author":[{"family":"Murage","given":"E. N."},{"family":"Chweya","given":"J. A."},{"family":"Imungi","given":"J. K."}],"issued":{"date-parts":[["1996"]]}}}],"schema":"https://github.com/citation-style-language/schema/raw/master/csl-citation.json"} </w:instrText>
      </w:r>
      <w:r w:rsidR="00205933" w:rsidRPr="00E030B5">
        <w:rPr>
          <w:rFonts w:ascii="Times New Roman" w:hAnsi="Times New Roman" w:cs="Times New Roman"/>
        </w:rPr>
        <w:fldChar w:fldCharType="separate"/>
      </w:r>
      <w:r w:rsidR="00205933" w:rsidRPr="00E030B5">
        <w:rPr>
          <w:rFonts w:ascii="Times New Roman" w:hAnsi="Times New Roman" w:cs="Times New Roman"/>
          <w:noProof/>
        </w:rPr>
        <w:t>(Murage et al., 1996)</w:t>
      </w:r>
      <w:r w:rsidR="00205933" w:rsidRPr="00E030B5">
        <w:rPr>
          <w:rFonts w:ascii="Times New Roman" w:hAnsi="Times New Roman" w:cs="Times New Roman"/>
        </w:rPr>
        <w:fldChar w:fldCharType="end"/>
      </w:r>
      <w:r w:rsidR="00205933" w:rsidRPr="00E030B5">
        <w:rPr>
          <w:rFonts w:ascii="Times New Roman" w:hAnsi="Times New Roman" w:cs="Times New Roman"/>
        </w:rPr>
        <w:t>.</w:t>
      </w:r>
      <w:r w:rsidRPr="00E030B5">
        <w:rPr>
          <w:rFonts w:ascii="Times New Roman" w:hAnsi="Times New Roman" w:cs="Times New Roman"/>
        </w:rPr>
        <w:t xml:space="preserve"> Studies have observed leaf quality to affect herbivore behavior; herbivores may engage in compensatory feeding or exploration for better food sources when subject to nutritionally deficient food sources </w:t>
      </w:r>
      <w:r w:rsidR="00205933" w:rsidRPr="00E030B5">
        <w:rPr>
          <w:rFonts w:ascii="Times New Roman" w:hAnsi="Times New Roman" w:cs="Times New Roman"/>
        </w:rPr>
        <w:fldChar w:fldCharType="begin"/>
      </w:r>
      <w:r w:rsidR="00145BB5" w:rsidRPr="00E030B5">
        <w:rPr>
          <w:rFonts w:ascii="Times New Roman" w:hAnsi="Times New Roman" w:cs="Times New Roman"/>
        </w:rPr>
        <w:instrText xml:space="preserve"> ADDIN ZOTERO_ITEM CSL_CITATION {"citationID":"AtQ7l6As","properties":{"formattedCitation":"(Berner et al., 2005; Chen, Schmelz, et al., 2008)","plainCitation":"(Berner et al., 2005; Chen, Schmelz, et al., 2008)","noteIndex":0},"citationItems":[{"id":108,"uris":["http://zotero.org/groups/4590459/items/ZPEIV6TR"],"itemData":{"id":108,"type":"article-journal","abstract":"The effect of low host plant nitrogen (N) content on herbivore performance has rarely been studied together with the herbivore's feeding behaviour. We explored this relationship with juvenile Omocestus viridulus (Orthoptera: Acrididae) grasshoppers using fertilized and unfertilized host grasses. Due to lower growth rates, grasshoppers reared on N-poor grasses exhibited slightly prolonged development and smaller adult size, while mortality was similar among the fertilizer treatments. This was found both in the laboratory and in outdoor cages under natural climatic conditions. A parallel analysis of feeding behaviour revealed that the grasshoppers counterbalance N shortage by compensatory feeding, and are capable of selectively feeding among grasses of contrasting nutritional quality when given a choice. This indicates a striking ability of O. viridulus to regulate nutrient intake in the face of imbalanced food sources. Although the species exploits a relatively very poor autotroph nutrient base in the wild, as underpinned by N analysis of natural host grasses and grasshopper tissue, our data suggest that natural food quality imposes no relevant constraint on the herbivore's performance. Our study thus challenges the importance of simple plant-mediated control of herbivore populations, such as N limitation, but supports the view that herbivores balance their intake of N and energy.","container-title":"Oikos","DOI":"10.1111/j.1600-0706.2005.14144.x","ISSN":"0030-1299","issue":"3","journalAbbreviation":"Oikos","language":"English","note":"publisher-place: Hoboken\npublisher: Wiley\nWOS:000233306800012","page":"525-533","source":"Web of Science Nextgen","title":"Grasshoppers cope with low host plant quality by compensatory feeding and food selection: N limitation challenged","title-short":"Grasshoppers cope with low host plant quality by compensatory feeding and food selection","volume":"111","author":[{"family":"Berner","given":"D."},{"family":"Blanckenhorn","given":"W. U."},{"family":"Korner","given":"C."}],"issued":{"date-parts":[["2005",12]]}}},{"id":41,"uris":["http://zotero.org/groups/4590459/items/YXP6GBAS"],"itemData":{"id":41,"type":"article-journal","abstract":"Plants respond to insect herbivory by producing dynamic changes in an array of defense-related volatile and nonvolatile secondary metabolites. A scaled response relative to herbivory levels and nutrient availability would be adaptive, particularly under nutrient-limited conditions, in minimizing the costs of expressed defensive pathways and synthesis. In this study, we investigated effects of varying nitrogen (N) fertilization (42, 112, 196, and 280 ppm N) on levels of cotton plant (Gossypium hirsutum) phytohormones [jasmonic acid (JA) and salicylic acid (SA)], terpenoid aldehydes (hemigossypolone, heliocides H-1, H-2, H-3, and H-4), and volatile production in response to beet armyworm (Spodoptera exigua) herbivory. Additional bioassays assessed parasitoid (Cotesia marginiventris) host-searching success in response to cotton plants grown under various N fertilizer regimes. At low N input (42 ppm N), herbivore damage resulted in significant increases in local leaf tissue concentrations of JA and volatiles and in systemic accumulation of terpenoid aldehydes. However, increased N fertilization of cotton plants suppressed S. exigua-induced plant hormones and led to reduced production of various terpenoid aldehydes in damaged mature leaves and undamaged young leaves. While increased N fertilization significantly diminished herbivore-induced leaf volatile concentrations, the parasitism of S. exigua larvae by the parasitoid C. marginiventris in field cages did not differ among N treatments. This suggests that, despite significant N fertilization effects on herbivore-induced plant defenses, at short range, the parasitoids were unable to differentiate between S. exigua larvae feeding on physiologically different cotton plants that share large constitutive volatile pools releasable when damaged by herbivores.","container-title":"Journal of Chemical Ecology","DOI":"10.1007/s10886-008-9560-x","ISSN":"0098-0331","issue":"12","journalAbbreviation":"J. Chem. Ecol.","language":"English","note":"publisher-place: Dordrecht\npublisher: Springer\nWOS:000261411200007","page":"1553-1564","source":"Web of Science Nextgen","title":"Cotton Plant, Gossypium hirsutum L., Defense in Response to Nitrogen Fertilization","volume":"34","author":[{"family":"Chen","given":"Yigen"},{"family":"Schmelz","given":"Eric A."},{"family":"Waeckers","given":"Felix"},{"family":"Ruberson","given":"John R."}],"issued":{"date-parts":[["2008",12]]}}}],"schema":"https://github.com/citation-style-language/schema/raw/master/csl-citation.json"} </w:instrText>
      </w:r>
      <w:r w:rsidR="00205933" w:rsidRPr="00E030B5">
        <w:rPr>
          <w:rFonts w:ascii="Times New Roman" w:hAnsi="Times New Roman" w:cs="Times New Roman"/>
        </w:rPr>
        <w:fldChar w:fldCharType="separate"/>
      </w:r>
      <w:r w:rsidR="00145BB5" w:rsidRPr="00E030B5">
        <w:rPr>
          <w:rFonts w:ascii="Times New Roman" w:hAnsi="Times New Roman" w:cs="Times New Roman"/>
          <w:noProof/>
        </w:rPr>
        <w:t>(Berner et al., 2005; Chen, Schmelz, et al., 2008)</w:t>
      </w:r>
      <w:r w:rsidR="00205933" w:rsidRPr="00E030B5">
        <w:rPr>
          <w:rFonts w:ascii="Times New Roman" w:hAnsi="Times New Roman" w:cs="Times New Roman"/>
        </w:rPr>
        <w:fldChar w:fldCharType="end"/>
      </w:r>
      <w:r w:rsidR="00295C8A" w:rsidRPr="00E030B5">
        <w:rPr>
          <w:rFonts w:ascii="Times New Roman" w:hAnsi="Times New Roman" w:cs="Times New Roman"/>
        </w:rPr>
        <w:t>.</w:t>
      </w:r>
      <w:r w:rsidRPr="00E030B5">
        <w:rPr>
          <w:rFonts w:ascii="Times New Roman" w:hAnsi="Times New Roman" w:cs="Times New Roman"/>
        </w:rPr>
        <w:t xml:space="preserve"> In contrast, nutritionally satisfied herbivores may be less likely to leave their food source </w:t>
      </w:r>
      <w:r w:rsidR="00295C8A" w:rsidRPr="00E030B5">
        <w:rPr>
          <w:rFonts w:ascii="Times New Roman" w:hAnsi="Times New Roman" w:cs="Times New Roman"/>
        </w:rPr>
        <w:fldChar w:fldCharType="begin"/>
      </w:r>
      <w:r w:rsidR="00C15234" w:rsidRPr="00E030B5">
        <w:rPr>
          <w:rFonts w:ascii="Times New Roman" w:hAnsi="Times New Roman" w:cs="Times New Roman"/>
        </w:rPr>
        <w:instrText xml:space="preserve"> ADDIN ZOTERO_ITEM CSL_CITATION {"citationID":"QhFBQSyR","properties":{"formattedCitation":"(Chen, Schmelz, et al., 2008)","plainCitation":"(Chen, Schmelz, et al., 2008)","noteIndex":0},"citationItems":[{"id":41,"uris":["http://zotero.org/groups/4590459/items/YXP6GBAS"],"itemData":{"id":41,"type":"article-journal","abstract":"Plants respond to insect herbivory by producing dynamic changes in an array of defense-related volatile and nonvolatile secondary metabolites. A scaled response relative to herbivory levels and nutrient availability would be adaptive, particularly under nutrient-limited conditions, in minimizing the costs of expressed defensive pathways and synthesis. In this study, we investigated effects of varying nitrogen (N) fertilization (42, 112, 196, and 280 ppm N) on levels of cotton plant (Gossypium hirsutum) phytohormones [jasmonic acid (JA) and salicylic acid (SA)], terpenoid aldehydes (hemigossypolone, heliocides H-1, H-2, H-3, and H-4), and volatile production in response to beet armyworm (Spodoptera exigua) herbivory. Additional bioassays assessed parasitoid (Cotesia marginiventris) host-searching success in response to cotton plants grown under various N fertilizer regimes. At low N input (42 ppm N), herbivore damage resulted in significant increases in local leaf tissue concentrations of JA and volatiles and in systemic accumulation of terpenoid aldehydes. However, increased N fertilization of cotton plants suppressed S. exigua-induced plant hormones and led to reduced production of various terpenoid aldehydes in damaged mature leaves and undamaged young leaves. While increased N fertilization significantly diminished herbivore-induced leaf volatile concentrations, the parasitism of S. exigua larvae by the parasitoid C. marginiventris in field cages did not differ among N treatments. This suggests that, despite significant N fertilization effects on herbivore-induced plant defenses, at short range, the parasitoids were unable to differentiate between S. exigua larvae feeding on physiologically different cotton plants that share large constitutive volatile pools releasable when damaged by herbivores.","container-title":"Journal of Chemical Ecology","DOI":"10.1007/s10886-008-9560-x","ISSN":"0098-0331","issue":"12","journalAbbreviation":"J. Chem. Ecol.","language":"English","note":"publisher-place: Dordrecht\npublisher: Springer\nWOS:000261411200007","page":"1553-1564","source":"Web of Science Nextgen","title":"Cotton Plant, Gossypium hirsutum L., Defense in Response to Nitrogen Fertilization","volume":"34","author":[{"family":"Chen","given":"Yigen"},{"family":"Schmelz","given":"Eric A."},{"family":"Waeckers","given":"Felix"},{"family":"Ruberson","given":"John R."}],"issued":{"date-parts":[["2008",12]]}}}],"schema":"https://github.com/citation-style-language/schema/raw/master/csl-citation.json"} </w:instrText>
      </w:r>
      <w:r w:rsidR="00295C8A" w:rsidRPr="00E030B5">
        <w:rPr>
          <w:rFonts w:ascii="Times New Roman" w:hAnsi="Times New Roman" w:cs="Times New Roman"/>
        </w:rPr>
        <w:fldChar w:fldCharType="separate"/>
      </w:r>
      <w:r w:rsidR="00C15234" w:rsidRPr="00E030B5">
        <w:rPr>
          <w:rFonts w:ascii="Times New Roman" w:hAnsi="Times New Roman" w:cs="Times New Roman"/>
          <w:noProof/>
        </w:rPr>
        <w:t>(Chen, Schmelz, et al., 2008)</w:t>
      </w:r>
      <w:r w:rsidR="00295C8A" w:rsidRPr="00E030B5">
        <w:rPr>
          <w:rFonts w:ascii="Times New Roman" w:hAnsi="Times New Roman" w:cs="Times New Roman"/>
        </w:rPr>
        <w:fldChar w:fldCharType="end"/>
      </w:r>
      <w:r w:rsidR="00C15234" w:rsidRPr="00E030B5">
        <w:rPr>
          <w:rFonts w:ascii="Times New Roman" w:hAnsi="Times New Roman" w:cs="Times New Roman"/>
        </w:rPr>
        <w:t>.</w:t>
      </w:r>
      <w:r w:rsidRPr="00E030B5">
        <w:rPr>
          <w:rFonts w:ascii="Times New Roman" w:hAnsi="Times New Roman" w:cs="Times New Roman"/>
        </w:rPr>
        <w:t xml:space="preserve"> In our study, a reduction in the variability of damage among nutrient-enriched plants, where the plant to herbivore ratio was one-to-one, may result from the lack of movement amongst plants by the herbivores due to being nutritionally fulfilled. We may infer </w:t>
      </w:r>
      <w:proofErr w:type="gramStart"/>
      <w:r w:rsidR="00B51764" w:rsidRPr="00E030B5">
        <w:rPr>
          <w:rFonts w:ascii="Times New Roman" w:hAnsi="Times New Roman" w:cs="Times New Roman"/>
        </w:rPr>
        <w:t>that environments</w:t>
      </w:r>
      <w:proofErr w:type="gramEnd"/>
      <w:r w:rsidRPr="00E030B5">
        <w:rPr>
          <w:rFonts w:ascii="Times New Roman" w:hAnsi="Times New Roman" w:cs="Times New Roman"/>
        </w:rPr>
        <w:t xml:space="preserve"> containing more fertile soils may experience more uniform damage levels among plants than less productive environments. These findings are significant when comparing agricultural ecosystems with more natural ecosystems; agroecosystems may experience more even damage amongst plants due to increased fertilizer usage than more natural ecosystems that may have nutrient limitations due to a lack of fertilization.</w:t>
      </w:r>
    </w:p>
    <w:p w14:paraId="79417374" w14:textId="491DA3A0" w:rsidR="00FD3E77" w:rsidRPr="00E030B5" w:rsidRDefault="00FD3E77" w:rsidP="00FD3E77">
      <w:pPr>
        <w:rPr>
          <w:rFonts w:ascii="Times New Roman" w:hAnsi="Times New Roman" w:cs="Times New Roman"/>
        </w:rPr>
      </w:pPr>
      <w:r w:rsidRPr="00E030B5">
        <w:rPr>
          <w:rFonts w:ascii="Times New Roman" w:hAnsi="Times New Roman" w:cs="Times New Roman"/>
        </w:rPr>
        <w:t xml:space="preserve">We found that associational effects resulted in an increase in variability of herbivory among plants. The selective grazing hypothesis suggests that a plant's palatability aids in its ability to repel or attract herbivores and, in a diverse setting, may cause associational resistance or susceptibility </w:t>
      </w:r>
      <w:r w:rsidR="00A65145" w:rsidRPr="00E030B5">
        <w:rPr>
          <w:rFonts w:ascii="Times New Roman" w:hAnsi="Times New Roman" w:cs="Times New Roman"/>
        </w:rPr>
        <w:fldChar w:fldCharType="begin"/>
      </w:r>
      <w:r w:rsidR="005708A0" w:rsidRPr="00E030B5">
        <w:rPr>
          <w:rFonts w:ascii="Times New Roman" w:hAnsi="Times New Roman" w:cs="Times New Roman"/>
        </w:rPr>
        <w:instrText xml:space="preserve"> ADDIN ZOTERO_ITEM CSL_CITATION {"citationID":"9Q1sSEG3","properties":{"formattedCitation":"(Atsatt &amp; Odowd, 1976; Hahn &amp; Orrock, 2016)","plainCitation":"(Atsatt &amp; Odowd, 1976; Hahn &amp; Orrock, 2016)","noteIndex":0},"citationItems":[{"id":109,"uris":["http://zotero.org/groups/4590459/items/F39I6DWE"],"itemData":{"id":109,"type":"article-journal","container-title":"Science","DOI":"10.1126/science.193.4247.24","ISSN":"0036-8075","issue":"4247","journalAbbreviation":"Science","language":"English","note":"publisher-place: Washington\npublisher: Amer Assoc Advancement Science\nWOS:A1976BV29900009","page":"24-29","source":"Web of Science Nextgen","title":"Plant Defense Guilds","volume":"193","author":[{"family":"Atsatt","given":"Pr"},{"family":"Odowd","given":"Dj"}],"issued":{"date-parts":[["1976"]]}}},{"id":74,"uris":["http://zotero.org/groups/4590459/items/6I6MHKEP"],"itemData":{"id":74,"type":"article-journal","abstract":"Despite increasing evidence that herbivory on a focal plant may hinge upon the identity of its neighbors, it is not clear whether predictable mechanisms govern the nature and magnitude of such associational effects. Using a factorial field experiment replicated at 14 sites across 80,000 hectares, we evaluated the mechanisms driving associational effects between two plant species mediated by grasshopper herbivores. Our experiment manipulated local neighborhood plant density (two levels) and frequency (three levels), nested within two larger-scale habitat contexts (habitats that did or did not have past agricultural land use). We found that the more palatable plant species, Solidago nemoralis, experienced reduced herbivory (associational resistance) when rare due mainly to reduced grasshopper foraging activity. Damage to the less palatable plant species, S. odora, was affected by the interaction between plant frequency and the land-use history of the site: it experienced increased damage (associational susceptibility) in even-frequency neighborhoods, but only in sites with a history of agricultural use. Behavioral assays generally corroborated the results from the field, further supporting the importance of foraging behavior in generating associational effects. In finding that associational effects are contingent upon relative palatability among plants and events in the distant past that modify contemporary habitat structure (i.e., past agricultural land use), our work suggests that foraging decisions made at the neighborhood level are important for generating associational effects and that in some cases these neighborhood interactions also depend on the larger-scale environmental context resulting from legacies of past land-use events.","container-title":"Ecology","DOI":"10.1002/ecy.1430","ISSN":"1939-9170","issue":"8","language":"en","note":"_eprint: https://onlinelibrary.wiley.com/doi/pdf/10.1002/ecy.1430","page":"2103-2111","source":"Wiley Online Library","title":"Neighbor palatability generates associational effects by altering herbivore foraging behavior","volume":"97","author":[{"family":"Hahn","given":"Philip G."},{"family":"Orrock","given":"John L."}],"issued":{"date-parts":[["2016"]]}}}],"schema":"https://github.com/citation-style-language/schema/raw/master/csl-citation.json"} </w:instrText>
      </w:r>
      <w:r w:rsidR="00A65145" w:rsidRPr="00E030B5">
        <w:rPr>
          <w:rFonts w:ascii="Times New Roman" w:hAnsi="Times New Roman" w:cs="Times New Roman"/>
        </w:rPr>
        <w:fldChar w:fldCharType="separate"/>
      </w:r>
      <w:r w:rsidR="005708A0" w:rsidRPr="00E030B5">
        <w:rPr>
          <w:rFonts w:ascii="Times New Roman" w:hAnsi="Times New Roman" w:cs="Times New Roman"/>
          <w:noProof/>
        </w:rPr>
        <w:t>(Atsatt &amp; Odowd, 1976; Hahn &amp; Orrock, 2016)</w:t>
      </w:r>
      <w:r w:rsidR="00A65145" w:rsidRPr="00E030B5">
        <w:rPr>
          <w:rFonts w:ascii="Times New Roman" w:hAnsi="Times New Roman" w:cs="Times New Roman"/>
        </w:rPr>
        <w:fldChar w:fldCharType="end"/>
      </w:r>
      <w:r w:rsidR="005708A0" w:rsidRPr="00E030B5">
        <w:rPr>
          <w:rFonts w:ascii="Times New Roman" w:hAnsi="Times New Roman" w:cs="Times New Roman"/>
        </w:rPr>
        <w:t>.</w:t>
      </w:r>
      <w:r w:rsidRPr="00E030B5">
        <w:rPr>
          <w:rFonts w:ascii="Times New Roman" w:hAnsi="Times New Roman" w:cs="Times New Roman"/>
        </w:rPr>
        <w:t xml:space="preserve"> In our study, the focal plant (kale) may have had higher palatability as compared to its neighbor (mustard) due to the kale having </w:t>
      </w:r>
      <w:r w:rsidRPr="00E030B5">
        <w:rPr>
          <w:rFonts w:ascii="Times New Roman" w:hAnsi="Times New Roman" w:cs="Times New Roman"/>
        </w:rPr>
        <w:lastRenderedPageBreak/>
        <w:t xml:space="preserve">increased mean damage levels than the mustard when clustered; as a result, the herbivore may prefer the kale over the mustard, resulting in associational susceptibility </w:t>
      </w:r>
      <w:r w:rsidR="005708A0" w:rsidRPr="00E030B5">
        <w:rPr>
          <w:rFonts w:ascii="Times New Roman" w:hAnsi="Times New Roman" w:cs="Times New Roman"/>
        </w:rPr>
        <w:fldChar w:fldCharType="begin"/>
      </w:r>
      <w:r w:rsidR="00402460" w:rsidRPr="00E030B5">
        <w:rPr>
          <w:rFonts w:ascii="Times New Roman" w:hAnsi="Times New Roman" w:cs="Times New Roman"/>
        </w:rPr>
        <w:instrText xml:space="preserve"> ADDIN ZOTERO_ITEM CSL_CITATION {"citationID":"ApI9J3Py","properties":{"formattedCitation":"(Hahn &amp; Orrock, 2016)","plainCitation":"(Hahn &amp; Orrock, 2016)","noteIndex":0},"citationItems":[{"id":74,"uris":["http://zotero.org/groups/4590459/items/6I6MHKEP"],"itemData":{"id":74,"type":"article-journal","abstract":"Despite increasing evidence that herbivory on a focal plant may hinge upon the identity of its neighbors, it is not clear whether predictable mechanisms govern the nature and magnitude of such associational effects. Using a factorial field experiment replicated at 14 sites across 80,000 hectares, we evaluated the mechanisms driving associational effects between two plant species mediated by grasshopper herbivores. Our experiment manipulated local neighborhood plant density (two levels) and frequency (three levels), nested within two larger-scale habitat contexts (habitats that did or did not have past agricultural land use). We found that the more palatable plant species, Solidago nemoralis, experienced reduced herbivory (associational resistance) when rare due mainly to reduced grasshopper foraging activity. Damage to the less palatable plant species, S. odora, was affected by the interaction between plant frequency and the land-use history of the site: it experienced increased damage (associational susceptibility) in even-frequency neighborhoods, but only in sites with a history of agricultural use. Behavioral assays generally corroborated the results from the field, further supporting the importance of foraging behavior in generating associational effects. In finding that associational effects are contingent upon relative palatability among plants and events in the distant past that modify contemporary habitat structure (i.e., past agricultural land use), our work suggests that foraging decisions made at the neighborhood level are important for generating associational effects and that in some cases these neighborhood interactions also depend on the larger-scale environmental context resulting from legacies of past land-use events.","container-title":"Ecology","DOI":"10.1002/ecy.1430","ISSN":"1939-9170","issue":"8","language":"en","note":"_eprint: https://onlinelibrary.wiley.com/doi/pdf/10.1002/ecy.1430","page":"2103-2111","source":"Wiley Online Library","title":"Neighbor palatability generates associational effects by altering herbivore foraging behavior","volume":"97","author":[{"family":"Hahn","given":"Philip G."},{"family":"Orrock","given":"John L."}],"issued":{"date-parts":[["2016"]]}}}],"schema":"https://github.com/citation-style-language/schema/raw/master/csl-citation.json"} </w:instrText>
      </w:r>
      <w:r w:rsidR="005708A0" w:rsidRPr="00E030B5">
        <w:rPr>
          <w:rFonts w:ascii="Times New Roman" w:hAnsi="Times New Roman" w:cs="Times New Roman"/>
        </w:rPr>
        <w:fldChar w:fldCharType="separate"/>
      </w:r>
      <w:r w:rsidR="00402460" w:rsidRPr="00E030B5">
        <w:rPr>
          <w:rFonts w:ascii="Times New Roman" w:hAnsi="Times New Roman" w:cs="Times New Roman"/>
          <w:noProof/>
        </w:rPr>
        <w:t>(Hahn &amp; Orrock, 2016)</w:t>
      </w:r>
      <w:r w:rsidR="005708A0" w:rsidRPr="00E030B5">
        <w:rPr>
          <w:rFonts w:ascii="Times New Roman" w:hAnsi="Times New Roman" w:cs="Times New Roman"/>
        </w:rPr>
        <w:fldChar w:fldCharType="end"/>
      </w:r>
      <w:r w:rsidRPr="00E030B5">
        <w:rPr>
          <w:rFonts w:ascii="Times New Roman" w:hAnsi="Times New Roman" w:cs="Times New Roman"/>
        </w:rPr>
        <w:t xml:space="preserve"> for kale with mustard neighbors. Working in conjunction with the selective grazing hypothesis, increases in variability amongst the kale plants in a </w:t>
      </w:r>
      <w:proofErr w:type="spellStart"/>
      <w:r w:rsidRPr="00E030B5">
        <w:rPr>
          <w:rFonts w:ascii="Times New Roman" w:hAnsi="Times New Roman" w:cs="Times New Roman"/>
        </w:rPr>
        <w:t>diculture</w:t>
      </w:r>
      <w:proofErr w:type="spellEnd"/>
      <w:r w:rsidRPr="00E030B5">
        <w:rPr>
          <w:rFonts w:ascii="Times New Roman" w:hAnsi="Times New Roman" w:cs="Times New Roman"/>
        </w:rPr>
        <w:t xml:space="preserve"> setting could result from the spatial arrangement of the plants in the study. For both the monoculture and </w:t>
      </w:r>
      <w:proofErr w:type="spellStart"/>
      <w:r w:rsidRPr="00E030B5">
        <w:rPr>
          <w:rFonts w:ascii="Times New Roman" w:hAnsi="Times New Roman" w:cs="Times New Roman"/>
        </w:rPr>
        <w:t>diculture</w:t>
      </w:r>
      <w:proofErr w:type="spellEnd"/>
      <w:r w:rsidRPr="00E030B5">
        <w:rPr>
          <w:rFonts w:ascii="Times New Roman" w:hAnsi="Times New Roman" w:cs="Times New Roman"/>
        </w:rPr>
        <w:t xml:space="preserve"> studies, the leaves of each plant overlapped and entangled with each other. As a result, when an herbivore was feeding in the </w:t>
      </w:r>
      <w:proofErr w:type="spellStart"/>
      <w:r w:rsidRPr="00E030B5">
        <w:rPr>
          <w:rFonts w:ascii="Times New Roman" w:hAnsi="Times New Roman" w:cs="Times New Roman"/>
        </w:rPr>
        <w:t>diculture</w:t>
      </w:r>
      <w:proofErr w:type="spellEnd"/>
      <w:r w:rsidRPr="00E030B5">
        <w:rPr>
          <w:rFonts w:ascii="Times New Roman" w:hAnsi="Times New Roman" w:cs="Times New Roman"/>
        </w:rPr>
        <w:t xml:space="preserve">, finding other kale plants may have been difficult, which could cause clumping in damage amongst the kale as the herbivore left the mustard plant in search of better food. In the monoculture, the herbivores only have one species option available, so they may roam, causing more even damage levels among plants. An herbivore's ability to access differing plant species may influence their feeding choice; studies have seen the importance of plant spatial arrangement in herbivore choice. For example, </w:t>
      </w:r>
      <w:proofErr w:type="spellStart"/>
      <w:r w:rsidRPr="00E030B5">
        <w:rPr>
          <w:rFonts w:ascii="Times New Roman" w:hAnsi="Times New Roman" w:cs="Times New Roman"/>
        </w:rPr>
        <w:t>Hauri</w:t>
      </w:r>
      <w:proofErr w:type="spellEnd"/>
      <w:r w:rsidRPr="00E030B5">
        <w:rPr>
          <w:rFonts w:ascii="Times New Roman" w:hAnsi="Times New Roman" w:cs="Times New Roman"/>
        </w:rPr>
        <w:t xml:space="preserve"> et al. </w:t>
      </w:r>
      <w:r w:rsidR="00402460" w:rsidRPr="00E030B5">
        <w:rPr>
          <w:rFonts w:ascii="Times New Roman" w:hAnsi="Times New Roman" w:cs="Times New Roman"/>
        </w:rPr>
        <w:fldChar w:fldCharType="begin"/>
      </w:r>
      <w:r w:rsidR="00C04124" w:rsidRPr="00E030B5">
        <w:rPr>
          <w:rFonts w:ascii="Times New Roman" w:hAnsi="Times New Roman" w:cs="Times New Roman"/>
        </w:rPr>
        <w:instrText xml:space="preserve"> ADDIN ZOTERO_ITEM CSL_CITATION {"citationID":"l75ylW4p","properties":{"formattedCitation":"(Hauri et al., 2022)","plainCitation":"(Hauri et al., 2022)","noteIndex":0},"citationItems":[{"id":110,"uris":["http://zotero.org/groups/4590459/items/ZHQRNBFP"],"itemData":{"id":110,"type":"article-journal","abstract":"Variability in plant traits such as nutrients and defences can challenge insect herbivores searching for a host plant. Cultivar mixtures are designed to harness this variability to reduce herbivore damage in agroecosystems but have had mixed success. We examine how the spatial frequency of plant trait variability-a fundamental but rarely examined feature of variability-influences insect foraging and survival. We released a generalist herbivore into monocultures of two chemically distinct tomato varieties or dicultures of the two varieties with two spatial frequencies of chemical diversity and tracked herbivore movement and feeding damage. We found the pattern of herbivore feeding damage was more spatially concentrated in both diculture treatments than in either monoculture, indicating that the presence of chemical diversity, regardless of its spatial frequency, influences herbivore foraging. In contrast, total amount of feeding damage was reduced by 25% in dicultures where genotypes were grouped compared to monocultures or dicultures with alternating genotypes, which had similar levels of damage. Similarly, herbivore survival in the low-frequency diculture was nearly half the survival in the high-frequency diculture or monocultures. Synthesis and applications. Whereas previous work investigates how the amount of chemical diversity in a plant population influences insect ecology, our results indicate that local spatial distribution of diversity is equally important. A key implication of this work is the potential to design cultivar mixtures spatially, at the movement scale of target organisms, to create more effective pest management landscapes and promote sustainable agriculture.","container-title":"Journal of Applied Ecology","DOI":"10.1111/1365-2664.14151","ISSN":"0021-8901","issue":"5","journalAbbreviation":"J. Appl. Ecol.","language":"English","note":"publisher-place: Hoboken\npublisher: Wiley\nWOS:000780432600001","page":"1362-1371","source":"Web of Science Nextgen","title":"Plant chemical diversity and its frequency have distinct but complementary effects on insect foraging","volume":"59","author":[{"family":"Hauri","given":"Kayleigh C."},{"family":"Glassmire","given":"Andrea E."},{"family":"Randall","given":"Brendan"},{"family":"Zehr","given":"Luke N."},{"family":"Wetzel","given":"William C."}],"issued":{"date-parts":[["2022",5]]}}}],"schema":"https://github.com/citation-style-language/schema/raw/master/csl-citation.json"} </w:instrText>
      </w:r>
      <w:r w:rsidR="00402460" w:rsidRPr="00E030B5">
        <w:rPr>
          <w:rFonts w:ascii="Times New Roman" w:hAnsi="Times New Roman" w:cs="Times New Roman"/>
        </w:rPr>
        <w:fldChar w:fldCharType="separate"/>
      </w:r>
      <w:r w:rsidR="00C04124" w:rsidRPr="00E030B5">
        <w:rPr>
          <w:rFonts w:ascii="Times New Roman" w:hAnsi="Times New Roman" w:cs="Times New Roman"/>
          <w:noProof/>
        </w:rPr>
        <w:t>(2022)</w:t>
      </w:r>
      <w:r w:rsidR="00402460" w:rsidRPr="00E030B5">
        <w:rPr>
          <w:rFonts w:ascii="Times New Roman" w:hAnsi="Times New Roman" w:cs="Times New Roman"/>
        </w:rPr>
        <w:fldChar w:fldCharType="end"/>
      </w:r>
      <w:r w:rsidRPr="00E030B5">
        <w:rPr>
          <w:rFonts w:ascii="Times New Roman" w:hAnsi="Times New Roman" w:cs="Times New Roman"/>
        </w:rPr>
        <w:t xml:space="preserve"> found that changing the configuration of chemically diverse species caused a change in herbivore behavior. They varied the arrangement of plants along a transect: low-frequency chemical arrangement or clumped chemical diversity and high-frequency chemical arrangement or spread chemical diversity. As a result, they found that when the chemical diversity was equally accessible across the transect, there was an increase in herbivore clumping and reduced movement. They suggest that herbivores may balance their diet by feeding on chemically different plants. In contrast, they suggest that herbivores in monocultures roam in search of chemical diversity, increasing their movement and reducing the herbivore clumping </w:t>
      </w:r>
      <w:r w:rsidR="00C04124" w:rsidRPr="00E030B5">
        <w:rPr>
          <w:rFonts w:ascii="Times New Roman" w:hAnsi="Times New Roman" w:cs="Times New Roman"/>
        </w:rPr>
        <w:fldChar w:fldCharType="begin"/>
      </w:r>
      <w:r w:rsidR="00C04124" w:rsidRPr="00E030B5">
        <w:rPr>
          <w:rFonts w:ascii="Times New Roman" w:hAnsi="Times New Roman" w:cs="Times New Roman"/>
        </w:rPr>
        <w:instrText xml:space="preserve"> ADDIN ZOTERO_ITEM CSL_CITATION {"citationID":"I4VJVF8S","properties":{"formattedCitation":"(Hauri et al., 2022)","plainCitation":"(Hauri et al., 2022)","noteIndex":0},"citationItems":[{"id":110,"uris":["http://zotero.org/groups/4590459/items/ZHQRNBFP"],"itemData":{"id":110,"type":"article-journal","abstract":"Variability in plant traits such as nutrients and defences can challenge insect herbivores searching for a host plant. Cultivar mixtures are designed to harness this variability to reduce herbivore damage in agroecosystems but have had mixed success. We examine how the spatial frequency of plant trait variability-a fundamental but rarely examined feature of variability-influences insect foraging and survival. We released a generalist herbivore into monocultures of two chemically distinct tomato varieties or dicultures of the two varieties with two spatial frequencies of chemical diversity and tracked herbivore movement and feeding damage. We found the pattern of herbivore feeding damage was more spatially concentrated in both diculture treatments than in either monoculture, indicating that the presence of chemical diversity, regardless of its spatial frequency, influences herbivore foraging. In contrast, total amount of feeding damage was reduced by 25% in dicultures where genotypes were grouped compared to monocultures or dicultures with alternating genotypes, which had similar levels of damage. Similarly, herbivore survival in the low-frequency diculture was nearly half the survival in the high-frequency diculture or monocultures. Synthesis and applications. Whereas previous work investigates how the amount of chemical diversity in a plant population influences insect ecology, our results indicate that local spatial distribution of diversity is equally important. A key implication of this work is the potential to design cultivar mixtures spatially, at the movement scale of target organisms, to create more effective pest management landscapes and promote sustainable agriculture.","container-title":"Journal of Applied Ecology","DOI":"10.1111/1365-2664.14151","ISSN":"0021-8901","issue":"5","journalAbbreviation":"J. Appl. Ecol.","language":"English","note":"publisher-place: Hoboken\npublisher: Wiley\nWOS:000780432600001","page":"1362-1371","source":"Web of Science Nextgen","title":"Plant chemical diversity and its frequency have distinct but complementary effects on insect foraging","volume":"59","author":[{"family":"Hauri","given":"Kayleigh C."},{"family":"Glassmire","given":"Andrea E."},{"family":"Randall","given":"Brendan"},{"family":"Zehr","given":"Luke N."},{"family":"Wetzel","given":"William C."}],"issued":{"date-parts":[["2022",5]]}}}],"schema":"https://github.com/citation-style-language/schema/raw/master/csl-citation.json"} </w:instrText>
      </w:r>
      <w:r w:rsidR="00C04124" w:rsidRPr="00E030B5">
        <w:rPr>
          <w:rFonts w:ascii="Times New Roman" w:hAnsi="Times New Roman" w:cs="Times New Roman"/>
        </w:rPr>
        <w:fldChar w:fldCharType="separate"/>
      </w:r>
      <w:r w:rsidR="00C04124" w:rsidRPr="00E030B5">
        <w:rPr>
          <w:rFonts w:ascii="Times New Roman" w:hAnsi="Times New Roman" w:cs="Times New Roman"/>
          <w:noProof/>
        </w:rPr>
        <w:t>(Hauri et al., 2022)</w:t>
      </w:r>
      <w:r w:rsidR="00C04124" w:rsidRPr="00E030B5">
        <w:rPr>
          <w:rFonts w:ascii="Times New Roman" w:hAnsi="Times New Roman" w:cs="Times New Roman"/>
        </w:rPr>
        <w:fldChar w:fldCharType="end"/>
      </w:r>
      <w:r w:rsidR="00C04124" w:rsidRPr="00E030B5">
        <w:rPr>
          <w:rFonts w:ascii="Times New Roman" w:hAnsi="Times New Roman" w:cs="Times New Roman"/>
        </w:rPr>
        <w:t>.</w:t>
      </w:r>
      <w:r w:rsidRPr="00E030B5">
        <w:rPr>
          <w:rFonts w:ascii="Times New Roman" w:hAnsi="Times New Roman" w:cs="Times New Roman"/>
        </w:rPr>
        <w:t xml:space="preserve"> We found similar results in our study. In the </w:t>
      </w:r>
      <w:proofErr w:type="spellStart"/>
      <w:r w:rsidRPr="00E030B5">
        <w:rPr>
          <w:rFonts w:ascii="Times New Roman" w:hAnsi="Times New Roman" w:cs="Times New Roman"/>
        </w:rPr>
        <w:t>diculture</w:t>
      </w:r>
      <w:proofErr w:type="spellEnd"/>
      <w:r w:rsidRPr="00E030B5">
        <w:rPr>
          <w:rFonts w:ascii="Times New Roman" w:hAnsi="Times New Roman" w:cs="Times New Roman"/>
        </w:rPr>
        <w:t xml:space="preserve"> setting, we found aggregated herbivore damage amongst the kale plants; in contrast, herbivores spread their damage amongst the plants in the monocultures. The aggregated damage in the </w:t>
      </w:r>
      <w:proofErr w:type="spellStart"/>
      <w:r w:rsidRPr="00E030B5">
        <w:rPr>
          <w:rFonts w:ascii="Times New Roman" w:hAnsi="Times New Roman" w:cs="Times New Roman"/>
        </w:rPr>
        <w:t>diculture</w:t>
      </w:r>
      <w:proofErr w:type="spellEnd"/>
      <w:r w:rsidRPr="00E030B5">
        <w:rPr>
          <w:rFonts w:ascii="Times New Roman" w:hAnsi="Times New Roman" w:cs="Times New Roman"/>
        </w:rPr>
        <w:t xml:space="preserve"> may be from the herbivores' ability to easily balance their diet due to the close proximity of a chemically diverse host </w:t>
      </w:r>
      <w:r w:rsidR="00C04124" w:rsidRPr="00E030B5">
        <w:rPr>
          <w:rFonts w:ascii="Times New Roman" w:hAnsi="Times New Roman" w:cs="Times New Roman"/>
        </w:rPr>
        <w:fldChar w:fldCharType="begin"/>
      </w:r>
      <w:r w:rsidR="00C04124" w:rsidRPr="00E030B5">
        <w:rPr>
          <w:rFonts w:ascii="Times New Roman" w:hAnsi="Times New Roman" w:cs="Times New Roman"/>
        </w:rPr>
        <w:instrText xml:space="preserve"> ADDIN ZOTERO_ITEM CSL_CITATION {"citationID":"PrggjAuZ","properties":{"formattedCitation":"(Hauri et al., 2022)","plainCitation":"(Hauri et al., 2022)","noteIndex":0},"citationItems":[{"id":110,"uris":["http://zotero.org/groups/4590459/items/ZHQRNBFP"],"itemData":{"id":110,"type":"article-journal","abstract":"Variability in plant traits such as nutrients and defences can challenge insect herbivores searching for a host plant. Cultivar mixtures are designed to harness this variability to reduce herbivore damage in agroecosystems but have had mixed success. We examine how the spatial frequency of plant trait variability-a fundamental but rarely examined feature of variability-influences insect foraging and survival. We released a generalist herbivore into monocultures of two chemically distinct tomato varieties or dicultures of the two varieties with two spatial frequencies of chemical diversity and tracked herbivore movement and feeding damage. We found the pattern of herbivore feeding damage was more spatially concentrated in both diculture treatments than in either monoculture, indicating that the presence of chemical diversity, regardless of its spatial frequency, influences herbivore foraging. In contrast, total amount of feeding damage was reduced by 25% in dicultures where genotypes were grouped compared to monocultures or dicultures with alternating genotypes, which had similar levels of damage. Similarly, herbivore survival in the low-frequency diculture was nearly half the survival in the high-frequency diculture or monocultures. Synthesis and applications. Whereas previous work investigates how the amount of chemical diversity in a plant population influences insect ecology, our results indicate that local spatial distribution of diversity is equally important. A key implication of this work is the potential to design cultivar mixtures spatially, at the movement scale of target organisms, to create more effective pest management landscapes and promote sustainable agriculture.","container-title":"Journal of Applied Ecology","DOI":"10.1111/1365-2664.14151","ISSN":"0021-8901","issue":"5","journalAbbreviation":"J. Appl. Ecol.","language":"English","note":"publisher-place: Hoboken\npublisher: Wiley\nWOS:000780432600001","page":"1362-1371","source":"Web of Science Nextgen","title":"Plant chemical diversity and its frequency have distinct but complementary effects on insect foraging","volume":"59","author":[{"family":"Hauri","given":"Kayleigh C."},{"family":"Glassmire","given":"Andrea E."},{"family":"Randall","given":"Brendan"},{"family":"Zehr","given":"Luke N."},{"family":"Wetzel","given":"William C."}],"issued":{"date-parts":[["2022",5]]}}}],"schema":"https://github.com/citation-style-language/schema/raw/master/csl-citation.json"} </w:instrText>
      </w:r>
      <w:r w:rsidR="00C04124" w:rsidRPr="00E030B5">
        <w:rPr>
          <w:rFonts w:ascii="Times New Roman" w:hAnsi="Times New Roman" w:cs="Times New Roman"/>
        </w:rPr>
        <w:fldChar w:fldCharType="separate"/>
      </w:r>
      <w:r w:rsidR="00C04124" w:rsidRPr="00E030B5">
        <w:rPr>
          <w:rFonts w:ascii="Times New Roman" w:hAnsi="Times New Roman" w:cs="Times New Roman"/>
          <w:noProof/>
        </w:rPr>
        <w:t>(Hauri et al., 2022)</w:t>
      </w:r>
      <w:r w:rsidR="00C04124" w:rsidRPr="00E030B5">
        <w:rPr>
          <w:rFonts w:ascii="Times New Roman" w:hAnsi="Times New Roman" w:cs="Times New Roman"/>
        </w:rPr>
        <w:fldChar w:fldCharType="end"/>
      </w:r>
      <w:r w:rsidR="00C04124" w:rsidRPr="00E030B5">
        <w:rPr>
          <w:rFonts w:ascii="Times New Roman" w:hAnsi="Times New Roman" w:cs="Times New Roman"/>
        </w:rPr>
        <w:t>.</w:t>
      </w:r>
      <w:r w:rsidRPr="00E030B5">
        <w:rPr>
          <w:rFonts w:ascii="Times New Roman" w:hAnsi="Times New Roman" w:cs="Times New Roman"/>
        </w:rPr>
        <w:t xml:space="preserve"> In contrast, the even spread of damage in the monoculture may result from herbivore movement in search of a chemically diverse host to balance its diet </w:t>
      </w:r>
      <w:r w:rsidR="00C04124" w:rsidRPr="00E030B5">
        <w:rPr>
          <w:rFonts w:ascii="Times New Roman" w:hAnsi="Times New Roman" w:cs="Times New Roman"/>
        </w:rPr>
        <w:fldChar w:fldCharType="begin"/>
      </w:r>
      <w:r w:rsidR="00342849" w:rsidRPr="00E030B5">
        <w:rPr>
          <w:rFonts w:ascii="Times New Roman" w:hAnsi="Times New Roman" w:cs="Times New Roman"/>
        </w:rPr>
        <w:instrText xml:space="preserve"> ADDIN ZOTERO_ITEM CSL_CITATION {"citationID":"FQQyHPxd","properties":{"formattedCitation":"(Hauri et al., 2022)","plainCitation":"(Hauri et al., 2022)","noteIndex":0},"citationItems":[{"id":110,"uris":["http://zotero.org/groups/4590459/items/ZHQRNBFP"],"itemData":{"id":110,"type":"article-journal","abstract":"Variability in plant traits such as nutrients and defences can challenge insect herbivores searching for a host plant. Cultivar mixtures are designed to harness this variability to reduce herbivore damage in agroecosystems but have had mixed success. We examine how the spatial frequency of plant trait variability-a fundamental but rarely examined feature of variability-influences insect foraging and survival. We released a generalist herbivore into monocultures of two chemically distinct tomato varieties or dicultures of the two varieties with two spatial frequencies of chemical diversity and tracked herbivore movement and feeding damage. We found the pattern of herbivore feeding damage was more spatially concentrated in both diculture treatments than in either monoculture, indicating that the presence of chemical diversity, regardless of its spatial frequency, influences herbivore foraging. In contrast, total amount of feeding damage was reduced by 25% in dicultures where genotypes were grouped compared to monocultures or dicultures with alternating genotypes, which had similar levels of damage. Similarly, herbivore survival in the low-frequency diculture was nearly half the survival in the high-frequency diculture or monocultures. Synthesis and applications. Whereas previous work investigates how the amount of chemical diversity in a plant population influences insect ecology, our results indicate that local spatial distribution of diversity is equally important. A key implication of this work is the potential to design cultivar mixtures spatially, at the movement scale of target organisms, to create more effective pest management landscapes and promote sustainable agriculture.","container-title":"Journal of Applied Ecology","DOI":"10.1111/1365-2664.14151","ISSN":"0021-8901","issue":"5","journalAbbreviation":"J. Appl. Ecol.","language":"English","note":"publisher-place: Hoboken\npublisher: Wiley\nWOS:000780432600001","page":"1362-1371","source":"Web of Science Nextgen","title":"Plant chemical diversity and its frequency have distinct but complementary effects on insect foraging","volume":"59","author":[{"family":"Hauri","given":"Kayleigh C."},{"family":"Glassmire","given":"Andrea E."},{"family":"Randall","given":"Brendan"},{"family":"Zehr","given":"Luke N."},{"family":"Wetzel","given":"William C."}],"issued":{"date-parts":[["2022",5]]}}}],"schema":"https://github.com/citation-style-language/schema/raw/master/csl-citation.json"} </w:instrText>
      </w:r>
      <w:r w:rsidR="00C04124" w:rsidRPr="00E030B5">
        <w:rPr>
          <w:rFonts w:ascii="Times New Roman" w:hAnsi="Times New Roman" w:cs="Times New Roman"/>
        </w:rPr>
        <w:fldChar w:fldCharType="separate"/>
      </w:r>
      <w:r w:rsidR="00342849" w:rsidRPr="00E030B5">
        <w:rPr>
          <w:rFonts w:ascii="Times New Roman" w:hAnsi="Times New Roman" w:cs="Times New Roman"/>
          <w:noProof/>
        </w:rPr>
        <w:t>(Hauri et al., 2022)</w:t>
      </w:r>
      <w:r w:rsidR="00C04124" w:rsidRPr="00E030B5">
        <w:rPr>
          <w:rFonts w:ascii="Times New Roman" w:hAnsi="Times New Roman" w:cs="Times New Roman"/>
        </w:rPr>
        <w:fldChar w:fldCharType="end"/>
      </w:r>
      <w:r w:rsidR="00342849" w:rsidRPr="00E030B5">
        <w:rPr>
          <w:rFonts w:ascii="Times New Roman" w:hAnsi="Times New Roman" w:cs="Times New Roman"/>
        </w:rPr>
        <w:t>.</w:t>
      </w:r>
      <w:r w:rsidRPr="00E030B5">
        <w:rPr>
          <w:rFonts w:ascii="Times New Roman" w:hAnsi="Times New Roman" w:cs="Times New Roman"/>
        </w:rPr>
        <w:t xml:space="preserve"> To test this mechanism would require altering the spatial arrangement of the experimental cluster: changing the frequency of having similar or different neighbors in a cluster. </w:t>
      </w:r>
      <w:r w:rsidR="0036120A" w:rsidRPr="00E030B5">
        <w:rPr>
          <w:rFonts w:ascii="Times New Roman" w:hAnsi="Times New Roman" w:cs="Times New Roman"/>
        </w:rPr>
        <w:t>Overall,</w:t>
      </w:r>
      <w:r w:rsidRPr="00E030B5">
        <w:rPr>
          <w:rFonts w:ascii="Times New Roman" w:hAnsi="Times New Roman" w:cs="Times New Roman"/>
        </w:rPr>
        <w:t xml:space="preserve"> in a di- or poly-culture environment, an herbivore can choose between plant species; if they are unsatisfied with the taste or smell, they may move to a different plant. This movement amongst plants and uneven consumption increases the variability of damage among plants, as recorded in our study.</w:t>
      </w:r>
    </w:p>
    <w:p w14:paraId="49397AE4" w14:textId="65D090BF" w:rsidR="00FD3E77" w:rsidRPr="00E030B5" w:rsidRDefault="00FD3E77" w:rsidP="00FD3E77">
      <w:pPr>
        <w:rPr>
          <w:rFonts w:ascii="Times New Roman" w:hAnsi="Times New Roman" w:cs="Times New Roman"/>
        </w:rPr>
      </w:pPr>
      <w:r w:rsidRPr="00E030B5">
        <w:rPr>
          <w:rFonts w:ascii="Times New Roman" w:hAnsi="Times New Roman" w:cs="Times New Roman"/>
        </w:rPr>
        <w:lastRenderedPageBreak/>
        <w:t>Inherent in our study design, we found the herbivore's ability to move among plant individuals decreased the variability of herbivore damage. The effect of movement suggests that communities with higher densities would experience lower variability of damage among plants because herbivores with different feeding rates can move among the same plants, so their damage averages out, reducing the variability of damage among plants. Low-density environments would experience higher variability of damage among plants because the herbivores with differing feeding rates are on separate plants, highlighting their differences in feeding and increasing the variability of damage among plants. Our results support this; herbivores in non-movement environments had more variable RGRs than in movement environments (Figures 2 &amp; 3). A caveat of this mechanism may be from averaging the herbivore RGRs in the movement treatment, resulting in an averaging effect rather than herbivore behavior.</w:t>
      </w:r>
    </w:p>
    <w:p w14:paraId="00C36C9B" w14:textId="690C6A62" w:rsidR="00FD3E77" w:rsidRPr="00E030B5" w:rsidRDefault="00FD3E77" w:rsidP="00FD3E77">
      <w:pPr>
        <w:rPr>
          <w:rFonts w:ascii="Times New Roman" w:hAnsi="Times New Roman" w:cs="Times New Roman"/>
        </w:rPr>
      </w:pPr>
      <w:r w:rsidRPr="00E030B5">
        <w:rPr>
          <w:rFonts w:ascii="Times New Roman" w:hAnsi="Times New Roman" w:cs="Times New Roman"/>
        </w:rPr>
        <w:t xml:space="preserve">Many of the mechanisms we propose to explain patterns of variability in damage rely on herbivore behavior. Further exploration of herbivore behavior is essential to understanding plant-herbivore interactions. Earlier research has observed gregarious (social) feeding by the larvae of insect herbivores </w:t>
      </w:r>
      <w:r w:rsidR="006372C5" w:rsidRPr="00E030B5">
        <w:rPr>
          <w:rFonts w:ascii="Times New Roman" w:hAnsi="Times New Roman" w:cs="Times New Roman"/>
        </w:rPr>
        <w:fldChar w:fldCharType="begin"/>
      </w:r>
      <w:r w:rsidR="006372C5" w:rsidRPr="00E030B5">
        <w:rPr>
          <w:rFonts w:ascii="Times New Roman" w:hAnsi="Times New Roman" w:cs="Times New Roman"/>
        </w:rPr>
        <w:instrText xml:space="preserve"> ADDIN ZOTERO_ITEM CSL_CITATION {"citationID":"JTdOi0at","properties":{"formattedCitation":"(Choe &amp; Crespi, 1997)","plainCitation":"(Choe &amp; Crespi, 1997)","noteIndex":0},"citationItems":[{"id":104,"uris":["http://zotero.org/groups/4590459/items/GQ6M64I8"],"itemData":{"id":104,"type":"book","abstract":"Includes bibliographical references and indexes.","call-number":"QL496 .E95 1997","event-place":"Cambridge ; New York","ISBN":"978-0-521-58028-1","language":"eng","publisher":"Cambridge University Press","publisher-place":"Cambridge ; New York","source":"alliance-primo.com","title":"The evolution of social behavior in insects and arachnids","author":[{"family":"Choe","given":"Jae C."},{"family":"Crespi","given":"Bernard J."}],"issued":{"date-parts":[["1997"]]}}}],"schema":"https://github.com/citation-style-language/schema/raw/master/csl-citation.json"} </w:instrText>
      </w:r>
      <w:r w:rsidR="006372C5" w:rsidRPr="00E030B5">
        <w:rPr>
          <w:rFonts w:ascii="Times New Roman" w:hAnsi="Times New Roman" w:cs="Times New Roman"/>
        </w:rPr>
        <w:fldChar w:fldCharType="separate"/>
      </w:r>
      <w:r w:rsidR="006372C5" w:rsidRPr="00E030B5">
        <w:rPr>
          <w:rFonts w:ascii="Times New Roman" w:hAnsi="Times New Roman" w:cs="Times New Roman"/>
          <w:noProof/>
        </w:rPr>
        <w:t>(Choe &amp; Crespi, 1997)</w:t>
      </w:r>
      <w:r w:rsidR="006372C5" w:rsidRPr="00E030B5">
        <w:rPr>
          <w:rFonts w:ascii="Times New Roman" w:hAnsi="Times New Roman" w:cs="Times New Roman"/>
        </w:rPr>
        <w:fldChar w:fldCharType="end"/>
      </w:r>
      <w:r w:rsidR="006372C5" w:rsidRPr="00E030B5">
        <w:rPr>
          <w:rFonts w:ascii="Times New Roman" w:hAnsi="Times New Roman" w:cs="Times New Roman"/>
        </w:rPr>
        <w:t>.</w:t>
      </w:r>
      <w:r w:rsidRPr="00E030B5">
        <w:rPr>
          <w:rFonts w:ascii="Times New Roman" w:hAnsi="Times New Roman" w:cs="Times New Roman"/>
        </w:rPr>
        <w:t xml:space="preserve"> Spatial clumping of herbivores is inherent in the mechanism of gregarious feeding; this clumped feeding of herbivores may increase the variability of damage within and among plants. Understanding these effects would explain how interactions within herbivore species change their feeding behavior, influencing evolutionary changes in community composition by hindering some individuals from reproducing due to extensive damage. Additionally, potential research may explore a field study in agroecosystems to test the trends seen in our lab investigation. Understanding the patterns of variability of damage seen in an agricultural setting would allow for better management of crops to reduce losses due to herbivore damage. Many of the mechanisms that alter the variability of herbivore damage are yet to be fully understood; exploration in this field would provide critical knowledge as to how these mechanisms change plant and herbivore populations over time.</w:t>
      </w:r>
    </w:p>
    <w:p w14:paraId="0616621D" w14:textId="77777777" w:rsidR="00DA6C73" w:rsidRPr="00E030B5" w:rsidRDefault="00DA6C73">
      <w:pPr>
        <w:rPr>
          <w:rFonts w:ascii="Times New Roman" w:hAnsi="Times New Roman" w:cs="Times New Roman"/>
        </w:rPr>
      </w:pPr>
      <w:r w:rsidRPr="00E030B5">
        <w:rPr>
          <w:rFonts w:ascii="Times New Roman" w:hAnsi="Times New Roman" w:cs="Times New Roman"/>
        </w:rPr>
        <w:br w:type="page"/>
      </w:r>
    </w:p>
    <w:p w14:paraId="66A573B9" w14:textId="3C313194" w:rsidR="00DA6C73" w:rsidRPr="00E030B5" w:rsidRDefault="00DA6C73" w:rsidP="00714662">
      <w:pPr>
        <w:pStyle w:val="Heading2"/>
        <w:spacing w:afterLines="200" w:after="480"/>
        <w:rPr>
          <w:rFonts w:ascii="Times New Roman" w:hAnsi="Times New Roman" w:cs="Times New Roman"/>
        </w:rPr>
      </w:pPr>
      <w:commentRangeStart w:id="12"/>
      <w:r w:rsidRPr="00E030B5">
        <w:rPr>
          <w:rFonts w:ascii="Times New Roman" w:hAnsi="Times New Roman" w:cs="Times New Roman"/>
        </w:rPr>
        <w:lastRenderedPageBreak/>
        <w:t>Works Cited</w:t>
      </w:r>
      <w:commentRangeEnd w:id="12"/>
      <w:r w:rsidR="00A329E1">
        <w:rPr>
          <w:rStyle w:val="CommentReference"/>
          <w:b w:val="0"/>
        </w:rPr>
        <w:commentReference w:id="12"/>
      </w:r>
    </w:p>
    <w:p w14:paraId="68E70746" w14:textId="23BEB7FF" w:rsidR="00633DCB" w:rsidRPr="00E030B5" w:rsidRDefault="00633DCB" w:rsidP="00714662">
      <w:pPr>
        <w:pStyle w:val="Bibliography"/>
        <w:spacing w:afterLines="200" w:after="480" w:line="360" w:lineRule="auto"/>
        <w:rPr>
          <w:rFonts w:ascii="Times New Roman" w:hAnsi="Times New Roman" w:cs="Times New Roman"/>
        </w:rPr>
      </w:pPr>
      <w:r w:rsidRPr="00E030B5">
        <w:rPr>
          <w:rFonts w:ascii="Times New Roman" w:hAnsi="Times New Roman" w:cs="Times New Roman"/>
        </w:rPr>
        <w:fldChar w:fldCharType="begin"/>
      </w:r>
      <w:r w:rsidRPr="00E030B5">
        <w:rPr>
          <w:rFonts w:ascii="Times New Roman" w:hAnsi="Times New Roman" w:cs="Times New Roman"/>
        </w:rPr>
        <w:instrText xml:space="preserve"> ADDIN ZOTERO_BIBL {"uncited":[],"omitted":[],"custom":[]} CSL_BIBLIOGRAPHY </w:instrText>
      </w:r>
      <w:r w:rsidRPr="00E030B5">
        <w:rPr>
          <w:rFonts w:ascii="Times New Roman" w:hAnsi="Times New Roman" w:cs="Times New Roman"/>
        </w:rPr>
        <w:fldChar w:fldCharType="separate"/>
      </w:r>
      <w:r w:rsidRPr="00E030B5">
        <w:rPr>
          <w:rFonts w:ascii="Times New Roman" w:hAnsi="Times New Roman" w:cs="Times New Roman"/>
        </w:rPr>
        <w:t xml:space="preserve">Atsatt, P., &amp; Odowd, D. (1976). Plant Defense Guilds. </w:t>
      </w:r>
      <w:r w:rsidRPr="00E030B5">
        <w:rPr>
          <w:rFonts w:ascii="Times New Roman" w:hAnsi="Times New Roman" w:cs="Times New Roman"/>
          <w:i/>
          <w:iCs/>
        </w:rPr>
        <w:t>Science</w:t>
      </w:r>
      <w:r w:rsidRPr="00E030B5">
        <w:rPr>
          <w:rFonts w:ascii="Times New Roman" w:hAnsi="Times New Roman" w:cs="Times New Roman"/>
        </w:rPr>
        <w:t xml:space="preserve">, </w:t>
      </w:r>
      <w:r w:rsidRPr="00E030B5">
        <w:rPr>
          <w:rFonts w:ascii="Times New Roman" w:hAnsi="Times New Roman" w:cs="Times New Roman"/>
          <w:i/>
          <w:iCs/>
        </w:rPr>
        <w:t>193</w:t>
      </w:r>
      <w:r w:rsidRPr="00E030B5">
        <w:rPr>
          <w:rFonts w:ascii="Times New Roman" w:hAnsi="Times New Roman" w:cs="Times New Roman"/>
        </w:rPr>
        <w:t>(4247), 24–29. https://doi.org/10.1126/science.193.4247.24</w:t>
      </w:r>
    </w:p>
    <w:p w14:paraId="020F0843" w14:textId="77777777" w:rsidR="00633DCB" w:rsidRPr="00E030B5" w:rsidRDefault="00633DCB" w:rsidP="00714662">
      <w:pPr>
        <w:pStyle w:val="Bibliography"/>
        <w:spacing w:afterLines="200" w:after="480" w:line="360" w:lineRule="auto"/>
        <w:rPr>
          <w:rFonts w:ascii="Times New Roman" w:hAnsi="Times New Roman" w:cs="Times New Roman"/>
        </w:rPr>
      </w:pPr>
      <w:r w:rsidRPr="00E030B5">
        <w:rPr>
          <w:rFonts w:ascii="Times New Roman" w:hAnsi="Times New Roman" w:cs="Times New Roman"/>
        </w:rPr>
        <w:t xml:space="preserve">Barbosa, P., Hines, J., Kaplan, I., Martinson, H., Szczepaniec, A., &amp; Szendrei, Z. (2009). Associational Resistance and Associational Susceptibility: Having Right or Wrong Neighbors. </w:t>
      </w:r>
      <w:r w:rsidRPr="00E030B5">
        <w:rPr>
          <w:rFonts w:ascii="Times New Roman" w:hAnsi="Times New Roman" w:cs="Times New Roman"/>
          <w:i/>
          <w:iCs/>
        </w:rPr>
        <w:t>Annual Review of Ecology Evolution and Systematics</w:t>
      </w:r>
      <w:r w:rsidRPr="00E030B5">
        <w:rPr>
          <w:rFonts w:ascii="Times New Roman" w:hAnsi="Times New Roman" w:cs="Times New Roman"/>
        </w:rPr>
        <w:t xml:space="preserve">, </w:t>
      </w:r>
      <w:r w:rsidRPr="00E030B5">
        <w:rPr>
          <w:rFonts w:ascii="Times New Roman" w:hAnsi="Times New Roman" w:cs="Times New Roman"/>
          <w:i/>
          <w:iCs/>
        </w:rPr>
        <w:t>40</w:t>
      </w:r>
      <w:r w:rsidRPr="00E030B5">
        <w:rPr>
          <w:rFonts w:ascii="Times New Roman" w:hAnsi="Times New Roman" w:cs="Times New Roman"/>
        </w:rPr>
        <w:t>, 1–20. https://doi.org/10.1146/annurev.ecolsys.110308.120242</w:t>
      </w:r>
    </w:p>
    <w:p w14:paraId="15BCA12C" w14:textId="77777777" w:rsidR="00633DCB" w:rsidRPr="00E030B5" w:rsidRDefault="00633DCB" w:rsidP="00714662">
      <w:pPr>
        <w:pStyle w:val="Bibliography"/>
        <w:spacing w:afterLines="200" w:after="480" w:line="360" w:lineRule="auto"/>
        <w:rPr>
          <w:rFonts w:ascii="Times New Roman" w:hAnsi="Times New Roman" w:cs="Times New Roman"/>
        </w:rPr>
      </w:pPr>
      <w:r w:rsidRPr="00E030B5">
        <w:rPr>
          <w:rFonts w:ascii="Times New Roman" w:hAnsi="Times New Roman" w:cs="Times New Roman"/>
        </w:rPr>
        <w:t xml:space="preserve">Berner, D., Blanckenhorn, W. U., &amp; Korner, C. (2005). Grasshoppers cope with low host plant quality by compensatory feeding and food selection: N limitation challenged. </w:t>
      </w:r>
      <w:r w:rsidRPr="00E030B5">
        <w:rPr>
          <w:rFonts w:ascii="Times New Roman" w:hAnsi="Times New Roman" w:cs="Times New Roman"/>
          <w:i/>
          <w:iCs/>
        </w:rPr>
        <w:t>Oikos</w:t>
      </w:r>
      <w:r w:rsidRPr="00E030B5">
        <w:rPr>
          <w:rFonts w:ascii="Times New Roman" w:hAnsi="Times New Roman" w:cs="Times New Roman"/>
        </w:rPr>
        <w:t xml:space="preserve">, </w:t>
      </w:r>
      <w:r w:rsidRPr="00E030B5">
        <w:rPr>
          <w:rFonts w:ascii="Times New Roman" w:hAnsi="Times New Roman" w:cs="Times New Roman"/>
          <w:i/>
          <w:iCs/>
        </w:rPr>
        <w:t>111</w:t>
      </w:r>
      <w:r w:rsidRPr="00E030B5">
        <w:rPr>
          <w:rFonts w:ascii="Times New Roman" w:hAnsi="Times New Roman" w:cs="Times New Roman"/>
        </w:rPr>
        <w:t>(3), 525–533. https://doi.org/10.1111/j.1600-0706.2005.14144.x</w:t>
      </w:r>
    </w:p>
    <w:p w14:paraId="007FDC9F" w14:textId="77777777" w:rsidR="00633DCB" w:rsidRPr="00E030B5" w:rsidRDefault="00633DCB" w:rsidP="00714662">
      <w:pPr>
        <w:pStyle w:val="Bibliography"/>
        <w:spacing w:afterLines="200" w:after="480" w:line="360" w:lineRule="auto"/>
        <w:rPr>
          <w:rFonts w:ascii="Times New Roman" w:hAnsi="Times New Roman" w:cs="Times New Roman"/>
        </w:rPr>
      </w:pPr>
      <w:r w:rsidRPr="00E030B5">
        <w:rPr>
          <w:rFonts w:ascii="Times New Roman" w:hAnsi="Times New Roman" w:cs="Times New Roman"/>
        </w:rPr>
        <w:t xml:space="preserve">Bolnick et al. (2011). Why intraspecific trait variation matters in community ecology. </w:t>
      </w:r>
      <w:r w:rsidRPr="00E030B5">
        <w:rPr>
          <w:rFonts w:ascii="Times New Roman" w:hAnsi="Times New Roman" w:cs="Times New Roman"/>
          <w:i/>
          <w:iCs/>
        </w:rPr>
        <w:t>Trends in Ecology &amp; Evolution</w:t>
      </w:r>
      <w:r w:rsidRPr="00E030B5">
        <w:rPr>
          <w:rFonts w:ascii="Times New Roman" w:hAnsi="Times New Roman" w:cs="Times New Roman"/>
        </w:rPr>
        <w:t xml:space="preserve">, </w:t>
      </w:r>
      <w:r w:rsidRPr="00E030B5">
        <w:rPr>
          <w:rFonts w:ascii="Times New Roman" w:hAnsi="Times New Roman" w:cs="Times New Roman"/>
          <w:i/>
          <w:iCs/>
        </w:rPr>
        <w:t>26</w:t>
      </w:r>
      <w:r w:rsidRPr="00E030B5">
        <w:rPr>
          <w:rFonts w:ascii="Times New Roman" w:hAnsi="Times New Roman" w:cs="Times New Roman"/>
        </w:rPr>
        <w:t>(4), 183–192. https://doi.org/10.1016/j.tree.2011.01.009</w:t>
      </w:r>
    </w:p>
    <w:p w14:paraId="443F7CC1" w14:textId="77777777" w:rsidR="00633DCB" w:rsidRPr="00E030B5" w:rsidRDefault="00633DCB" w:rsidP="00714662">
      <w:pPr>
        <w:pStyle w:val="Bibliography"/>
        <w:spacing w:afterLines="200" w:after="480" w:line="360" w:lineRule="auto"/>
        <w:rPr>
          <w:rFonts w:ascii="Times New Roman" w:hAnsi="Times New Roman" w:cs="Times New Roman"/>
        </w:rPr>
      </w:pPr>
      <w:r w:rsidRPr="00E030B5">
        <w:rPr>
          <w:rFonts w:ascii="Times New Roman" w:hAnsi="Times New Roman" w:cs="Times New Roman"/>
        </w:rPr>
        <w:t xml:space="preserve">Champagne et al. (n.d.). </w:t>
      </w:r>
      <w:r w:rsidRPr="00E030B5">
        <w:rPr>
          <w:rFonts w:ascii="Times New Roman" w:hAnsi="Times New Roman" w:cs="Times New Roman"/>
          <w:i/>
          <w:iCs/>
        </w:rPr>
        <w:t>Intraspecific variation in nutritional traits of neighbouring plants generates a continuum of associational effects—Champagne—2020—Journal of Vegetation Science—Wiley Online Library</w:t>
      </w:r>
      <w:r w:rsidRPr="00E030B5">
        <w:rPr>
          <w:rFonts w:ascii="Times New Roman" w:hAnsi="Times New Roman" w:cs="Times New Roman"/>
        </w:rPr>
        <w:t>. Retrieved April 2, 2022, from https://onlinelibrary.wiley.com/doi/abs/10.1111/jvs.12914</w:t>
      </w:r>
    </w:p>
    <w:p w14:paraId="52A1CC68" w14:textId="77777777" w:rsidR="00633DCB" w:rsidRPr="00E030B5" w:rsidRDefault="00633DCB" w:rsidP="00714662">
      <w:pPr>
        <w:pStyle w:val="Bibliography"/>
        <w:spacing w:afterLines="200" w:after="480" w:line="360" w:lineRule="auto"/>
        <w:rPr>
          <w:rFonts w:ascii="Times New Roman" w:hAnsi="Times New Roman" w:cs="Times New Roman"/>
        </w:rPr>
      </w:pPr>
      <w:r w:rsidRPr="00E030B5">
        <w:rPr>
          <w:rFonts w:ascii="Times New Roman" w:hAnsi="Times New Roman" w:cs="Times New Roman"/>
        </w:rPr>
        <w:t xml:space="preserve">Chen, Y., Ruberson, J. R., &amp; Olson, D. M. (2008). Nitrogen fertilization rate affects feeding, larval performance, and oviposition preference of the beet armyworm, Spodoptera exigua, on cotton. </w:t>
      </w:r>
      <w:r w:rsidRPr="00E030B5">
        <w:rPr>
          <w:rFonts w:ascii="Times New Roman" w:hAnsi="Times New Roman" w:cs="Times New Roman"/>
          <w:i/>
          <w:iCs/>
        </w:rPr>
        <w:t>Entomologia Experimentalis Et Applicata</w:t>
      </w:r>
      <w:r w:rsidRPr="00E030B5">
        <w:rPr>
          <w:rFonts w:ascii="Times New Roman" w:hAnsi="Times New Roman" w:cs="Times New Roman"/>
        </w:rPr>
        <w:t xml:space="preserve">, </w:t>
      </w:r>
      <w:r w:rsidRPr="00E030B5">
        <w:rPr>
          <w:rFonts w:ascii="Times New Roman" w:hAnsi="Times New Roman" w:cs="Times New Roman"/>
          <w:i/>
          <w:iCs/>
        </w:rPr>
        <w:t>126</w:t>
      </w:r>
      <w:r w:rsidRPr="00E030B5">
        <w:rPr>
          <w:rFonts w:ascii="Times New Roman" w:hAnsi="Times New Roman" w:cs="Times New Roman"/>
        </w:rPr>
        <w:t>(3), 244–255. https://doi.org/10.1111/j.1570-7458.2007.00662.x</w:t>
      </w:r>
    </w:p>
    <w:p w14:paraId="242BA459" w14:textId="77777777" w:rsidR="00633DCB" w:rsidRPr="00E030B5" w:rsidRDefault="00633DCB" w:rsidP="00714662">
      <w:pPr>
        <w:pStyle w:val="Bibliography"/>
        <w:spacing w:afterLines="200" w:after="480" w:line="360" w:lineRule="auto"/>
        <w:rPr>
          <w:rFonts w:ascii="Times New Roman" w:hAnsi="Times New Roman" w:cs="Times New Roman"/>
        </w:rPr>
      </w:pPr>
      <w:r w:rsidRPr="00E030B5">
        <w:rPr>
          <w:rFonts w:ascii="Times New Roman" w:hAnsi="Times New Roman" w:cs="Times New Roman"/>
        </w:rPr>
        <w:t xml:space="preserve">Chen, Y., Schmelz, E. A., Waeckers, F., &amp; Ruberson, J. R. (2008). Cotton Plant, Gossypium hirsutum L., Defense in Response to Nitrogen Fertilization. </w:t>
      </w:r>
      <w:r w:rsidRPr="00E030B5">
        <w:rPr>
          <w:rFonts w:ascii="Times New Roman" w:hAnsi="Times New Roman" w:cs="Times New Roman"/>
          <w:i/>
          <w:iCs/>
        </w:rPr>
        <w:t>Journal of Chemical Ecology</w:t>
      </w:r>
      <w:r w:rsidRPr="00E030B5">
        <w:rPr>
          <w:rFonts w:ascii="Times New Roman" w:hAnsi="Times New Roman" w:cs="Times New Roman"/>
        </w:rPr>
        <w:t xml:space="preserve">, </w:t>
      </w:r>
      <w:r w:rsidRPr="00E030B5">
        <w:rPr>
          <w:rFonts w:ascii="Times New Roman" w:hAnsi="Times New Roman" w:cs="Times New Roman"/>
          <w:i/>
          <w:iCs/>
        </w:rPr>
        <w:t>34</w:t>
      </w:r>
      <w:r w:rsidRPr="00E030B5">
        <w:rPr>
          <w:rFonts w:ascii="Times New Roman" w:hAnsi="Times New Roman" w:cs="Times New Roman"/>
        </w:rPr>
        <w:t>(12), 1553–1564. https://doi.org/10.1007/s10886-008-9560-x</w:t>
      </w:r>
    </w:p>
    <w:p w14:paraId="394CB9C2" w14:textId="77777777" w:rsidR="00633DCB" w:rsidRPr="00E030B5" w:rsidRDefault="00633DCB" w:rsidP="00714662">
      <w:pPr>
        <w:pStyle w:val="Bibliography"/>
        <w:spacing w:afterLines="200" w:after="480" w:line="360" w:lineRule="auto"/>
        <w:rPr>
          <w:rFonts w:ascii="Times New Roman" w:hAnsi="Times New Roman" w:cs="Times New Roman"/>
        </w:rPr>
      </w:pPr>
      <w:r w:rsidRPr="00E030B5">
        <w:rPr>
          <w:rFonts w:ascii="Times New Roman" w:hAnsi="Times New Roman" w:cs="Times New Roman"/>
        </w:rPr>
        <w:lastRenderedPageBreak/>
        <w:t xml:space="preserve">Chiu, Y.-C., Juvik, J. A., &amp; Ku, K.-M. (2018). Targeted Metabolomic and Transcriptomic Analyses of “Red Russian” Kale (Brassicae napus var. Pabularia) Following Methyl Jasmonate Treatment and Larval Infestation by the Cabbage Looper (Trichoplusia ni Hübner). </w:t>
      </w:r>
      <w:r w:rsidRPr="00E030B5">
        <w:rPr>
          <w:rFonts w:ascii="Times New Roman" w:hAnsi="Times New Roman" w:cs="Times New Roman"/>
          <w:i/>
          <w:iCs/>
        </w:rPr>
        <w:t>International Journal of Molecular Sciences</w:t>
      </w:r>
      <w:r w:rsidRPr="00E030B5">
        <w:rPr>
          <w:rFonts w:ascii="Times New Roman" w:hAnsi="Times New Roman" w:cs="Times New Roman"/>
        </w:rPr>
        <w:t xml:space="preserve">, </w:t>
      </w:r>
      <w:r w:rsidRPr="00E030B5">
        <w:rPr>
          <w:rFonts w:ascii="Times New Roman" w:hAnsi="Times New Roman" w:cs="Times New Roman"/>
          <w:i/>
          <w:iCs/>
        </w:rPr>
        <w:t>19</w:t>
      </w:r>
      <w:r w:rsidRPr="00E030B5">
        <w:rPr>
          <w:rFonts w:ascii="Times New Roman" w:hAnsi="Times New Roman" w:cs="Times New Roman"/>
        </w:rPr>
        <w:t>(4), E1058. https://doi.org/10.3390/ijms19041058</w:t>
      </w:r>
    </w:p>
    <w:p w14:paraId="4F7F0FA2" w14:textId="77777777" w:rsidR="00633DCB" w:rsidRPr="00E030B5" w:rsidRDefault="00633DCB" w:rsidP="00714662">
      <w:pPr>
        <w:pStyle w:val="Bibliography"/>
        <w:spacing w:afterLines="200" w:after="480" w:line="360" w:lineRule="auto"/>
        <w:rPr>
          <w:rFonts w:ascii="Times New Roman" w:hAnsi="Times New Roman" w:cs="Times New Roman"/>
        </w:rPr>
      </w:pPr>
      <w:r w:rsidRPr="00E030B5">
        <w:rPr>
          <w:rFonts w:ascii="Times New Roman" w:hAnsi="Times New Roman" w:cs="Times New Roman"/>
        </w:rPr>
        <w:t xml:space="preserve">Choe, J. C., &amp; Crespi, B. J. (1997). </w:t>
      </w:r>
      <w:r w:rsidRPr="00E030B5">
        <w:rPr>
          <w:rFonts w:ascii="Times New Roman" w:hAnsi="Times New Roman" w:cs="Times New Roman"/>
          <w:i/>
          <w:iCs/>
        </w:rPr>
        <w:t>The evolution of social behavior in insects and arachnids</w:t>
      </w:r>
      <w:r w:rsidRPr="00E030B5">
        <w:rPr>
          <w:rFonts w:ascii="Times New Roman" w:hAnsi="Times New Roman" w:cs="Times New Roman"/>
        </w:rPr>
        <w:t>. Cambridge University Press.</w:t>
      </w:r>
    </w:p>
    <w:p w14:paraId="5887909E" w14:textId="77777777" w:rsidR="00633DCB" w:rsidRPr="00E030B5" w:rsidRDefault="00633DCB" w:rsidP="00714662">
      <w:pPr>
        <w:pStyle w:val="Bibliography"/>
        <w:spacing w:afterLines="200" w:after="480" w:line="360" w:lineRule="auto"/>
        <w:rPr>
          <w:rFonts w:ascii="Times New Roman" w:hAnsi="Times New Roman" w:cs="Times New Roman"/>
        </w:rPr>
      </w:pPr>
      <w:r w:rsidRPr="00E030B5">
        <w:rPr>
          <w:rFonts w:ascii="Times New Roman" w:hAnsi="Times New Roman" w:cs="Times New Roman"/>
        </w:rPr>
        <w:t xml:space="preserve">Coley, P. D. (1983). Intraspecific Variation in Herbivory on Two Tropical Tree Species. </w:t>
      </w:r>
      <w:r w:rsidRPr="00E030B5">
        <w:rPr>
          <w:rFonts w:ascii="Times New Roman" w:hAnsi="Times New Roman" w:cs="Times New Roman"/>
          <w:i/>
          <w:iCs/>
        </w:rPr>
        <w:t>Ecology</w:t>
      </w:r>
      <w:r w:rsidRPr="00E030B5">
        <w:rPr>
          <w:rFonts w:ascii="Times New Roman" w:hAnsi="Times New Roman" w:cs="Times New Roman"/>
        </w:rPr>
        <w:t xml:space="preserve">, </w:t>
      </w:r>
      <w:r w:rsidRPr="00E030B5">
        <w:rPr>
          <w:rFonts w:ascii="Times New Roman" w:hAnsi="Times New Roman" w:cs="Times New Roman"/>
          <w:i/>
          <w:iCs/>
        </w:rPr>
        <w:t>64</w:t>
      </w:r>
      <w:r w:rsidRPr="00E030B5">
        <w:rPr>
          <w:rFonts w:ascii="Times New Roman" w:hAnsi="Times New Roman" w:cs="Times New Roman"/>
        </w:rPr>
        <w:t>(3), 426–433. https://doi.org/10.2307/1939960</w:t>
      </w:r>
    </w:p>
    <w:p w14:paraId="63C3E446" w14:textId="77777777" w:rsidR="00633DCB" w:rsidRPr="00E030B5" w:rsidRDefault="00633DCB" w:rsidP="00714662">
      <w:pPr>
        <w:pStyle w:val="Bibliography"/>
        <w:spacing w:afterLines="200" w:after="480" w:line="360" w:lineRule="auto"/>
        <w:rPr>
          <w:rFonts w:ascii="Times New Roman" w:hAnsi="Times New Roman" w:cs="Times New Roman"/>
        </w:rPr>
      </w:pPr>
      <w:r w:rsidRPr="00E030B5">
        <w:rPr>
          <w:rFonts w:ascii="Times New Roman" w:hAnsi="Times New Roman" w:cs="Times New Roman"/>
        </w:rPr>
        <w:t xml:space="preserve">Ebeling, A., Strauss, A. T., Adler, P. B., Arnillas, C. A., Barrio, I. C., Biederman, L. A., Borer, E. T., Bugalho, M. N., Caldeira, M. C., Cadotte, M. W., Daleo, P., Eisenhauer, N., Eskelinen, A., Fay, P. A., Firn, J., Graff, P., Hagenah, N., Haider, S., Komatsu, K. J., … Blumenthal, D. M. (2021). Nutrient enrichment increases invertebrate herbivory and pathogen damage in grasslands. </w:t>
      </w:r>
      <w:r w:rsidRPr="00E030B5">
        <w:rPr>
          <w:rFonts w:ascii="Times New Roman" w:hAnsi="Times New Roman" w:cs="Times New Roman"/>
          <w:i/>
          <w:iCs/>
        </w:rPr>
        <w:t>Journal of Ecology</w:t>
      </w:r>
      <w:r w:rsidRPr="00E030B5">
        <w:rPr>
          <w:rFonts w:ascii="Times New Roman" w:hAnsi="Times New Roman" w:cs="Times New Roman"/>
        </w:rPr>
        <w:t xml:space="preserve">, </w:t>
      </w:r>
      <w:r w:rsidRPr="00E030B5">
        <w:rPr>
          <w:rFonts w:ascii="Times New Roman" w:hAnsi="Times New Roman" w:cs="Times New Roman"/>
          <w:i/>
          <w:iCs/>
        </w:rPr>
        <w:t>110</w:t>
      </w:r>
      <w:r w:rsidRPr="00E030B5">
        <w:rPr>
          <w:rFonts w:ascii="Times New Roman" w:hAnsi="Times New Roman" w:cs="Times New Roman"/>
        </w:rPr>
        <w:t>(2), 327–339. https://doi.org/10.1111/1365-2745.13801</w:t>
      </w:r>
    </w:p>
    <w:p w14:paraId="6D193A54" w14:textId="77777777" w:rsidR="00633DCB" w:rsidRPr="00E030B5" w:rsidRDefault="00633DCB" w:rsidP="00714662">
      <w:pPr>
        <w:pStyle w:val="Bibliography"/>
        <w:spacing w:afterLines="200" w:after="480" w:line="360" w:lineRule="auto"/>
        <w:rPr>
          <w:rFonts w:ascii="Times New Roman" w:hAnsi="Times New Roman" w:cs="Times New Roman"/>
        </w:rPr>
      </w:pPr>
      <w:r w:rsidRPr="00E030B5">
        <w:rPr>
          <w:rFonts w:ascii="Times New Roman" w:hAnsi="Times New Roman" w:cs="Times New Roman"/>
        </w:rPr>
        <w:t xml:space="preserve">Fuentealba, M., Latorre, C., Frugone-Alvarez, M., Sarricolea, P., Giralt, S., Contreras-Lopez, M., Prego, R., Bernardez, P., &amp; Valero-Garces, B. (2020). A combined approach to establishing the timing and magnitude of anthropogenic nutrient alteration in a mediterranean coastal lake- watershed system. </w:t>
      </w:r>
      <w:r w:rsidRPr="00E030B5">
        <w:rPr>
          <w:rFonts w:ascii="Times New Roman" w:hAnsi="Times New Roman" w:cs="Times New Roman"/>
          <w:i/>
          <w:iCs/>
        </w:rPr>
        <w:t>Scientific Reports</w:t>
      </w:r>
      <w:r w:rsidRPr="00E030B5">
        <w:rPr>
          <w:rFonts w:ascii="Times New Roman" w:hAnsi="Times New Roman" w:cs="Times New Roman"/>
        </w:rPr>
        <w:t xml:space="preserve">, </w:t>
      </w:r>
      <w:r w:rsidRPr="00E030B5">
        <w:rPr>
          <w:rFonts w:ascii="Times New Roman" w:hAnsi="Times New Roman" w:cs="Times New Roman"/>
          <w:i/>
          <w:iCs/>
        </w:rPr>
        <w:t>10</w:t>
      </w:r>
      <w:r w:rsidRPr="00E030B5">
        <w:rPr>
          <w:rFonts w:ascii="Times New Roman" w:hAnsi="Times New Roman" w:cs="Times New Roman"/>
        </w:rPr>
        <w:t>(1), 5864. https://doi.org/10.1038/s41598-020-62627-2</w:t>
      </w:r>
    </w:p>
    <w:p w14:paraId="7BDF8DBE" w14:textId="77777777" w:rsidR="00633DCB" w:rsidRPr="00E030B5" w:rsidRDefault="00633DCB" w:rsidP="00714662">
      <w:pPr>
        <w:pStyle w:val="Bibliography"/>
        <w:spacing w:afterLines="200" w:after="480" w:line="360" w:lineRule="auto"/>
        <w:rPr>
          <w:rFonts w:ascii="Times New Roman" w:hAnsi="Times New Roman" w:cs="Times New Roman"/>
        </w:rPr>
      </w:pPr>
      <w:r w:rsidRPr="00E030B5">
        <w:rPr>
          <w:rFonts w:ascii="Times New Roman" w:hAnsi="Times New Roman" w:cs="Times New Roman"/>
        </w:rPr>
        <w:t xml:space="preserve">Gray, H. L., Andow, D. A., &amp; Kiritani, K. (2020). Investigating the Movement Components of Host Preference in a Highly Mobile Insect Herbivore, Nephotettix cincticeps (Hemiptera: Cicadellidae). </w:t>
      </w:r>
      <w:r w:rsidRPr="00E030B5">
        <w:rPr>
          <w:rFonts w:ascii="Times New Roman" w:hAnsi="Times New Roman" w:cs="Times New Roman"/>
          <w:i/>
          <w:iCs/>
        </w:rPr>
        <w:t>Environmental Entomology</w:t>
      </w:r>
      <w:r w:rsidRPr="00E030B5">
        <w:rPr>
          <w:rFonts w:ascii="Times New Roman" w:hAnsi="Times New Roman" w:cs="Times New Roman"/>
        </w:rPr>
        <w:t xml:space="preserve">, </w:t>
      </w:r>
      <w:r w:rsidRPr="00E030B5">
        <w:rPr>
          <w:rFonts w:ascii="Times New Roman" w:hAnsi="Times New Roman" w:cs="Times New Roman"/>
          <w:i/>
          <w:iCs/>
        </w:rPr>
        <w:t>49</w:t>
      </w:r>
      <w:r w:rsidRPr="00E030B5">
        <w:rPr>
          <w:rFonts w:ascii="Times New Roman" w:hAnsi="Times New Roman" w:cs="Times New Roman"/>
        </w:rPr>
        <w:t>(1), 115–122. https://doi.org/10.1093/ee/nvz128</w:t>
      </w:r>
    </w:p>
    <w:p w14:paraId="4A4D9B26" w14:textId="77777777" w:rsidR="00633DCB" w:rsidRPr="00E030B5" w:rsidRDefault="00633DCB" w:rsidP="00714662">
      <w:pPr>
        <w:pStyle w:val="Bibliography"/>
        <w:spacing w:afterLines="200" w:after="480" w:line="360" w:lineRule="auto"/>
        <w:rPr>
          <w:rFonts w:ascii="Times New Roman" w:hAnsi="Times New Roman" w:cs="Times New Roman"/>
        </w:rPr>
      </w:pPr>
      <w:r w:rsidRPr="00E030B5">
        <w:rPr>
          <w:rFonts w:ascii="Times New Roman" w:hAnsi="Times New Roman" w:cs="Times New Roman"/>
        </w:rPr>
        <w:lastRenderedPageBreak/>
        <w:t xml:space="preserve">Greenberg, S. M., Sappington, T. W., Legaspi, B. C., Liu, T. X., &amp; Setamou, M. (2001). Feeding and life history of Spodoptera exigua (Lepidoptera: Noctuidae) on different host plants. </w:t>
      </w:r>
      <w:r w:rsidRPr="00E030B5">
        <w:rPr>
          <w:rFonts w:ascii="Times New Roman" w:hAnsi="Times New Roman" w:cs="Times New Roman"/>
          <w:i/>
          <w:iCs/>
        </w:rPr>
        <w:t>Annals of the Entomological Society of America</w:t>
      </w:r>
      <w:r w:rsidRPr="00E030B5">
        <w:rPr>
          <w:rFonts w:ascii="Times New Roman" w:hAnsi="Times New Roman" w:cs="Times New Roman"/>
        </w:rPr>
        <w:t xml:space="preserve">, </w:t>
      </w:r>
      <w:r w:rsidRPr="00E030B5">
        <w:rPr>
          <w:rFonts w:ascii="Times New Roman" w:hAnsi="Times New Roman" w:cs="Times New Roman"/>
          <w:i/>
          <w:iCs/>
        </w:rPr>
        <w:t>94</w:t>
      </w:r>
      <w:r w:rsidRPr="00E030B5">
        <w:rPr>
          <w:rFonts w:ascii="Times New Roman" w:hAnsi="Times New Roman" w:cs="Times New Roman"/>
        </w:rPr>
        <w:t>(4), 566–575. https://doi.org/10.1603/0013-8746(2001)094[0566:FALHOS]2.0.CO;2</w:t>
      </w:r>
    </w:p>
    <w:p w14:paraId="1E45D4A7" w14:textId="77777777" w:rsidR="00633DCB" w:rsidRPr="00E030B5" w:rsidRDefault="00633DCB" w:rsidP="00714662">
      <w:pPr>
        <w:pStyle w:val="Bibliography"/>
        <w:spacing w:afterLines="200" w:after="480" w:line="360" w:lineRule="auto"/>
        <w:rPr>
          <w:rFonts w:ascii="Times New Roman" w:hAnsi="Times New Roman" w:cs="Times New Roman"/>
        </w:rPr>
      </w:pPr>
      <w:r w:rsidRPr="00E030B5">
        <w:rPr>
          <w:rFonts w:ascii="Times New Roman" w:hAnsi="Times New Roman" w:cs="Times New Roman"/>
        </w:rPr>
        <w:t xml:space="preserve">Hahn, P. G., &amp; Orrock, J. L. (2016). Neighbor palatability generates associational effects by altering herbivore foraging behavior. </w:t>
      </w:r>
      <w:r w:rsidRPr="00E030B5">
        <w:rPr>
          <w:rFonts w:ascii="Times New Roman" w:hAnsi="Times New Roman" w:cs="Times New Roman"/>
          <w:i/>
          <w:iCs/>
        </w:rPr>
        <w:t>Ecology</w:t>
      </w:r>
      <w:r w:rsidRPr="00E030B5">
        <w:rPr>
          <w:rFonts w:ascii="Times New Roman" w:hAnsi="Times New Roman" w:cs="Times New Roman"/>
        </w:rPr>
        <w:t xml:space="preserve">, </w:t>
      </w:r>
      <w:r w:rsidRPr="00E030B5">
        <w:rPr>
          <w:rFonts w:ascii="Times New Roman" w:hAnsi="Times New Roman" w:cs="Times New Roman"/>
          <w:i/>
          <w:iCs/>
        </w:rPr>
        <w:t>97</w:t>
      </w:r>
      <w:r w:rsidRPr="00E030B5">
        <w:rPr>
          <w:rFonts w:ascii="Times New Roman" w:hAnsi="Times New Roman" w:cs="Times New Roman"/>
        </w:rPr>
        <w:t>(8), 2103–2111. https://doi.org/10.1002/ecy.1430</w:t>
      </w:r>
    </w:p>
    <w:p w14:paraId="77FBC7F5" w14:textId="77777777" w:rsidR="00633DCB" w:rsidRPr="00E030B5" w:rsidRDefault="00633DCB" w:rsidP="00714662">
      <w:pPr>
        <w:pStyle w:val="Bibliography"/>
        <w:spacing w:afterLines="200" w:after="480" w:line="360" w:lineRule="auto"/>
        <w:rPr>
          <w:rFonts w:ascii="Times New Roman" w:hAnsi="Times New Roman" w:cs="Times New Roman"/>
        </w:rPr>
      </w:pPr>
      <w:r w:rsidRPr="00E030B5">
        <w:rPr>
          <w:rFonts w:ascii="Times New Roman" w:hAnsi="Times New Roman" w:cs="Times New Roman"/>
        </w:rPr>
        <w:t xml:space="preserve">Hauri, K. C., Glassmire, A. E., Randall, B., Zehr, L. N., &amp; Wetzel, W. C. (2022). Plant chemical diversity and its frequency have distinct but complementary effects on insect foraging. </w:t>
      </w:r>
      <w:r w:rsidRPr="00E030B5">
        <w:rPr>
          <w:rFonts w:ascii="Times New Roman" w:hAnsi="Times New Roman" w:cs="Times New Roman"/>
          <w:i/>
          <w:iCs/>
        </w:rPr>
        <w:t>Journal of Applied Ecology</w:t>
      </w:r>
      <w:r w:rsidRPr="00E030B5">
        <w:rPr>
          <w:rFonts w:ascii="Times New Roman" w:hAnsi="Times New Roman" w:cs="Times New Roman"/>
        </w:rPr>
        <w:t xml:space="preserve">, </w:t>
      </w:r>
      <w:r w:rsidRPr="00E030B5">
        <w:rPr>
          <w:rFonts w:ascii="Times New Roman" w:hAnsi="Times New Roman" w:cs="Times New Roman"/>
          <w:i/>
          <w:iCs/>
        </w:rPr>
        <w:t>59</w:t>
      </w:r>
      <w:r w:rsidRPr="00E030B5">
        <w:rPr>
          <w:rFonts w:ascii="Times New Roman" w:hAnsi="Times New Roman" w:cs="Times New Roman"/>
        </w:rPr>
        <w:t>(5), 1362–1371. https://doi.org/10.1111/1365-2664.14151</w:t>
      </w:r>
    </w:p>
    <w:p w14:paraId="1132F22D" w14:textId="77777777" w:rsidR="00633DCB" w:rsidRPr="00E030B5" w:rsidRDefault="00633DCB" w:rsidP="00714662">
      <w:pPr>
        <w:pStyle w:val="Bibliography"/>
        <w:spacing w:afterLines="200" w:after="480" w:line="360" w:lineRule="auto"/>
        <w:rPr>
          <w:rFonts w:ascii="Times New Roman" w:hAnsi="Times New Roman" w:cs="Times New Roman"/>
        </w:rPr>
      </w:pPr>
      <w:r w:rsidRPr="00E030B5">
        <w:rPr>
          <w:rFonts w:ascii="Times New Roman" w:hAnsi="Times New Roman" w:cs="Times New Roman"/>
        </w:rPr>
        <w:t xml:space="preserve">Holmes, K. D., &amp; Agrawal, A. A. (2021). Induced resistance mitigates the effect of plant neighbors on susceptibility to herbivores. </w:t>
      </w:r>
      <w:r w:rsidRPr="00E030B5">
        <w:rPr>
          <w:rFonts w:ascii="Times New Roman" w:hAnsi="Times New Roman" w:cs="Times New Roman"/>
          <w:i/>
          <w:iCs/>
        </w:rPr>
        <w:t>Ecosphere</w:t>
      </w:r>
      <w:r w:rsidRPr="00E030B5">
        <w:rPr>
          <w:rFonts w:ascii="Times New Roman" w:hAnsi="Times New Roman" w:cs="Times New Roman"/>
        </w:rPr>
        <w:t xml:space="preserve">, </w:t>
      </w:r>
      <w:r w:rsidRPr="00E030B5">
        <w:rPr>
          <w:rFonts w:ascii="Times New Roman" w:hAnsi="Times New Roman" w:cs="Times New Roman"/>
          <w:i/>
          <w:iCs/>
        </w:rPr>
        <w:t>12</w:t>
      </w:r>
      <w:r w:rsidRPr="00E030B5">
        <w:rPr>
          <w:rFonts w:ascii="Times New Roman" w:hAnsi="Times New Roman" w:cs="Times New Roman"/>
        </w:rPr>
        <w:t>(1), e03334. https://doi.org/10.1002/ecs2.3334</w:t>
      </w:r>
    </w:p>
    <w:p w14:paraId="6A8158AD" w14:textId="77777777" w:rsidR="00633DCB" w:rsidRPr="00E030B5" w:rsidRDefault="00633DCB" w:rsidP="00714662">
      <w:pPr>
        <w:pStyle w:val="Bibliography"/>
        <w:spacing w:afterLines="200" w:after="480" w:line="360" w:lineRule="auto"/>
        <w:rPr>
          <w:rFonts w:ascii="Times New Roman" w:hAnsi="Times New Roman" w:cs="Times New Roman"/>
        </w:rPr>
      </w:pPr>
      <w:r w:rsidRPr="00E030B5">
        <w:rPr>
          <w:rFonts w:ascii="Times New Roman" w:hAnsi="Times New Roman" w:cs="Times New Roman"/>
        </w:rPr>
        <w:t xml:space="preserve">Holyoak and Wetzel. (2020). </w:t>
      </w:r>
      <w:r w:rsidRPr="00E030B5">
        <w:rPr>
          <w:rFonts w:ascii="Times New Roman" w:hAnsi="Times New Roman" w:cs="Times New Roman"/>
          <w:i/>
          <w:iCs/>
        </w:rPr>
        <w:t>Variance-Explicit Ecology: A Call for Holistic Study of the Consequences of Variability at Multiple Scales</w:t>
      </w:r>
      <w:r w:rsidRPr="00E030B5">
        <w:rPr>
          <w:rFonts w:ascii="Times New Roman" w:hAnsi="Times New Roman" w:cs="Times New Roman"/>
        </w:rPr>
        <w:t>. https://escholarship.org/content/qt62j8b207/qt62j8b207_noSplash_a017bd4dd283fbd48904b175ace2dc1f.pdf</w:t>
      </w:r>
    </w:p>
    <w:p w14:paraId="7F33C4C1" w14:textId="77777777" w:rsidR="00633DCB" w:rsidRPr="00E030B5" w:rsidRDefault="00633DCB" w:rsidP="00714662">
      <w:pPr>
        <w:pStyle w:val="Bibliography"/>
        <w:spacing w:afterLines="200" w:after="480" w:line="360" w:lineRule="auto"/>
        <w:rPr>
          <w:rFonts w:ascii="Times New Roman" w:hAnsi="Times New Roman" w:cs="Times New Roman"/>
        </w:rPr>
      </w:pPr>
      <w:r w:rsidRPr="00E030B5">
        <w:rPr>
          <w:rFonts w:ascii="Times New Roman" w:hAnsi="Times New Roman" w:cs="Times New Roman"/>
        </w:rPr>
        <w:t xml:space="preserve">Lee, M.-S., Wycislo, A., Guo, J., Lee, D. K., &amp; Voigt, T. (2017). Nitrogen Fertilization Effects on Biomass Production and Yield Components of Miscanthus ×giganteus. </w:t>
      </w:r>
      <w:r w:rsidRPr="00E030B5">
        <w:rPr>
          <w:rFonts w:ascii="Times New Roman" w:hAnsi="Times New Roman" w:cs="Times New Roman"/>
          <w:i/>
          <w:iCs/>
        </w:rPr>
        <w:t>Frontiers in Plant Science</w:t>
      </w:r>
      <w:r w:rsidRPr="00E030B5">
        <w:rPr>
          <w:rFonts w:ascii="Times New Roman" w:hAnsi="Times New Roman" w:cs="Times New Roman"/>
        </w:rPr>
        <w:t xml:space="preserve">, </w:t>
      </w:r>
      <w:r w:rsidRPr="00E030B5">
        <w:rPr>
          <w:rFonts w:ascii="Times New Roman" w:hAnsi="Times New Roman" w:cs="Times New Roman"/>
          <w:i/>
          <w:iCs/>
        </w:rPr>
        <w:t>8</w:t>
      </w:r>
      <w:r w:rsidRPr="00E030B5">
        <w:rPr>
          <w:rFonts w:ascii="Times New Roman" w:hAnsi="Times New Roman" w:cs="Times New Roman"/>
        </w:rPr>
        <w:t>. https://www.frontiersin.org/article/10.3389/fpls.2017.00544</w:t>
      </w:r>
    </w:p>
    <w:p w14:paraId="00100D23" w14:textId="77777777" w:rsidR="00633DCB" w:rsidRPr="00E030B5" w:rsidRDefault="00633DCB" w:rsidP="00714662">
      <w:pPr>
        <w:pStyle w:val="Bibliography"/>
        <w:spacing w:afterLines="200" w:after="480" w:line="360" w:lineRule="auto"/>
        <w:rPr>
          <w:rFonts w:ascii="Times New Roman" w:hAnsi="Times New Roman" w:cs="Times New Roman"/>
        </w:rPr>
      </w:pPr>
      <w:r w:rsidRPr="00E030B5">
        <w:rPr>
          <w:rFonts w:ascii="Times New Roman" w:hAnsi="Times New Roman" w:cs="Times New Roman"/>
        </w:rPr>
        <w:t xml:space="preserve">Lind, E. M., La Pierre, K. J., Seabloom, E. W., Alberti, J., Iribarne, O., Firn, J., Gruner, D. S., Kay, A. D., Pascal, J., Wright, J. P., Yang, L., &amp; Borer, E. T. (2017). Increased grassland arthropod production with mammalian herbivory and eutrophication: A test of mediation pathways. </w:t>
      </w:r>
      <w:r w:rsidRPr="00E030B5">
        <w:rPr>
          <w:rFonts w:ascii="Times New Roman" w:hAnsi="Times New Roman" w:cs="Times New Roman"/>
          <w:i/>
          <w:iCs/>
        </w:rPr>
        <w:t>Ecology</w:t>
      </w:r>
      <w:r w:rsidRPr="00E030B5">
        <w:rPr>
          <w:rFonts w:ascii="Times New Roman" w:hAnsi="Times New Roman" w:cs="Times New Roman"/>
        </w:rPr>
        <w:t xml:space="preserve">, </w:t>
      </w:r>
      <w:r w:rsidRPr="00E030B5">
        <w:rPr>
          <w:rFonts w:ascii="Times New Roman" w:hAnsi="Times New Roman" w:cs="Times New Roman"/>
          <w:i/>
          <w:iCs/>
        </w:rPr>
        <w:t>98</w:t>
      </w:r>
      <w:r w:rsidRPr="00E030B5">
        <w:rPr>
          <w:rFonts w:ascii="Times New Roman" w:hAnsi="Times New Roman" w:cs="Times New Roman"/>
        </w:rPr>
        <w:t>(12), 3022–3033. https://doi.org/10.1002/ecy.2029</w:t>
      </w:r>
    </w:p>
    <w:p w14:paraId="02D4B649" w14:textId="77777777" w:rsidR="00633DCB" w:rsidRPr="00E030B5" w:rsidRDefault="00633DCB" w:rsidP="00714662">
      <w:pPr>
        <w:pStyle w:val="Bibliography"/>
        <w:spacing w:afterLines="200" w:after="480" w:line="360" w:lineRule="auto"/>
        <w:rPr>
          <w:rFonts w:ascii="Times New Roman" w:hAnsi="Times New Roman" w:cs="Times New Roman"/>
        </w:rPr>
      </w:pPr>
      <w:r w:rsidRPr="00E030B5">
        <w:rPr>
          <w:rFonts w:ascii="Times New Roman" w:hAnsi="Times New Roman" w:cs="Times New Roman"/>
        </w:rPr>
        <w:lastRenderedPageBreak/>
        <w:t xml:space="preserve">Lloyd-Smith, J. O., Schreiber, S. J., Kopp, P. E., &amp; Getz, W. M. (2005). Superspreading and the effect of individual variation on disease emergence. </w:t>
      </w:r>
      <w:r w:rsidRPr="00E030B5">
        <w:rPr>
          <w:rFonts w:ascii="Times New Roman" w:hAnsi="Times New Roman" w:cs="Times New Roman"/>
          <w:i/>
          <w:iCs/>
        </w:rPr>
        <w:t>Nature</w:t>
      </w:r>
      <w:r w:rsidRPr="00E030B5">
        <w:rPr>
          <w:rFonts w:ascii="Times New Roman" w:hAnsi="Times New Roman" w:cs="Times New Roman"/>
        </w:rPr>
        <w:t xml:space="preserve">, </w:t>
      </w:r>
      <w:r w:rsidRPr="00E030B5">
        <w:rPr>
          <w:rFonts w:ascii="Times New Roman" w:hAnsi="Times New Roman" w:cs="Times New Roman"/>
          <w:i/>
          <w:iCs/>
        </w:rPr>
        <w:t>438</w:t>
      </w:r>
      <w:r w:rsidRPr="00E030B5">
        <w:rPr>
          <w:rFonts w:ascii="Times New Roman" w:hAnsi="Times New Roman" w:cs="Times New Roman"/>
        </w:rPr>
        <w:t>(7066), 355–359. https://doi.org/10.1038/nature04153</w:t>
      </w:r>
    </w:p>
    <w:p w14:paraId="3561B556" w14:textId="77777777" w:rsidR="00633DCB" w:rsidRPr="00E030B5" w:rsidRDefault="00633DCB" w:rsidP="00714662">
      <w:pPr>
        <w:pStyle w:val="Bibliography"/>
        <w:spacing w:afterLines="200" w:after="480" w:line="360" w:lineRule="auto"/>
        <w:rPr>
          <w:rFonts w:ascii="Times New Roman" w:hAnsi="Times New Roman" w:cs="Times New Roman"/>
        </w:rPr>
      </w:pPr>
      <w:r w:rsidRPr="00E030B5">
        <w:rPr>
          <w:rFonts w:ascii="Times New Roman" w:hAnsi="Times New Roman" w:cs="Times New Roman"/>
        </w:rPr>
        <w:t xml:space="preserve">Lou, Y. G., &amp; Baldwin, I. T. (2004). Nitrogen supply influences herbivore-induced direct and indirect defenses and transcriptional responses to Nicotiana attenuata. </w:t>
      </w:r>
      <w:r w:rsidRPr="00E030B5">
        <w:rPr>
          <w:rFonts w:ascii="Times New Roman" w:hAnsi="Times New Roman" w:cs="Times New Roman"/>
          <w:i/>
          <w:iCs/>
        </w:rPr>
        <w:t>Plant Physiology</w:t>
      </w:r>
      <w:r w:rsidRPr="00E030B5">
        <w:rPr>
          <w:rFonts w:ascii="Times New Roman" w:hAnsi="Times New Roman" w:cs="Times New Roman"/>
        </w:rPr>
        <w:t xml:space="preserve">, </w:t>
      </w:r>
      <w:r w:rsidRPr="00E030B5">
        <w:rPr>
          <w:rFonts w:ascii="Times New Roman" w:hAnsi="Times New Roman" w:cs="Times New Roman"/>
          <w:i/>
          <w:iCs/>
        </w:rPr>
        <w:t>135</w:t>
      </w:r>
      <w:r w:rsidRPr="00E030B5">
        <w:rPr>
          <w:rFonts w:ascii="Times New Roman" w:hAnsi="Times New Roman" w:cs="Times New Roman"/>
        </w:rPr>
        <w:t>(1), 496–506. https://doi.org/10.1104/pp.104.040360</w:t>
      </w:r>
    </w:p>
    <w:p w14:paraId="007668D3" w14:textId="77777777" w:rsidR="00633DCB" w:rsidRPr="00E030B5" w:rsidRDefault="00633DCB" w:rsidP="00714662">
      <w:pPr>
        <w:pStyle w:val="Bibliography"/>
        <w:spacing w:afterLines="200" w:after="480" w:line="360" w:lineRule="auto"/>
        <w:rPr>
          <w:rFonts w:ascii="Times New Roman" w:hAnsi="Times New Roman" w:cs="Times New Roman"/>
        </w:rPr>
      </w:pPr>
      <w:r w:rsidRPr="00E030B5">
        <w:rPr>
          <w:rFonts w:ascii="Times New Roman" w:hAnsi="Times New Roman" w:cs="Times New Roman"/>
        </w:rPr>
        <w:t xml:space="preserve">Lu, C., &amp; Tian, H. (2017). Global nitrogen and phosphorus fertilizer use for agriculture production in the past half century: Shifted hot spots and nutrient imbalance. </w:t>
      </w:r>
      <w:r w:rsidRPr="00E030B5">
        <w:rPr>
          <w:rFonts w:ascii="Times New Roman" w:hAnsi="Times New Roman" w:cs="Times New Roman"/>
          <w:i/>
          <w:iCs/>
        </w:rPr>
        <w:t>Earth System Science Data</w:t>
      </w:r>
      <w:r w:rsidRPr="00E030B5">
        <w:rPr>
          <w:rFonts w:ascii="Times New Roman" w:hAnsi="Times New Roman" w:cs="Times New Roman"/>
        </w:rPr>
        <w:t xml:space="preserve">, </w:t>
      </w:r>
      <w:r w:rsidRPr="00E030B5">
        <w:rPr>
          <w:rFonts w:ascii="Times New Roman" w:hAnsi="Times New Roman" w:cs="Times New Roman"/>
          <w:i/>
          <w:iCs/>
        </w:rPr>
        <w:t>9</w:t>
      </w:r>
      <w:r w:rsidRPr="00E030B5">
        <w:rPr>
          <w:rFonts w:ascii="Times New Roman" w:hAnsi="Times New Roman" w:cs="Times New Roman"/>
        </w:rPr>
        <w:t>(1), 181–192. https://doi.org/10.5194/essd-9-181-2017</w:t>
      </w:r>
    </w:p>
    <w:p w14:paraId="59A019FA" w14:textId="77777777" w:rsidR="00633DCB" w:rsidRPr="00E030B5" w:rsidRDefault="00633DCB" w:rsidP="00714662">
      <w:pPr>
        <w:pStyle w:val="Bibliography"/>
        <w:spacing w:afterLines="200" w:after="480" w:line="360" w:lineRule="auto"/>
        <w:rPr>
          <w:rFonts w:ascii="Times New Roman" w:hAnsi="Times New Roman" w:cs="Times New Roman"/>
        </w:rPr>
      </w:pPr>
      <w:r w:rsidRPr="00E030B5">
        <w:rPr>
          <w:rFonts w:ascii="Times New Roman" w:hAnsi="Times New Roman" w:cs="Times New Roman"/>
        </w:rPr>
        <w:t xml:space="preserve">Mattson, W. J. (1980). Herbivory in Relation to Plant Nitrogen Content. </w:t>
      </w:r>
      <w:r w:rsidRPr="00E030B5">
        <w:rPr>
          <w:rFonts w:ascii="Times New Roman" w:hAnsi="Times New Roman" w:cs="Times New Roman"/>
          <w:i/>
          <w:iCs/>
        </w:rPr>
        <w:t>Annual Review of Ecology and Systematics</w:t>
      </w:r>
      <w:r w:rsidRPr="00E030B5">
        <w:rPr>
          <w:rFonts w:ascii="Times New Roman" w:hAnsi="Times New Roman" w:cs="Times New Roman"/>
        </w:rPr>
        <w:t xml:space="preserve">, </w:t>
      </w:r>
      <w:r w:rsidRPr="00E030B5">
        <w:rPr>
          <w:rFonts w:ascii="Times New Roman" w:hAnsi="Times New Roman" w:cs="Times New Roman"/>
          <w:i/>
          <w:iCs/>
        </w:rPr>
        <w:t>11</w:t>
      </w:r>
      <w:r w:rsidRPr="00E030B5">
        <w:rPr>
          <w:rFonts w:ascii="Times New Roman" w:hAnsi="Times New Roman" w:cs="Times New Roman"/>
        </w:rPr>
        <w:t>(1), 119–161. https://doi.org/10.1146/annurev.es.11.110180.001003</w:t>
      </w:r>
    </w:p>
    <w:p w14:paraId="6E1175EB" w14:textId="77777777" w:rsidR="00633DCB" w:rsidRPr="00E030B5" w:rsidRDefault="00633DCB" w:rsidP="00714662">
      <w:pPr>
        <w:pStyle w:val="Bibliography"/>
        <w:spacing w:afterLines="200" w:after="480" w:line="360" w:lineRule="auto"/>
        <w:rPr>
          <w:rFonts w:ascii="Times New Roman" w:hAnsi="Times New Roman" w:cs="Times New Roman"/>
        </w:rPr>
      </w:pPr>
      <w:r w:rsidRPr="00E030B5">
        <w:rPr>
          <w:rFonts w:ascii="Times New Roman" w:hAnsi="Times New Roman" w:cs="Times New Roman"/>
        </w:rPr>
        <w:t xml:space="preserve">Merkx-Jacques, M., Despland, E., &amp; Bede, J. C. (2008). Nutrient utilization by caterpillars of the generalist beet armyworm, Spodoptera exigua. </w:t>
      </w:r>
      <w:r w:rsidRPr="00E030B5">
        <w:rPr>
          <w:rFonts w:ascii="Times New Roman" w:hAnsi="Times New Roman" w:cs="Times New Roman"/>
          <w:i/>
          <w:iCs/>
        </w:rPr>
        <w:t>Physiological Entomology</w:t>
      </w:r>
      <w:r w:rsidRPr="00E030B5">
        <w:rPr>
          <w:rFonts w:ascii="Times New Roman" w:hAnsi="Times New Roman" w:cs="Times New Roman"/>
        </w:rPr>
        <w:t xml:space="preserve">, </w:t>
      </w:r>
      <w:r w:rsidRPr="00E030B5">
        <w:rPr>
          <w:rFonts w:ascii="Times New Roman" w:hAnsi="Times New Roman" w:cs="Times New Roman"/>
          <w:i/>
          <w:iCs/>
        </w:rPr>
        <w:t>33</w:t>
      </w:r>
      <w:r w:rsidRPr="00E030B5">
        <w:rPr>
          <w:rFonts w:ascii="Times New Roman" w:hAnsi="Times New Roman" w:cs="Times New Roman"/>
        </w:rPr>
        <w:t>(1), 51–61. https://doi.org/10.1111/j.1365-3032.2007.00604.x</w:t>
      </w:r>
    </w:p>
    <w:p w14:paraId="2EE5A578" w14:textId="77777777" w:rsidR="00633DCB" w:rsidRPr="00E030B5" w:rsidRDefault="00633DCB" w:rsidP="00714662">
      <w:pPr>
        <w:pStyle w:val="Bibliography"/>
        <w:spacing w:afterLines="200" w:after="480" w:line="360" w:lineRule="auto"/>
        <w:rPr>
          <w:rFonts w:ascii="Times New Roman" w:hAnsi="Times New Roman" w:cs="Times New Roman"/>
        </w:rPr>
      </w:pPr>
      <w:r w:rsidRPr="00E030B5">
        <w:rPr>
          <w:rFonts w:ascii="Times New Roman" w:hAnsi="Times New Roman" w:cs="Times New Roman"/>
        </w:rPr>
        <w:t xml:space="preserve">Moreira, X., Glauser, G., &amp; Abdala-Roberts, L. (2017). Interactive effects of plant neighbourhood and ontogeny on insect herbivory and plant defensive traits. </w:t>
      </w:r>
      <w:r w:rsidRPr="00E030B5">
        <w:rPr>
          <w:rFonts w:ascii="Times New Roman" w:hAnsi="Times New Roman" w:cs="Times New Roman"/>
          <w:i/>
          <w:iCs/>
        </w:rPr>
        <w:t>Scientific Reports</w:t>
      </w:r>
      <w:r w:rsidRPr="00E030B5">
        <w:rPr>
          <w:rFonts w:ascii="Times New Roman" w:hAnsi="Times New Roman" w:cs="Times New Roman"/>
        </w:rPr>
        <w:t xml:space="preserve">, </w:t>
      </w:r>
      <w:r w:rsidRPr="00E030B5">
        <w:rPr>
          <w:rFonts w:ascii="Times New Roman" w:hAnsi="Times New Roman" w:cs="Times New Roman"/>
          <w:i/>
          <w:iCs/>
        </w:rPr>
        <w:t>7</w:t>
      </w:r>
      <w:r w:rsidRPr="00E030B5">
        <w:rPr>
          <w:rFonts w:ascii="Times New Roman" w:hAnsi="Times New Roman" w:cs="Times New Roman"/>
        </w:rPr>
        <w:t>, 4047. https://doi.org/10.1038/s41598-017-04314-3</w:t>
      </w:r>
    </w:p>
    <w:p w14:paraId="3B09B20E" w14:textId="77777777" w:rsidR="00633DCB" w:rsidRPr="00E030B5" w:rsidRDefault="00633DCB" w:rsidP="00714662">
      <w:pPr>
        <w:pStyle w:val="Bibliography"/>
        <w:spacing w:afterLines="200" w:after="480" w:line="360" w:lineRule="auto"/>
        <w:rPr>
          <w:rFonts w:ascii="Times New Roman" w:hAnsi="Times New Roman" w:cs="Times New Roman"/>
        </w:rPr>
      </w:pPr>
      <w:r w:rsidRPr="00E030B5">
        <w:rPr>
          <w:rFonts w:ascii="Times New Roman" w:hAnsi="Times New Roman" w:cs="Times New Roman"/>
        </w:rPr>
        <w:t xml:space="preserve">Murage, E. N., Chweya, J. A., &amp; Imungi, J. K. (1996). Changes in leaf yield and nutritive quality of the black nightshade (Solanum nigrum) as influenced by nitrogen application. </w:t>
      </w:r>
      <w:r w:rsidRPr="00E030B5">
        <w:rPr>
          <w:rFonts w:ascii="Times New Roman" w:hAnsi="Times New Roman" w:cs="Times New Roman"/>
          <w:i/>
          <w:iCs/>
        </w:rPr>
        <w:t>Ecology of Food and Nutrition</w:t>
      </w:r>
      <w:r w:rsidRPr="00E030B5">
        <w:rPr>
          <w:rFonts w:ascii="Times New Roman" w:hAnsi="Times New Roman" w:cs="Times New Roman"/>
        </w:rPr>
        <w:t xml:space="preserve">, </w:t>
      </w:r>
      <w:r w:rsidRPr="00E030B5">
        <w:rPr>
          <w:rFonts w:ascii="Times New Roman" w:hAnsi="Times New Roman" w:cs="Times New Roman"/>
          <w:i/>
          <w:iCs/>
        </w:rPr>
        <w:t>35</w:t>
      </w:r>
      <w:r w:rsidRPr="00E030B5">
        <w:rPr>
          <w:rFonts w:ascii="Times New Roman" w:hAnsi="Times New Roman" w:cs="Times New Roman"/>
        </w:rPr>
        <w:t>(2), 149–157. https://doi.org/10.1080/03670244.1996.9991484</w:t>
      </w:r>
    </w:p>
    <w:p w14:paraId="7E00852B" w14:textId="77777777" w:rsidR="00633DCB" w:rsidRPr="00E030B5" w:rsidRDefault="00633DCB" w:rsidP="00714662">
      <w:pPr>
        <w:pStyle w:val="Bibliography"/>
        <w:spacing w:afterLines="200" w:after="480" w:line="360" w:lineRule="auto"/>
        <w:rPr>
          <w:rFonts w:ascii="Times New Roman" w:hAnsi="Times New Roman" w:cs="Times New Roman"/>
        </w:rPr>
      </w:pPr>
      <w:r w:rsidRPr="00E030B5">
        <w:rPr>
          <w:rFonts w:ascii="Times New Roman" w:hAnsi="Times New Roman" w:cs="Times New Roman"/>
        </w:rPr>
        <w:t xml:space="preserve">Robinson, Schilmiller, and Wetzel. (2021). </w:t>
      </w:r>
      <w:r w:rsidRPr="00E030B5">
        <w:rPr>
          <w:rFonts w:ascii="Times New Roman" w:hAnsi="Times New Roman" w:cs="Times New Roman"/>
          <w:i/>
          <w:iCs/>
        </w:rPr>
        <w:t>A domestic plant differs from its wild relative along multiple axes of within-plant trait variability and diversity</w:t>
      </w:r>
      <w:r w:rsidRPr="00E030B5">
        <w:rPr>
          <w:rFonts w:ascii="Times New Roman" w:hAnsi="Times New Roman" w:cs="Times New Roman"/>
        </w:rPr>
        <w:t xml:space="preserve">. </w:t>
      </w:r>
      <w:r w:rsidRPr="00E030B5">
        <w:rPr>
          <w:rFonts w:ascii="Times New Roman" w:hAnsi="Times New Roman" w:cs="Times New Roman"/>
        </w:rPr>
        <w:lastRenderedPageBreak/>
        <w:t>https://williamcwetzel.files.wordpress.com/2022/02/robinson-et-al-2022-ecology-and-evolution.pdf</w:t>
      </w:r>
    </w:p>
    <w:p w14:paraId="7501CAC3" w14:textId="77777777" w:rsidR="00633DCB" w:rsidRPr="00E030B5" w:rsidRDefault="00633DCB" w:rsidP="00714662">
      <w:pPr>
        <w:pStyle w:val="Bibliography"/>
        <w:spacing w:afterLines="200" w:after="480" w:line="360" w:lineRule="auto"/>
        <w:rPr>
          <w:rFonts w:ascii="Times New Roman" w:hAnsi="Times New Roman" w:cs="Times New Roman"/>
        </w:rPr>
      </w:pPr>
      <w:r w:rsidRPr="00E030B5">
        <w:rPr>
          <w:rFonts w:ascii="Times New Roman" w:hAnsi="Times New Roman" w:cs="Times New Roman"/>
        </w:rPr>
        <w:t xml:space="preserve">Root, R. B. (1973). Organization of a Plant-Arthropod Association in Simple and Diverse Habitats: The Fauna of Collards (Brassica Oleracea). </w:t>
      </w:r>
      <w:r w:rsidRPr="00E030B5">
        <w:rPr>
          <w:rFonts w:ascii="Times New Roman" w:hAnsi="Times New Roman" w:cs="Times New Roman"/>
          <w:i/>
          <w:iCs/>
        </w:rPr>
        <w:t>Ecological Monographs</w:t>
      </w:r>
      <w:r w:rsidRPr="00E030B5">
        <w:rPr>
          <w:rFonts w:ascii="Times New Roman" w:hAnsi="Times New Roman" w:cs="Times New Roman"/>
        </w:rPr>
        <w:t xml:space="preserve">, </w:t>
      </w:r>
      <w:r w:rsidRPr="00E030B5">
        <w:rPr>
          <w:rFonts w:ascii="Times New Roman" w:hAnsi="Times New Roman" w:cs="Times New Roman"/>
          <w:i/>
          <w:iCs/>
        </w:rPr>
        <w:t>43</w:t>
      </w:r>
      <w:r w:rsidRPr="00E030B5">
        <w:rPr>
          <w:rFonts w:ascii="Times New Roman" w:hAnsi="Times New Roman" w:cs="Times New Roman"/>
        </w:rPr>
        <w:t>(1), 95–124. https://doi.org/10.2307/1942161</w:t>
      </w:r>
    </w:p>
    <w:p w14:paraId="60CC9CB0" w14:textId="77777777" w:rsidR="00633DCB" w:rsidRPr="00E030B5" w:rsidRDefault="00633DCB" w:rsidP="00714662">
      <w:pPr>
        <w:pStyle w:val="Bibliography"/>
        <w:spacing w:afterLines="200" w:after="480" w:line="360" w:lineRule="auto"/>
        <w:rPr>
          <w:rFonts w:ascii="Times New Roman" w:hAnsi="Times New Roman" w:cs="Times New Roman"/>
        </w:rPr>
      </w:pPr>
      <w:r w:rsidRPr="00E030B5">
        <w:rPr>
          <w:rFonts w:ascii="Times New Roman" w:hAnsi="Times New Roman" w:cs="Times New Roman"/>
        </w:rPr>
        <w:t xml:space="preserve">Ruel, J. J., &amp; Ayres, M. P. (1999). Jensen’s inequality predicts effects of environmental variation. </w:t>
      </w:r>
      <w:r w:rsidRPr="00E030B5">
        <w:rPr>
          <w:rFonts w:ascii="Times New Roman" w:hAnsi="Times New Roman" w:cs="Times New Roman"/>
          <w:i/>
          <w:iCs/>
        </w:rPr>
        <w:t>Trends in Ecology &amp; Evolution</w:t>
      </w:r>
      <w:r w:rsidRPr="00E030B5">
        <w:rPr>
          <w:rFonts w:ascii="Times New Roman" w:hAnsi="Times New Roman" w:cs="Times New Roman"/>
        </w:rPr>
        <w:t xml:space="preserve">, </w:t>
      </w:r>
      <w:r w:rsidRPr="00E030B5">
        <w:rPr>
          <w:rFonts w:ascii="Times New Roman" w:hAnsi="Times New Roman" w:cs="Times New Roman"/>
          <w:i/>
          <w:iCs/>
        </w:rPr>
        <w:t>14</w:t>
      </w:r>
      <w:r w:rsidRPr="00E030B5">
        <w:rPr>
          <w:rFonts w:ascii="Times New Roman" w:hAnsi="Times New Roman" w:cs="Times New Roman"/>
        </w:rPr>
        <w:t>(9), 361–366. https://doi.org/10.1016/S0169-5347(99)01664-X</w:t>
      </w:r>
    </w:p>
    <w:p w14:paraId="24A403E6" w14:textId="77777777" w:rsidR="00633DCB" w:rsidRPr="00E030B5" w:rsidRDefault="00633DCB" w:rsidP="00714662">
      <w:pPr>
        <w:pStyle w:val="Bibliography"/>
        <w:spacing w:afterLines="200" w:after="480" w:line="360" w:lineRule="auto"/>
        <w:rPr>
          <w:rFonts w:ascii="Times New Roman" w:hAnsi="Times New Roman" w:cs="Times New Roman"/>
        </w:rPr>
      </w:pPr>
      <w:r w:rsidRPr="00E030B5">
        <w:rPr>
          <w:rFonts w:ascii="Times New Roman" w:hAnsi="Times New Roman" w:cs="Times New Roman"/>
        </w:rPr>
        <w:t xml:space="preserve">Shiels, A. B., Ennis, M. K., &amp; Shiels, L. (2014). Trait-based plant mortality and preference for native versus non-native seedlings by invasive slug and snail herbivores in Hawaii. </w:t>
      </w:r>
      <w:r w:rsidRPr="00E030B5">
        <w:rPr>
          <w:rFonts w:ascii="Times New Roman" w:hAnsi="Times New Roman" w:cs="Times New Roman"/>
          <w:i/>
          <w:iCs/>
        </w:rPr>
        <w:t>Biological Invasions</w:t>
      </w:r>
      <w:r w:rsidRPr="00E030B5">
        <w:rPr>
          <w:rFonts w:ascii="Times New Roman" w:hAnsi="Times New Roman" w:cs="Times New Roman"/>
        </w:rPr>
        <w:t xml:space="preserve">, </w:t>
      </w:r>
      <w:r w:rsidRPr="00E030B5">
        <w:rPr>
          <w:rFonts w:ascii="Times New Roman" w:hAnsi="Times New Roman" w:cs="Times New Roman"/>
          <w:i/>
          <w:iCs/>
        </w:rPr>
        <w:t>16</w:t>
      </w:r>
      <w:r w:rsidRPr="00E030B5">
        <w:rPr>
          <w:rFonts w:ascii="Times New Roman" w:hAnsi="Times New Roman" w:cs="Times New Roman"/>
        </w:rPr>
        <w:t>(9), 1929–1940. https://doi.org/10.1007/s10530-013-0636-3</w:t>
      </w:r>
    </w:p>
    <w:p w14:paraId="433660FA" w14:textId="77777777" w:rsidR="00633DCB" w:rsidRPr="00E030B5" w:rsidRDefault="00633DCB" w:rsidP="00714662">
      <w:pPr>
        <w:pStyle w:val="Bibliography"/>
        <w:spacing w:afterLines="200" w:after="480" w:line="360" w:lineRule="auto"/>
        <w:rPr>
          <w:rFonts w:ascii="Times New Roman" w:hAnsi="Times New Roman" w:cs="Times New Roman"/>
        </w:rPr>
      </w:pPr>
      <w:r w:rsidRPr="00E030B5">
        <w:rPr>
          <w:rFonts w:ascii="Times New Roman" w:hAnsi="Times New Roman" w:cs="Times New Roman"/>
        </w:rPr>
        <w:t xml:space="preserve">Stout, M. J., Brovont, R. A., &amp; Duffey, S. S. (1998). Effect of nitrogen availability on expression of constitutive and inducible chemical defenses in tomato, Lycopersicon esculentum. </w:t>
      </w:r>
      <w:r w:rsidRPr="00E030B5">
        <w:rPr>
          <w:rFonts w:ascii="Times New Roman" w:hAnsi="Times New Roman" w:cs="Times New Roman"/>
          <w:i/>
          <w:iCs/>
        </w:rPr>
        <w:t>Journal of Chemical Ecology</w:t>
      </w:r>
      <w:r w:rsidRPr="00E030B5">
        <w:rPr>
          <w:rFonts w:ascii="Times New Roman" w:hAnsi="Times New Roman" w:cs="Times New Roman"/>
        </w:rPr>
        <w:t xml:space="preserve">, </w:t>
      </w:r>
      <w:r w:rsidRPr="00E030B5">
        <w:rPr>
          <w:rFonts w:ascii="Times New Roman" w:hAnsi="Times New Roman" w:cs="Times New Roman"/>
          <w:i/>
          <w:iCs/>
        </w:rPr>
        <w:t>24</w:t>
      </w:r>
      <w:r w:rsidRPr="00E030B5">
        <w:rPr>
          <w:rFonts w:ascii="Times New Roman" w:hAnsi="Times New Roman" w:cs="Times New Roman"/>
        </w:rPr>
        <w:t>(6), 945–963. https://doi.org/10.1023/A:1022350100718</w:t>
      </w:r>
    </w:p>
    <w:p w14:paraId="1833292B" w14:textId="77777777" w:rsidR="00633DCB" w:rsidRPr="00E030B5" w:rsidRDefault="00633DCB" w:rsidP="00714662">
      <w:pPr>
        <w:pStyle w:val="Bibliography"/>
        <w:spacing w:afterLines="200" w:after="480" w:line="360" w:lineRule="auto"/>
        <w:rPr>
          <w:rFonts w:ascii="Times New Roman" w:hAnsi="Times New Roman" w:cs="Times New Roman"/>
        </w:rPr>
      </w:pPr>
      <w:r w:rsidRPr="00E030B5">
        <w:rPr>
          <w:rFonts w:ascii="Times New Roman" w:hAnsi="Times New Roman" w:cs="Times New Roman"/>
        </w:rPr>
        <w:t xml:space="preserve">Underwood, N., Anderson, K., &amp; Inouye, B. D. (2005). Induced vs. Constitutive resistance and the spatial distribution of insect herbivores among plants. </w:t>
      </w:r>
      <w:r w:rsidRPr="00E030B5">
        <w:rPr>
          <w:rFonts w:ascii="Times New Roman" w:hAnsi="Times New Roman" w:cs="Times New Roman"/>
          <w:i/>
          <w:iCs/>
        </w:rPr>
        <w:t>Ecology</w:t>
      </w:r>
      <w:r w:rsidRPr="00E030B5">
        <w:rPr>
          <w:rFonts w:ascii="Times New Roman" w:hAnsi="Times New Roman" w:cs="Times New Roman"/>
        </w:rPr>
        <w:t xml:space="preserve">, </w:t>
      </w:r>
      <w:r w:rsidRPr="00E030B5">
        <w:rPr>
          <w:rFonts w:ascii="Times New Roman" w:hAnsi="Times New Roman" w:cs="Times New Roman"/>
          <w:i/>
          <w:iCs/>
        </w:rPr>
        <w:t>86</w:t>
      </w:r>
      <w:r w:rsidRPr="00E030B5">
        <w:rPr>
          <w:rFonts w:ascii="Times New Roman" w:hAnsi="Times New Roman" w:cs="Times New Roman"/>
        </w:rPr>
        <w:t>(3), 594–602. https://doi.org/10.1890/03-0290</w:t>
      </w:r>
    </w:p>
    <w:p w14:paraId="7DBF21FF" w14:textId="77777777" w:rsidR="00633DCB" w:rsidRPr="00E030B5" w:rsidRDefault="00633DCB" w:rsidP="00714662">
      <w:pPr>
        <w:pStyle w:val="Bibliography"/>
        <w:spacing w:afterLines="200" w:after="480" w:line="360" w:lineRule="auto"/>
        <w:rPr>
          <w:rFonts w:ascii="Times New Roman" w:hAnsi="Times New Roman" w:cs="Times New Roman"/>
        </w:rPr>
      </w:pPr>
      <w:r w:rsidRPr="00E030B5">
        <w:rPr>
          <w:rFonts w:ascii="Times New Roman" w:hAnsi="Times New Roman" w:cs="Times New Roman"/>
        </w:rPr>
        <w:t xml:space="preserve">Underwood, N. C. (1998). The timing of induced resistance and induced susceptibility in the soybean Mexican bean beetle system. </w:t>
      </w:r>
      <w:r w:rsidRPr="00E030B5">
        <w:rPr>
          <w:rFonts w:ascii="Times New Roman" w:hAnsi="Times New Roman" w:cs="Times New Roman"/>
          <w:i/>
          <w:iCs/>
        </w:rPr>
        <w:t>Oecologia</w:t>
      </w:r>
      <w:r w:rsidRPr="00E030B5">
        <w:rPr>
          <w:rFonts w:ascii="Times New Roman" w:hAnsi="Times New Roman" w:cs="Times New Roman"/>
        </w:rPr>
        <w:t xml:space="preserve">, </w:t>
      </w:r>
      <w:r w:rsidRPr="00E030B5">
        <w:rPr>
          <w:rFonts w:ascii="Times New Roman" w:hAnsi="Times New Roman" w:cs="Times New Roman"/>
          <w:i/>
          <w:iCs/>
        </w:rPr>
        <w:t>114</w:t>
      </w:r>
      <w:r w:rsidRPr="00E030B5">
        <w:rPr>
          <w:rFonts w:ascii="Times New Roman" w:hAnsi="Times New Roman" w:cs="Times New Roman"/>
        </w:rPr>
        <w:t>(3), 376–381. https://doi.org/10.1007/s004420050460</w:t>
      </w:r>
    </w:p>
    <w:p w14:paraId="28882980" w14:textId="77777777" w:rsidR="00633DCB" w:rsidRPr="00E030B5" w:rsidRDefault="00633DCB" w:rsidP="00714662">
      <w:pPr>
        <w:pStyle w:val="Bibliography"/>
        <w:spacing w:afterLines="200" w:after="480" w:line="360" w:lineRule="auto"/>
        <w:rPr>
          <w:rFonts w:ascii="Times New Roman" w:hAnsi="Times New Roman" w:cs="Times New Roman"/>
        </w:rPr>
      </w:pPr>
      <w:r w:rsidRPr="00E030B5">
        <w:rPr>
          <w:rFonts w:ascii="Times New Roman" w:hAnsi="Times New Roman" w:cs="Times New Roman"/>
        </w:rPr>
        <w:t xml:space="preserve">Underwood, N., Inouye, B. D., &amp; Hambäck, P. A. (2014). A Conceptual Framework for Associational Effects: When Do Neighbors Matter and How Would We Know? </w:t>
      </w:r>
      <w:r w:rsidRPr="00E030B5">
        <w:rPr>
          <w:rFonts w:ascii="Times New Roman" w:hAnsi="Times New Roman" w:cs="Times New Roman"/>
          <w:i/>
          <w:iCs/>
        </w:rPr>
        <w:t>The Quarterly Review of Biology</w:t>
      </w:r>
      <w:r w:rsidRPr="00E030B5">
        <w:rPr>
          <w:rFonts w:ascii="Times New Roman" w:hAnsi="Times New Roman" w:cs="Times New Roman"/>
        </w:rPr>
        <w:t xml:space="preserve">, </w:t>
      </w:r>
      <w:r w:rsidRPr="00E030B5">
        <w:rPr>
          <w:rFonts w:ascii="Times New Roman" w:hAnsi="Times New Roman" w:cs="Times New Roman"/>
          <w:i/>
          <w:iCs/>
        </w:rPr>
        <w:t>89</w:t>
      </w:r>
      <w:r w:rsidRPr="00E030B5">
        <w:rPr>
          <w:rFonts w:ascii="Times New Roman" w:hAnsi="Times New Roman" w:cs="Times New Roman"/>
        </w:rPr>
        <w:t>(1), 1–19. https://doi.org/10.1086/674991</w:t>
      </w:r>
    </w:p>
    <w:p w14:paraId="0AACE2B4" w14:textId="77777777" w:rsidR="00633DCB" w:rsidRPr="00E030B5" w:rsidRDefault="00633DCB" w:rsidP="00714662">
      <w:pPr>
        <w:pStyle w:val="Bibliography"/>
        <w:spacing w:afterLines="200" w:after="480" w:line="360" w:lineRule="auto"/>
        <w:rPr>
          <w:rFonts w:ascii="Times New Roman" w:hAnsi="Times New Roman" w:cs="Times New Roman"/>
        </w:rPr>
      </w:pPr>
      <w:r w:rsidRPr="00E030B5">
        <w:rPr>
          <w:rFonts w:ascii="Times New Roman" w:hAnsi="Times New Roman" w:cs="Times New Roman"/>
        </w:rPr>
        <w:lastRenderedPageBreak/>
        <w:t xml:space="preserve">van Dam, N. M., Hadwich, K., &amp; Baldwin, I. T. (2000). Induced responses in Nicotiana attenuata affect behavior and growth of the specialist herbivore Manduca sexta. </w:t>
      </w:r>
      <w:r w:rsidRPr="00E030B5">
        <w:rPr>
          <w:rFonts w:ascii="Times New Roman" w:hAnsi="Times New Roman" w:cs="Times New Roman"/>
          <w:i/>
          <w:iCs/>
        </w:rPr>
        <w:t>Oecologia</w:t>
      </w:r>
      <w:r w:rsidRPr="00E030B5">
        <w:rPr>
          <w:rFonts w:ascii="Times New Roman" w:hAnsi="Times New Roman" w:cs="Times New Roman"/>
        </w:rPr>
        <w:t xml:space="preserve">, </w:t>
      </w:r>
      <w:r w:rsidRPr="00E030B5">
        <w:rPr>
          <w:rFonts w:ascii="Times New Roman" w:hAnsi="Times New Roman" w:cs="Times New Roman"/>
          <w:i/>
          <w:iCs/>
        </w:rPr>
        <w:t>122</w:t>
      </w:r>
      <w:r w:rsidRPr="00E030B5">
        <w:rPr>
          <w:rFonts w:ascii="Times New Roman" w:hAnsi="Times New Roman" w:cs="Times New Roman"/>
        </w:rPr>
        <w:t>(3), 371–379. https://doi.org/10.1007/s004420050043</w:t>
      </w:r>
    </w:p>
    <w:p w14:paraId="2581C6A5" w14:textId="77777777" w:rsidR="00633DCB" w:rsidRPr="00E030B5" w:rsidRDefault="00633DCB" w:rsidP="00714662">
      <w:pPr>
        <w:pStyle w:val="Bibliography"/>
        <w:spacing w:afterLines="200" w:after="480" w:line="360" w:lineRule="auto"/>
        <w:rPr>
          <w:rFonts w:ascii="Times New Roman" w:hAnsi="Times New Roman" w:cs="Times New Roman"/>
        </w:rPr>
      </w:pPr>
      <w:r w:rsidRPr="00E030B5">
        <w:rPr>
          <w:rFonts w:ascii="Times New Roman" w:hAnsi="Times New Roman" w:cs="Times New Roman"/>
        </w:rPr>
        <w:t xml:space="preserve">Wang, W., He, P., Zhang, Y., Liu, T., Jing, X., &amp; Zhang, S. (2020). The Population Growth of Spodoptera frugiperda on Six Cash Crop Species and Implications for Its Occurrence and Damage Potential in China. </w:t>
      </w:r>
      <w:r w:rsidRPr="00E030B5">
        <w:rPr>
          <w:rFonts w:ascii="Times New Roman" w:hAnsi="Times New Roman" w:cs="Times New Roman"/>
          <w:i/>
          <w:iCs/>
        </w:rPr>
        <w:t>Insects</w:t>
      </w:r>
      <w:r w:rsidRPr="00E030B5">
        <w:rPr>
          <w:rFonts w:ascii="Times New Roman" w:hAnsi="Times New Roman" w:cs="Times New Roman"/>
        </w:rPr>
        <w:t xml:space="preserve">, </w:t>
      </w:r>
      <w:r w:rsidRPr="00E030B5">
        <w:rPr>
          <w:rFonts w:ascii="Times New Roman" w:hAnsi="Times New Roman" w:cs="Times New Roman"/>
          <w:i/>
          <w:iCs/>
        </w:rPr>
        <w:t>11</w:t>
      </w:r>
      <w:r w:rsidRPr="00E030B5">
        <w:rPr>
          <w:rFonts w:ascii="Times New Roman" w:hAnsi="Times New Roman" w:cs="Times New Roman"/>
        </w:rPr>
        <w:t>(9), 639. https://doi.org/10.3390/insects11090639</w:t>
      </w:r>
    </w:p>
    <w:p w14:paraId="7EAE64B4" w14:textId="77777777" w:rsidR="00633DCB" w:rsidRPr="00E030B5" w:rsidRDefault="00633DCB" w:rsidP="00714662">
      <w:pPr>
        <w:pStyle w:val="Bibliography"/>
        <w:spacing w:afterLines="200" w:after="480" w:line="360" w:lineRule="auto"/>
        <w:rPr>
          <w:rFonts w:ascii="Times New Roman" w:hAnsi="Times New Roman" w:cs="Times New Roman"/>
        </w:rPr>
      </w:pPr>
      <w:r w:rsidRPr="00E030B5">
        <w:rPr>
          <w:rFonts w:ascii="Times New Roman" w:hAnsi="Times New Roman" w:cs="Times New Roman"/>
        </w:rPr>
        <w:t xml:space="preserve">Wetzel, W. C., Kharouba, H. M., Robinson, M., Holyoak, M., &amp; Karban, R. (2016). Variability in plant nutrients reduces insect herbivore performance. </w:t>
      </w:r>
      <w:r w:rsidRPr="00E030B5">
        <w:rPr>
          <w:rFonts w:ascii="Times New Roman" w:hAnsi="Times New Roman" w:cs="Times New Roman"/>
          <w:i/>
          <w:iCs/>
        </w:rPr>
        <w:t>Nature</w:t>
      </w:r>
      <w:r w:rsidRPr="00E030B5">
        <w:rPr>
          <w:rFonts w:ascii="Times New Roman" w:hAnsi="Times New Roman" w:cs="Times New Roman"/>
        </w:rPr>
        <w:t xml:space="preserve">, </w:t>
      </w:r>
      <w:r w:rsidRPr="00E030B5">
        <w:rPr>
          <w:rFonts w:ascii="Times New Roman" w:hAnsi="Times New Roman" w:cs="Times New Roman"/>
          <w:i/>
          <w:iCs/>
        </w:rPr>
        <w:t>539</w:t>
      </w:r>
      <w:r w:rsidRPr="00E030B5">
        <w:rPr>
          <w:rFonts w:ascii="Times New Roman" w:hAnsi="Times New Roman" w:cs="Times New Roman"/>
        </w:rPr>
        <w:t>(7629), 425–427. https://doi.org/10.1038/nature20140</w:t>
      </w:r>
    </w:p>
    <w:p w14:paraId="6FF96549" w14:textId="1730B5A1" w:rsidR="00870333" w:rsidRPr="00E030B5" w:rsidRDefault="00633DCB" w:rsidP="00714662">
      <w:pPr>
        <w:spacing w:afterLines="200" w:after="480"/>
        <w:rPr>
          <w:rFonts w:ascii="Times New Roman" w:hAnsi="Times New Roman" w:cs="Times New Roman"/>
        </w:rPr>
      </w:pPr>
      <w:r w:rsidRPr="00E030B5">
        <w:rPr>
          <w:rFonts w:ascii="Times New Roman" w:hAnsi="Times New Roman" w:cs="Times New Roman"/>
        </w:rPr>
        <w:fldChar w:fldCharType="end"/>
      </w:r>
      <w:r w:rsidR="00870333" w:rsidRPr="00E030B5">
        <w:rPr>
          <w:rFonts w:ascii="Times New Roman" w:hAnsi="Times New Roman" w:cs="Times New Roman"/>
        </w:rPr>
        <w:br w:type="page"/>
      </w:r>
    </w:p>
    <w:p w14:paraId="4DAF8BC4" w14:textId="77777777" w:rsidR="00C53D27" w:rsidRPr="00E030B5" w:rsidRDefault="0025410D">
      <w:pPr>
        <w:rPr>
          <w:rFonts w:ascii="Times New Roman" w:hAnsi="Times New Roman" w:cs="Times New Roman"/>
        </w:rPr>
      </w:pPr>
      <w:r w:rsidRPr="00E030B5">
        <w:rPr>
          <w:rFonts w:ascii="Times New Roman" w:hAnsi="Times New Roman" w:cs="Times New Roman"/>
          <w:noProof/>
        </w:rPr>
        <w:lastRenderedPageBreak/>
        <w:drawing>
          <wp:inline distT="114300" distB="114300" distL="114300" distR="114300" wp14:anchorId="26E65672" wp14:editId="6D8F2D7A">
            <wp:extent cx="5410200" cy="3190875"/>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l="4807" t="1994" r="4166" b="2564"/>
                    <a:stretch>
                      <a:fillRect/>
                    </a:stretch>
                  </pic:blipFill>
                  <pic:spPr>
                    <a:xfrm>
                      <a:off x="0" y="0"/>
                      <a:ext cx="5410200" cy="3190875"/>
                    </a:xfrm>
                    <a:prstGeom prst="rect">
                      <a:avLst/>
                    </a:prstGeom>
                    <a:ln/>
                  </pic:spPr>
                </pic:pic>
              </a:graphicData>
            </a:graphic>
          </wp:inline>
        </w:drawing>
      </w:r>
    </w:p>
    <w:p w14:paraId="4D2472FB" w14:textId="77777777" w:rsidR="00FD3E77" w:rsidRPr="00E030B5" w:rsidRDefault="0025410D">
      <w:pPr>
        <w:rPr>
          <w:rFonts w:ascii="Times New Roman" w:hAnsi="Times New Roman" w:cs="Times New Roman"/>
        </w:rPr>
      </w:pPr>
      <w:r w:rsidRPr="00E030B5">
        <w:rPr>
          <w:rFonts w:ascii="Times New Roman" w:hAnsi="Times New Roman" w:cs="Times New Roman"/>
          <w:b/>
        </w:rPr>
        <w:t>Figure 1.</w:t>
      </w:r>
      <w:r w:rsidRPr="00E030B5">
        <w:rPr>
          <w:rFonts w:ascii="Times New Roman" w:hAnsi="Times New Roman" w:cs="Times New Roman"/>
        </w:rPr>
        <w:t xml:space="preserve"> Associational effects experimental set-up diagram (left) and nutrient enrichment experimental setup (right). Both experiments were crossed with a larval movement treatment. The </w:t>
      </w:r>
      <w:proofErr w:type="spellStart"/>
      <w:r w:rsidRPr="00E030B5">
        <w:rPr>
          <w:rFonts w:ascii="Times New Roman" w:hAnsi="Times New Roman" w:cs="Times New Roman"/>
        </w:rPr>
        <w:t>diculture</w:t>
      </w:r>
      <w:proofErr w:type="spellEnd"/>
      <w:r w:rsidRPr="00E030B5">
        <w:rPr>
          <w:rFonts w:ascii="Times New Roman" w:hAnsi="Times New Roman" w:cs="Times New Roman"/>
        </w:rPr>
        <w:t xml:space="preserve"> planting represents kale (dark green) interplanted with mustard (light green), whereas the monoculture planting is kale only. The nutrient enrichment diagram shows fertilized (dark green) and unfertilized (light green) kale plants. Movement plantings consisted of six plants that started with one </w:t>
      </w:r>
      <w:r w:rsidRPr="00E030B5">
        <w:rPr>
          <w:rFonts w:ascii="Times New Roman" w:hAnsi="Times New Roman" w:cs="Times New Roman"/>
          <w:i/>
        </w:rPr>
        <w:t xml:space="preserve">S. </w:t>
      </w:r>
      <w:proofErr w:type="spellStart"/>
      <w:r w:rsidRPr="00E030B5">
        <w:rPr>
          <w:rFonts w:ascii="Times New Roman" w:hAnsi="Times New Roman" w:cs="Times New Roman"/>
          <w:i/>
        </w:rPr>
        <w:t>exigua</w:t>
      </w:r>
      <w:proofErr w:type="spellEnd"/>
      <w:r w:rsidRPr="00E030B5">
        <w:rPr>
          <w:rFonts w:ascii="Times New Roman" w:hAnsi="Times New Roman" w:cs="Times New Roman"/>
          <w:i/>
        </w:rPr>
        <w:t xml:space="preserve"> </w:t>
      </w:r>
      <w:r w:rsidRPr="00E030B5">
        <w:rPr>
          <w:rFonts w:ascii="Times New Roman" w:hAnsi="Times New Roman" w:cs="Times New Roman"/>
        </w:rPr>
        <w:t xml:space="preserve">on each plant; larvae could move among the plants during the trial. No movement plantings consisted of one </w:t>
      </w:r>
      <w:r w:rsidRPr="00E030B5">
        <w:rPr>
          <w:rFonts w:ascii="Times New Roman" w:hAnsi="Times New Roman" w:cs="Times New Roman"/>
          <w:i/>
        </w:rPr>
        <w:t xml:space="preserve">S. </w:t>
      </w:r>
      <w:proofErr w:type="spellStart"/>
      <w:r w:rsidRPr="00E030B5">
        <w:rPr>
          <w:rFonts w:ascii="Times New Roman" w:hAnsi="Times New Roman" w:cs="Times New Roman"/>
          <w:i/>
        </w:rPr>
        <w:t>exigua</w:t>
      </w:r>
      <w:proofErr w:type="spellEnd"/>
      <w:r w:rsidRPr="00E030B5">
        <w:rPr>
          <w:rFonts w:ascii="Times New Roman" w:hAnsi="Times New Roman" w:cs="Times New Roman"/>
          <w:i/>
        </w:rPr>
        <w:t xml:space="preserve"> </w:t>
      </w:r>
      <w:r w:rsidRPr="00E030B5">
        <w:rPr>
          <w:rFonts w:ascii="Times New Roman" w:hAnsi="Times New Roman" w:cs="Times New Roman"/>
        </w:rPr>
        <w:t>confined to one plant for the trial.</w:t>
      </w:r>
    </w:p>
    <w:p w14:paraId="7DDAB904" w14:textId="00B8D087" w:rsidR="00FD3E77" w:rsidRPr="00E030B5" w:rsidRDefault="00FD3E77">
      <w:pPr>
        <w:rPr>
          <w:rFonts w:ascii="Times New Roman" w:hAnsi="Times New Roman" w:cs="Times New Roman"/>
        </w:rPr>
      </w:pPr>
      <w:r w:rsidRPr="00E030B5">
        <w:rPr>
          <w:rFonts w:ascii="Times New Roman" w:hAnsi="Times New Roman" w:cs="Times New Roman"/>
        </w:rPr>
        <w:br w:type="page"/>
      </w:r>
    </w:p>
    <w:p w14:paraId="0E95A9E8" w14:textId="77777777" w:rsidR="00C53D27" w:rsidRPr="00E030B5" w:rsidRDefault="0025410D">
      <w:pPr>
        <w:spacing w:after="0"/>
        <w:rPr>
          <w:rFonts w:ascii="Times New Roman" w:hAnsi="Times New Roman" w:cs="Times New Roman"/>
        </w:rPr>
      </w:pPr>
      <w:r w:rsidRPr="00E030B5">
        <w:rPr>
          <w:rFonts w:ascii="Times New Roman" w:hAnsi="Times New Roman" w:cs="Times New Roman"/>
          <w:noProof/>
        </w:rPr>
        <w:lastRenderedPageBreak/>
        <w:drawing>
          <wp:inline distT="114300" distB="114300" distL="114300" distR="114300" wp14:anchorId="28D087E6" wp14:editId="62FA4FA7">
            <wp:extent cx="5724525" cy="29241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r="3685" b="12535"/>
                    <a:stretch>
                      <a:fillRect/>
                    </a:stretch>
                  </pic:blipFill>
                  <pic:spPr>
                    <a:xfrm>
                      <a:off x="0" y="0"/>
                      <a:ext cx="5724525" cy="2924175"/>
                    </a:xfrm>
                    <a:prstGeom prst="rect">
                      <a:avLst/>
                    </a:prstGeom>
                    <a:ln/>
                  </pic:spPr>
                </pic:pic>
              </a:graphicData>
            </a:graphic>
          </wp:inline>
        </w:drawing>
      </w:r>
    </w:p>
    <w:p w14:paraId="7CCDDD89" w14:textId="77777777" w:rsidR="00FD3E77" w:rsidRPr="00E030B5" w:rsidRDefault="0025410D">
      <w:pPr>
        <w:rPr>
          <w:rFonts w:ascii="Times New Roman" w:hAnsi="Times New Roman" w:cs="Times New Roman"/>
        </w:rPr>
      </w:pPr>
      <w:r w:rsidRPr="00E030B5">
        <w:rPr>
          <w:rFonts w:ascii="Times New Roman" w:hAnsi="Times New Roman" w:cs="Times New Roman"/>
          <w:b/>
        </w:rPr>
        <w:t>Figure 2.</w:t>
      </w:r>
      <w:r w:rsidRPr="00E030B5">
        <w:rPr>
          <w:rFonts w:ascii="Times New Roman" w:hAnsi="Times New Roman" w:cs="Times New Roman"/>
        </w:rPr>
        <w:t xml:space="preserve"> Effects of nutrient enrichment on variation in </w:t>
      </w:r>
      <w:r w:rsidRPr="00E030B5">
        <w:rPr>
          <w:rFonts w:ascii="Times New Roman" w:hAnsi="Times New Roman" w:cs="Times New Roman"/>
          <w:i/>
        </w:rPr>
        <w:t xml:space="preserve">Spodoptera </w:t>
      </w:r>
      <w:proofErr w:type="spellStart"/>
      <w:r w:rsidRPr="00E030B5">
        <w:rPr>
          <w:rFonts w:ascii="Times New Roman" w:hAnsi="Times New Roman" w:cs="Times New Roman"/>
          <w:i/>
        </w:rPr>
        <w:t>exigua</w:t>
      </w:r>
      <w:proofErr w:type="spellEnd"/>
      <w:r w:rsidRPr="00E030B5">
        <w:rPr>
          <w:rFonts w:ascii="Times New Roman" w:hAnsi="Times New Roman" w:cs="Times New Roman"/>
        </w:rPr>
        <w:t xml:space="preserve"> RGR. The overall variation was significantly affected by treatment combination (</w:t>
      </w:r>
      <w:proofErr w:type="spellStart"/>
      <w:r w:rsidRPr="00E030B5">
        <w:rPr>
          <w:rFonts w:ascii="Times New Roman" w:hAnsi="Times New Roman" w:cs="Times New Roman"/>
        </w:rPr>
        <w:t>Levene’s</w:t>
      </w:r>
      <w:proofErr w:type="spellEnd"/>
      <w:r w:rsidRPr="00E030B5">
        <w:rPr>
          <w:rFonts w:ascii="Times New Roman" w:hAnsi="Times New Roman" w:cs="Times New Roman"/>
        </w:rPr>
        <w:t xml:space="preserve"> Test, p&lt;0.001, df = 13,132). Significance of </w:t>
      </w:r>
      <w:r w:rsidRPr="00E030B5">
        <w:rPr>
          <w:rFonts w:ascii="Times New Roman" w:hAnsi="Times New Roman" w:cs="Times New Roman"/>
          <w:i/>
        </w:rPr>
        <w:t xml:space="preserve">post-hoc </w:t>
      </w:r>
      <w:proofErr w:type="spellStart"/>
      <w:r w:rsidRPr="00E030B5">
        <w:rPr>
          <w:rFonts w:ascii="Times New Roman" w:hAnsi="Times New Roman" w:cs="Times New Roman"/>
        </w:rPr>
        <w:t>Levene’s</w:t>
      </w:r>
      <w:proofErr w:type="spellEnd"/>
      <w:r w:rsidRPr="00E030B5">
        <w:rPr>
          <w:rFonts w:ascii="Times New Roman" w:hAnsi="Times New Roman" w:cs="Times New Roman"/>
        </w:rPr>
        <w:t xml:space="preserve"> pairwise comparisons indicated by the bars above the figure (***p&lt; 0.001, Table S1). No movement treatments represent RGR of single </w:t>
      </w:r>
      <w:r w:rsidRPr="00E030B5">
        <w:rPr>
          <w:rFonts w:ascii="Times New Roman" w:hAnsi="Times New Roman" w:cs="Times New Roman"/>
          <w:i/>
        </w:rPr>
        <w:t xml:space="preserve">S. </w:t>
      </w:r>
      <w:proofErr w:type="spellStart"/>
      <w:r w:rsidRPr="00E030B5">
        <w:rPr>
          <w:rFonts w:ascii="Times New Roman" w:hAnsi="Times New Roman" w:cs="Times New Roman"/>
          <w:i/>
        </w:rPr>
        <w:t>exigua</w:t>
      </w:r>
      <w:proofErr w:type="spellEnd"/>
      <w:r w:rsidRPr="00E030B5">
        <w:rPr>
          <w:rFonts w:ascii="Times New Roman" w:hAnsi="Times New Roman" w:cs="Times New Roman"/>
        </w:rPr>
        <w:t xml:space="preserve"> that were confined to one plant, whereas movement treatments represent RGR when six </w:t>
      </w:r>
      <w:r w:rsidRPr="00E030B5">
        <w:rPr>
          <w:rFonts w:ascii="Times New Roman" w:hAnsi="Times New Roman" w:cs="Times New Roman"/>
          <w:i/>
        </w:rPr>
        <w:t xml:space="preserve">S. </w:t>
      </w:r>
      <w:proofErr w:type="spellStart"/>
      <w:r w:rsidRPr="00E030B5">
        <w:rPr>
          <w:rFonts w:ascii="Times New Roman" w:hAnsi="Times New Roman" w:cs="Times New Roman"/>
          <w:i/>
        </w:rPr>
        <w:t>exigua</w:t>
      </w:r>
      <w:proofErr w:type="spellEnd"/>
      <w:r w:rsidRPr="00E030B5">
        <w:rPr>
          <w:rFonts w:ascii="Times New Roman" w:hAnsi="Times New Roman" w:cs="Times New Roman"/>
          <w:i/>
        </w:rPr>
        <w:t xml:space="preserve"> </w:t>
      </w:r>
      <w:r w:rsidRPr="00E030B5">
        <w:rPr>
          <w:rFonts w:ascii="Times New Roman" w:hAnsi="Times New Roman" w:cs="Times New Roman"/>
        </w:rPr>
        <w:t>were allowed to move among six clustered plants.</w:t>
      </w:r>
    </w:p>
    <w:p w14:paraId="0D79AF29" w14:textId="79F31086" w:rsidR="00FD3E77" w:rsidRPr="00E030B5" w:rsidRDefault="00FD3E77">
      <w:pPr>
        <w:rPr>
          <w:rFonts w:ascii="Times New Roman" w:hAnsi="Times New Roman" w:cs="Times New Roman"/>
        </w:rPr>
      </w:pPr>
      <w:r w:rsidRPr="00E030B5">
        <w:rPr>
          <w:rFonts w:ascii="Times New Roman" w:hAnsi="Times New Roman" w:cs="Times New Roman"/>
        </w:rPr>
        <w:br w:type="page"/>
      </w:r>
    </w:p>
    <w:p w14:paraId="4E10E8DB" w14:textId="77777777" w:rsidR="00C53D27" w:rsidRPr="00E030B5" w:rsidRDefault="0025410D" w:rsidP="00FD3E77">
      <w:pPr>
        <w:widowControl w:val="0"/>
        <w:spacing w:after="0" w:line="240" w:lineRule="auto"/>
        <w:rPr>
          <w:rFonts w:ascii="Times New Roman" w:hAnsi="Times New Roman" w:cs="Times New Roman"/>
        </w:rPr>
      </w:pPr>
      <w:r w:rsidRPr="00E030B5">
        <w:rPr>
          <w:rFonts w:ascii="Times New Roman" w:hAnsi="Times New Roman" w:cs="Times New Roman"/>
          <w:noProof/>
        </w:rPr>
        <w:lastRenderedPageBreak/>
        <w:drawing>
          <wp:inline distT="114300" distB="114300" distL="114300" distR="114300" wp14:anchorId="37CEB659" wp14:editId="3836F364">
            <wp:extent cx="5943600" cy="28575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b="14529"/>
                    <a:stretch>
                      <a:fillRect/>
                    </a:stretch>
                  </pic:blipFill>
                  <pic:spPr>
                    <a:xfrm>
                      <a:off x="0" y="0"/>
                      <a:ext cx="5943600" cy="2857500"/>
                    </a:xfrm>
                    <a:prstGeom prst="rect">
                      <a:avLst/>
                    </a:prstGeom>
                    <a:ln/>
                  </pic:spPr>
                </pic:pic>
              </a:graphicData>
            </a:graphic>
          </wp:inline>
        </w:drawing>
      </w:r>
    </w:p>
    <w:p w14:paraId="3305A0B5" w14:textId="38DA2057" w:rsidR="00FD3E77" w:rsidRPr="00E030B5" w:rsidRDefault="0025410D">
      <w:pPr>
        <w:rPr>
          <w:rFonts w:ascii="Times New Roman" w:hAnsi="Times New Roman" w:cs="Times New Roman"/>
        </w:rPr>
      </w:pPr>
      <w:r w:rsidRPr="00E030B5">
        <w:rPr>
          <w:rFonts w:ascii="Times New Roman" w:hAnsi="Times New Roman" w:cs="Times New Roman"/>
          <w:b/>
        </w:rPr>
        <w:t>Figure 3.</w:t>
      </w:r>
      <w:r w:rsidRPr="00E030B5">
        <w:rPr>
          <w:rFonts w:ascii="Times New Roman" w:hAnsi="Times New Roman" w:cs="Times New Roman"/>
        </w:rPr>
        <w:t xml:space="preserve"> Associational effects influence variation in </w:t>
      </w:r>
      <w:r w:rsidRPr="00E030B5">
        <w:rPr>
          <w:rFonts w:ascii="Times New Roman" w:hAnsi="Times New Roman" w:cs="Times New Roman"/>
          <w:i/>
        </w:rPr>
        <w:t xml:space="preserve">Spodoptera </w:t>
      </w:r>
      <w:proofErr w:type="spellStart"/>
      <w:r w:rsidRPr="00E030B5">
        <w:rPr>
          <w:rFonts w:ascii="Times New Roman" w:hAnsi="Times New Roman" w:cs="Times New Roman"/>
          <w:i/>
        </w:rPr>
        <w:t>exigua</w:t>
      </w:r>
      <w:proofErr w:type="spellEnd"/>
      <w:r w:rsidRPr="00E030B5">
        <w:rPr>
          <w:rFonts w:ascii="Times New Roman" w:hAnsi="Times New Roman" w:cs="Times New Roman"/>
        </w:rPr>
        <w:t xml:space="preserve"> RGR.</w:t>
      </w:r>
      <w:r w:rsidRPr="00E030B5">
        <w:rPr>
          <w:rFonts w:ascii="Times New Roman" w:hAnsi="Times New Roman" w:cs="Times New Roman"/>
          <w:i/>
        </w:rPr>
        <w:t xml:space="preserve">  </w:t>
      </w:r>
      <w:r w:rsidRPr="00E030B5">
        <w:rPr>
          <w:rFonts w:ascii="Times New Roman" w:hAnsi="Times New Roman" w:cs="Times New Roman"/>
        </w:rPr>
        <w:t>The overall variation was significantly affected by the treatment combination (</w:t>
      </w:r>
      <w:proofErr w:type="spellStart"/>
      <w:r w:rsidRPr="00E030B5">
        <w:rPr>
          <w:rFonts w:ascii="Times New Roman" w:hAnsi="Times New Roman" w:cs="Times New Roman"/>
        </w:rPr>
        <w:t>Levene’s</w:t>
      </w:r>
      <w:proofErr w:type="spellEnd"/>
      <w:r w:rsidRPr="00E030B5">
        <w:rPr>
          <w:rFonts w:ascii="Times New Roman" w:hAnsi="Times New Roman" w:cs="Times New Roman"/>
        </w:rPr>
        <w:t xml:space="preserve"> Test, p&lt; 0.001, df = 10,112). Significance of </w:t>
      </w:r>
      <w:r w:rsidRPr="00E030B5">
        <w:rPr>
          <w:rFonts w:ascii="Times New Roman" w:hAnsi="Times New Roman" w:cs="Times New Roman"/>
          <w:i/>
        </w:rPr>
        <w:t xml:space="preserve">post-hoc </w:t>
      </w:r>
      <w:proofErr w:type="spellStart"/>
      <w:r w:rsidRPr="00E030B5">
        <w:rPr>
          <w:rFonts w:ascii="Times New Roman" w:hAnsi="Times New Roman" w:cs="Times New Roman"/>
        </w:rPr>
        <w:t>Levene’s</w:t>
      </w:r>
      <w:proofErr w:type="spellEnd"/>
      <w:r w:rsidRPr="00E030B5">
        <w:rPr>
          <w:rFonts w:ascii="Times New Roman" w:hAnsi="Times New Roman" w:cs="Times New Roman"/>
        </w:rPr>
        <w:t xml:space="preserve"> pairwise comparisons indicated by the bars above the figure (***p&lt; 0.001). Individual treatments represent RGR of single </w:t>
      </w:r>
      <w:r w:rsidRPr="00E030B5">
        <w:rPr>
          <w:rFonts w:ascii="Times New Roman" w:hAnsi="Times New Roman" w:cs="Times New Roman"/>
          <w:i/>
        </w:rPr>
        <w:t xml:space="preserve">S. </w:t>
      </w:r>
      <w:proofErr w:type="spellStart"/>
      <w:r w:rsidRPr="00E030B5">
        <w:rPr>
          <w:rFonts w:ascii="Times New Roman" w:hAnsi="Times New Roman" w:cs="Times New Roman"/>
          <w:i/>
        </w:rPr>
        <w:t>exigua</w:t>
      </w:r>
      <w:proofErr w:type="spellEnd"/>
      <w:r w:rsidRPr="00E030B5">
        <w:rPr>
          <w:rFonts w:ascii="Times New Roman" w:hAnsi="Times New Roman" w:cs="Times New Roman"/>
        </w:rPr>
        <w:t xml:space="preserve"> that were confined to one plant, whereas </w:t>
      </w:r>
      <w:r w:rsidR="00D77D0A" w:rsidRPr="00E030B5">
        <w:rPr>
          <w:rFonts w:ascii="Times New Roman" w:hAnsi="Times New Roman" w:cs="Times New Roman"/>
        </w:rPr>
        <w:t>movement</w:t>
      </w:r>
      <w:r w:rsidRPr="00E030B5">
        <w:rPr>
          <w:rFonts w:ascii="Times New Roman" w:hAnsi="Times New Roman" w:cs="Times New Roman"/>
        </w:rPr>
        <w:t xml:space="preserve"> treatments represent RGR when six </w:t>
      </w:r>
      <w:r w:rsidRPr="00E030B5">
        <w:rPr>
          <w:rFonts w:ascii="Times New Roman" w:hAnsi="Times New Roman" w:cs="Times New Roman"/>
          <w:i/>
        </w:rPr>
        <w:t xml:space="preserve">S. </w:t>
      </w:r>
      <w:proofErr w:type="spellStart"/>
      <w:r w:rsidRPr="00E030B5">
        <w:rPr>
          <w:rFonts w:ascii="Times New Roman" w:hAnsi="Times New Roman" w:cs="Times New Roman"/>
          <w:i/>
        </w:rPr>
        <w:t>exigua</w:t>
      </w:r>
      <w:proofErr w:type="spellEnd"/>
      <w:r w:rsidRPr="00E030B5">
        <w:rPr>
          <w:rFonts w:ascii="Times New Roman" w:hAnsi="Times New Roman" w:cs="Times New Roman"/>
          <w:i/>
        </w:rPr>
        <w:t xml:space="preserve"> </w:t>
      </w:r>
      <w:r w:rsidRPr="00E030B5">
        <w:rPr>
          <w:rFonts w:ascii="Times New Roman" w:hAnsi="Times New Roman" w:cs="Times New Roman"/>
        </w:rPr>
        <w:t xml:space="preserve">were allowed to move among six clustered plants. </w:t>
      </w:r>
    </w:p>
    <w:p w14:paraId="79C1E84E" w14:textId="51EAAD42" w:rsidR="00C53D27" w:rsidRPr="00E030B5" w:rsidRDefault="0025410D">
      <w:pPr>
        <w:rPr>
          <w:rFonts w:ascii="Times New Roman" w:hAnsi="Times New Roman" w:cs="Times New Roman"/>
        </w:rPr>
      </w:pPr>
      <w:r w:rsidRPr="00E030B5">
        <w:rPr>
          <w:rFonts w:ascii="Times New Roman" w:hAnsi="Times New Roman" w:cs="Times New Roman"/>
        </w:rPr>
        <w:br w:type="page"/>
      </w:r>
    </w:p>
    <w:p w14:paraId="1EF9F4DE" w14:textId="77777777" w:rsidR="00C53D27" w:rsidRPr="00E030B5" w:rsidRDefault="0025410D">
      <w:pPr>
        <w:rPr>
          <w:rFonts w:ascii="Times New Roman" w:hAnsi="Times New Roman" w:cs="Times New Roman"/>
        </w:rPr>
      </w:pPr>
      <w:r w:rsidRPr="00E030B5">
        <w:rPr>
          <w:rFonts w:ascii="Times New Roman" w:hAnsi="Times New Roman" w:cs="Times New Roman"/>
          <w:noProof/>
          <w:sz w:val="28"/>
          <w:szCs w:val="28"/>
        </w:rPr>
        <w:lastRenderedPageBreak/>
        <w:drawing>
          <wp:inline distT="114300" distB="114300" distL="114300" distR="114300" wp14:anchorId="0FD1AF1B" wp14:editId="7A375B6C">
            <wp:extent cx="5943600" cy="2905125"/>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b="13105"/>
                    <a:stretch>
                      <a:fillRect/>
                    </a:stretch>
                  </pic:blipFill>
                  <pic:spPr>
                    <a:xfrm>
                      <a:off x="0" y="0"/>
                      <a:ext cx="5943600" cy="2905125"/>
                    </a:xfrm>
                    <a:prstGeom prst="rect">
                      <a:avLst/>
                    </a:prstGeom>
                    <a:ln/>
                  </pic:spPr>
                </pic:pic>
              </a:graphicData>
            </a:graphic>
          </wp:inline>
        </w:drawing>
      </w:r>
    </w:p>
    <w:p w14:paraId="7633BE4A" w14:textId="7D27CE8B" w:rsidR="00FD3E77" w:rsidRPr="00E030B5" w:rsidRDefault="0025410D">
      <w:pPr>
        <w:rPr>
          <w:rFonts w:ascii="Times New Roman" w:hAnsi="Times New Roman" w:cs="Times New Roman"/>
        </w:rPr>
      </w:pPr>
      <w:r w:rsidRPr="00E030B5">
        <w:rPr>
          <w:rFonts w:ascii="Times New Roman" w:hAnsi="Times New Roman" w:cs="Times New Roman"/>
          <w:b/>
        </w:rPr>
        <w:t xml:space="preserve">Figure 4. </w:t>
      </w:r>
      <w:r w:rsidRPr="00E030B5">
        <w:rPr>
          <w:rFonts w:ascii="Times New Roman" w:hAnsi="Times New Roman" w:cs="Times New Roman"/>
        </w:rPr>
        <w:t xml:space="preserve">Effects of nutrient enrichment on variance in among plant mean percent leaf damage from the </w:t>
      </w:r>
      <w:r w:rsidRPr="00E030B5">
        <w:rPr>
          <w:rFonts w:ascii="Times New Roman" w:hAnsi="Times New Roman" w:cs="Times New Roman"/>
          <w:i/>
        </w:rPr>
        <w:t xml:space="preserve">Spodoptera </w:t>
      </w:r>
      <w:proofErr w:type="spellStart"/>
      <w:r w:rsidRPr="00E030B5">
        <w:rPr>
          <w:rFonts w:ascii="Times New Roman" w:hAnsi="Times New Roman" w:cs="Times New Roman"/>
          <w:i/>
        </w:rPr>
        <w:t>exigua</w:t>
      </w:r>
      <w:proofErr w:type="spellEnd"/>
      <w:r w:rsidRPr="00E030B5">
        <w:rPr>
          <w:rFonts w:ascii="Times New Roman" w:hAnsi="Times New Roman" w:cs="Times New Roman"/>
          <w:i/>
        </w:rPr>
        <w:t>.</w:t>
      </w:r>
      <w:r w:rsidRPr="00E030B5">
        <w:rPr>
          <w:rFonts w:ascii="Times New Roman" w:hAnsi="Times New Roman" w:cs="Times New Roman"/>
          <w:b/>
        </w:rPr>
        <w:t xml:space="preserve"> </w:t>
      </w:r>
      <w:r w:rsidRPr="00E030B5">
        <w:rPr>
          <w:rFonts w:ascii="Times New Roman" w:hAnsi="Times New Roman" w:cs="Times New Roman"/>
        </w:rPr>
        <w:t xml:space="preserve">The overall variation was significantly affected by treatment combination (p&lt;0.001, df = 13, 238). Significance of </w:t>
      </w:r>
      <w:r w:rsidRPr="00E030B5">
        <w:rPr>
          <w:rFonts w:ascii="Times New Roman" w:hAnsi="Times New Roman" w:cs="Times New Roman"/>
          <w:i/>
        </w:rPr>
        <w:t xml:space="preserve">post-hoc </w:t>
      </w:r>
      <w:proofErr w:type="spellStart"/>
      <w:r w:rsidRPr="00E030B5">
        <w:rPr>
          <w:rFonts w:ascii="Times New Roman" w:hAnsi="Times New Roman" w:cs="Times New Roman"/>
        </w:rPr>
        <w:t>Levene’s</w:t>
      </w:r>
      <w:proofErr w:type="spellEnd"/>
      <w:r w:rsidRPr="00E030B5">
        <w:rPr>
          <w:rFonts w:ascii="Times New Roman" w:hAnsi="Times New Roman" w:cs="Times New Roman"/>
        </w:rPr>
        <w:t xml:space="preserve"> pairwise comparisons indicated by the bars above the figure (***p&lt; 0.001). No movement treatments represent among plant mean percent damage from single </w:t>
      </w:r>
      <w:r w:rsidRPr="00E030B5">
        <w:rPr>
          <w:rFonts w:ascii="Times New Roman" w:hAnsi="Times New Roman" w:cs="Times New Roman"/>
          <w:i/>
        </w:rPr>
        <w:t xml:space="preserve">S. </w:t>
      </w:r>
      <w:proofErr w:type="spellStart"/>
      <w:r w:rsidRPr="00E030B5">
        <w:rPr>
          <w:rFonts w:ascii="Times New Roman" w:hAnsi="Times New Roman" w:cs="Times New Roman"/>
          <w:i/>
        </w:rPr>
        <w:t>exigua</w:t>
      </w:r>
      <w:proofErr w:type="spellEnd"/>
      <w:r w:rsidRPr="00E030B5">
        <w:rPr>
          <w:rFonts w:ascii="Times New Roman" w:hAnsi="Times New Roman" w:cs="Times New Roman"/>
        </w:rPr>
        <w:t xml:space="preserve"> that were confined to one plant, whereas movement treatments represent among plant mean percent damage when six </w:t>
      </w:r>
      <w:r w:rsidRPr="00E030B5">
        <w:rPr>
          <w:rFonts w:ascii="Times New Roman" w:hAnsi="Times New Roman" w:cs="Times New Roman"/>
          <w:i/>
        </w:rPr>
        <w:t xml:space="preserve">S. </w:t>
      </w:r>
      <w:proofErr w:type="spellStart"/>
      <w:r w:rsidRPr="00E030B5">
        <w:rPr>
          <w:rFonts w:ascii="Times New Roman" w:hAnsi="Times New Roman" w:cs="Times New Roman"/>
          <w:i/>
        </w:rPr>
        <w:t>exigua</w:t>
      </w:r>
      <w:proofErr w:type="spellEnd"/>
      <w:r w:rsidRPr="00E030B5">
        <w:rPr>
          <w:rFonts w:ascii="Times New Roman" w:hAnsi="Times New Roman" w:cs="Times New Roman"/>
          <w:i/>
        </w:rPr>
        <w:t xml:space="preserve"> </w:t>
      </w:r>
      <w:r w:rsidRPr="00E030B5">
        <w:rPr>
          <w:rFonts w:ascii="Times New Roman" w:hAnsi="Times New Roman" w:cs="Times New Roman"/>
        </w:rPr>
        <w:t>were allowed to move among six clustered plants.</w:t>
      </w:r>
    </w:p>
    <w:p w14:paraId="7B2B9471" w14:textId="77777777" w:rsidR="00FD3E77" w:rsidRPr="00E030B5" w:rsidRDefault="00FD3E77">
      <w:pPr>
        <w:rPr>
          <w:rFonts w:ascii="Times New Roman" w:hAnsi="Times New Roman" w:cs="Times New Roman"/>
        </w:rPr>
      </w:pPr>
      <w:r w:rsidRPr="00E030B5">
        <w:rPr>
          <w:rFonts w:ascii="Times New Roman" w:hAnsi="Times New Roman" w:cs="Times New Roman"/>
        </w:rPr>
        <w:br w:type="page"/>
      </w:r>
    </w:p>
    <w:p w14:paraId="235418DE" w14:textId="77777777" w:rsidR="00C53D27" w:rsidRPr="00E030B5" w:rsidRDefault="0025410D">
      <w:pPr>
        <w:rPr>
          <w:rFonts w:ascii="Times New Roman" w:hAnsi="Times New Roman" w:cs="Times New Roman"/>
        </w:rPr>
      </w:pPr>
      <w:r w:rsidRPr="00E030B5">
        <w:rPr>
          <w:rFonts w:ascii="Times New Roman" w:hAnsi="Times New Roman" w:cs="Times New Roman"/>
          <w:noProof/>
        </w:rPr>
        <w:lastRenderedPageBreak/>
        <w:drawing>
          <wp:inline distT="114300" distB="114300" distL="114300" distR="114300" wp14:anchorId="38BB3C6A" wp14:editId="020983DB">
            <wp:extent cx="5943600" cy="2905125"/>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b="13105"/>
                    <a:stretch>
                      <a:fillRect/>
                    </a:stretch>
                  </pic:blipFill>
                  <pic:spPr>
                    <a:xfrm>
                      <a:off x="0" y="0"/>
                      <a:ext cx="5943600" cy="2905125"/>
                    </a:xfrm>
                    <a:prstGeom prst="rect">
                      <a:avLst/>
                    </a:prstGeom>
                    <a:ln/>
                  </pic:spPr>
                </pic:pic>
              </a:graphicData>
            </a:graphic>
          </wp:inline>
        </w:drawing>
      </w:r>
    </w:p>
    <w:p w14:paraId="517F0B6D" w14:textId="7FA55F1D" w:rsidR="00FD3E77" w:rsidRPr="00E030B5" w:rsidRDefault="0025410D" w:rsidP="00FD3E77">
      <w:pPr>
        <w:rPr>
          <w:rFonts w:ascii="Times New Roman" w:hAnsi="Times New Roman" w:cs="Times New Roman"/>
        </w:rPr>
      </w:pPr>
      <w:r w:rsidRPr="00E030B5">
        <w:rPr>
          <w:rFonts w:ascii="Times New Roman" w:hAnsi="Times New Roman" w:cs="Times New Roman"/>
          <w:b/>
        </w:rPr>
        <w:t>Figure 5.</w:t>
      </w:r>
      <w:r w:rsidRPr="00E030B5">
        <w:rPr>
          <w:rFonts w:ascii="Times New Roman" w:hAnsi="Times New Roman" w:cs="Times New Roman"/>
        </w:rPr>
        <w:t xml:space="preserve"> Associational effects influence variation in mean percent leaf damage. The overall variation was significantly affected by treatment combination </w:t>
      </w:r>
      <w:r w:rsidRPr="00E030B5">
        <w:rPr>
          <w:rFonts w:ascii="Times New Roman" w:hAnsi="Times New Roman" w:cs="Times New Roman"/>
          <w:highlight w:val="white"/>
        </w:rPr>
        <w:t>(</w:t>
      </w:r>
      <w:proofErr w:type="spellStart"/>
      <w:r w:rsidRPr="00E030B5">
        <w:rPr>
          <w:rFonts w:ascii="Times New Roman" w:hAnsi="Times New Roman" w:cs="Times New Roman"/>
        </w:rPr>
        <w:t>Levene's</w:t>
      </w:r>
      <w:proofErr w:type="spellEnd"/>
      <w:r w:rsidRPr="00E030B5">
        <w:rPr>
          <w:rFonts w:ascii="Times New Roman" w:hAnsi="Times New Roman" w:cs="Times New Roman"/>
        </w:rPr>
        <w:t xml:space="preserve"> Test, df = 11,117, p&lt; 0.001). Significance of </w:t>
      </w:r>
      <w:r w:rsidRPr="00E030B5">
        <w:rPr>
          <w:rFonts w:ascii="Times New Roman" w:hAnsi="Times New Roman" w:cs="Times New Roman"/>
          <w:i/>
        </w:rPr>
        <w:t xml:space="preserve">post-hoc </w:t>
      </w:r>
      <w:proofErr w:type="spellStart"/>
      <w:r w:rsidRPr="00E030B5">
        <w:rPr>
          <w:rFonts w:ascii="Times New Roman" w:hAnsi="Times New Roman" w:cs="Times New Roman"/>
        </w:rPr>
        <w:t>Levene’s</w:t>
      </w:r>
      <w:proofErr w:type="spellEnd"/>
      <w:r w:rsidRPr="00E030B5">
        <w:rPr>
          <w:rFonts w:ascii="Times New Roman" w:hAnsi="Times New Roman" w:cs="Times New Roman"/>
        </w:rPr>
        <w:t xml:space="preserve"> pairwise comparisons indicated by the bars above the figure (***p&lt; 0.001). No movement treatments represent among plant mean percent damage from a single </w:t>
      </w:r>
      <w:r w:rsidRPr="00E030B5">
        <w:rPr>
          <w:rFonts w:ascii="Times New Roman" w:hAnsi="Times New Roman" w:cs="Times New Roman"/>
          <w:i/>
        </w:rPr>
        <w:t xml:space="preserve">S. </w:t>
      </w:r>
      <w:proofErr w:type="spellStart"/>
      <w:r w:rsidRPr="00E030B5">
        <w:rPr>
          <w:rFonts w:ascii="Times New Roman" w:hAnsi="Times New Roman" w:cs="Times New Roman"/>
          <w:i/>
        </w:rPr>
        <w:t>exigua</w:t>
      </w:r>
      <w:proofErr w:type="spellEnd"/>
      <w:r w:rsidRPr="00E030B5">
        <w:rPr>
          <w:rFonts w:ascii="Times New Roman" w:hAnsi="Times New Roman" w:cs="Times New Roman"/>
        </w:rPr>
        <w:t xml:space="preserve"> that was confined to one plant, whereas movement treatments represent among plant mean percent damage when six </w:t>
      </w:r>
      <w:r w:rsidRPr="00E030B5">
        <w:rPr>
          <w:rFonts w:ascii="Times New Roman" w:hAnsi="Times New Roman" w:cs="Times New Roman"/>
          <w:i/>
        </w:rPr>
        <w:t xml:space="preserve">S. </w:t>
      </w:r>
      <w:proofErr w:type="spellStart"/>
      <w:r w:rsidRPr="00E030B5">
        <w:rPr>
          <w:rFonts w:ascii="Times New Roman" w:hAnsi="Times New Roman" w:cs="Times New Roman"/>
          <w:i/>
        </w:rPr>
        <w:t>exigua</w:t>
      </w:r>
      <w:proofErr w:type="spellEnd"/>
      <w:r w:rsidRPr="00E030B5">
        <w:rPr>
          <w:rFonts w:ascii="Times New Roman" w:hAnsi="Times New Roman" w:cs="Times New Roman"/>
          <w:i/>
        </w:rPr>
        <w:t xml:space="preserve"> </w:t>
      </w:r>
      <w:r w:rsidRPr="00E030B5">
        <w:rPr>
          <w:rFonts w:ascii="Times New Roman" w:hAnsi="Times New Roman" w:cs="Times New Roman"/>
        </w:rPr>
        <w:t>were allowed to move among six clustered plants.</w:t>
      </w:r>
    </w:p>
    <w:p w14:paraId="063ED91E" w14:textId="77777777" w:rsidR="00FD3E77" w:rsidRPr="00E030B5" w:rsidRDefault="00FD3E77">
      <w:pPr>
        <w:rPr>
          <w:rFonts w:ascii="Times New Roman" w:hAnsi="Times New Roman" w:cs="Times New Roman"/>
        </w:rPr>
      </w:pPr>
      <w:r w:rsidRPr="00E030B5">
        <w:rPr>
          <w:rFonts w:ascii="Times New Roman" w:hAnsi="Times New Roman" w:cs="Times New Roman"/>
        </w:rPr>
        <w:br w:type="page"/>
      </w:r>
    </w:p>
    <w:p w14:paraId="11E64119" w14:textId="77777777" w:rsidR="00C53D27" w:rsidRPr="00E030B5" w:rsidRDefault="0025410D">
      <w:pPr>
        <w:rPr>
          <w:rFonts w:ascii="Times New Roman" w:hAnsi="Times New Roman" w:cs="Times New Roman"/>
          <w:sz w:val="28"/>
          <w:szCs w:val="28"/>
        </w:rPr>
      </w:pPr>
      <w:r w:rsidRPr="00E030B5">
        <w:rPr>
          <w:rFonts w:ascii="Times New Roman" w:hAnsi="Times New Roman" w:cs="Times New Roman"/>
          <w:noProof/>
          <w:sz w:val="28"/>
          <w:szCs w:val="28"/>
        </w:rPr>
        <w:lastRenderedPageBreak/>
        <w:drawing>
          <wp:inline distT="114300" distB="114300" distL="114300" distR="114300" wp14:anchorId="421417C3" wp14:editId="17E07E51">
            <wp:extent cx="5943600" cy="33401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943600" cy="3340100"/>
                    </a:xfrm>
                    <a:prstGeom prst="rect">
                      <a:avLst/>
                    </a:prstGeom>
                    <a:ln/>
                  </pic:spPr>
                </pic:pic>
              </a:graphicData>
            </a:graphic>
          </wp:inline>
        </w:drawing>
      </w:r>
    </w:p>
    <w:p w14:paraId="495C1028" w14:textId="166B3733" w:rsidR="00FD3E77" w:rsidRPr="00E030B5" w:rsidRDefault="0025410D">
      <w:pPr>
        <w:rPr>
          <w:rFonts w:ascii="Times New Roman" w:hAnsi="Times New Roman" w:cs="Times New Roman"/>
        </w:rPr>
      </w:pPr>
      <w:r w:rsidRPr="00E030B5">
        <w:rPr>
          <w:rFonts w:ascii="Times New Roman" w:hAnsi="Times New Roman" w:cs="Times New Roman"/>
          <w:b/>
        </w:rPr>
        <w:t xml:space="preserve">Figure 6. </w:t>
      </w:r>
      <w:r w:rsidRPr="00E030B5">
        <w:rPr>
          <w:rFonts w:ascii="Times New Roman" w:hAnsi="Times New Roman" w:cs="Times New Roman"/>
        </w:rPr>
        <w:t>Effects of nutrient enrichment on variance in mean absolute leaf damage. The overall variation was significantly affected by treatment combination (</w:t>
      </w:r>
      <w:proofErr w:type="spellStart"/>
      <w:r w:rsidRPr="00E030B5">
        <w:rPr>
          <w:rFonts w:ascii="Times New Roman" w:hAnsi="Times New Roman" w:cs="Times New Roman"/>
        </w:rPr>
        <w:t>Levene’s</w:t>
      </w:r>
      <w:proofErr w:type="spellEnd"/>
      <w:r w:rsidRPr="00E030B5">
        <w:rPr>
          <w:rFonts w:ascii="Times New Roman" w:hAnsi="Times New Roman" w:cs="Times New Roman"/>
        </w:rPr>
        <w:t xml:space="preserve"> Test, p &lt; 0.001, df = 13, 238). Significance of </w:t>
      </w:r>
      <w:r w:rsidRPr="00E030B5">
        <w:rPr>
          <w:rFonts w:ascii="Times New Roman" w:hAnsi="Times New Roman" w:cs="Times New Roman"/>
          <w:i/>
        </w:rPr>
        <w:t xml:space="preserve">post-hoc </w:t>
      </w:r>
      <w:proofErr w:type="spellStart"/>
      <w:r w:rsidRPr="00E030B5">
        <w:rPr>
          <w:rFonts w:ascii="Times New Roman" w:hAnsi="Times New Roman" w:cs="Times New Roman"/>
        </w:rPr>
        <w:t>Levene’s</w:t>
      </w:r>
      <w:proofErr w:type="spellEnd"/>
      <w:r w:rsidRPr="00E030B5">
        <w:rPr>
          <w:rFonts w:ascii="Times New Roman" w:hAnsi="Times New Roman" w:cs="Times New Roman"/>
        </w:rPr>
        <w:t xml:space="preserve"> pairwise comparisons indicated by the bars above the figure </w:t>
      </w:r>
      <w:proofErr w:type="gramStart"/>
      <w:r w:rsidRPr="00E030B5">
        <w:rPr>
          <w:rFonts w:ascii="Times New Roman" w:hAnsi="Times New Roman" w:cs="Times New Roman"/>
        </w:rPr>
        <w:t>( *</w:t>
      </w:r>
      <w:proofErr w:type="gramEnd"/>
      <w:r w:rsidRPr="00E030B5">
        <w:rPr>
          <w:rFonts w:ascii="Times New Roman" w:hAnsi="Times New Roman" w:cs="Times New Roman"/>
        </w:rPr>
        <w:t xml:space="preserve">*p&lt; 0.01, ***p&lt; 0.001). No movement treatments represent absolute leaf damage from a single </w:t>
      </w:r>
      <w:r w:rsidRPr="00E030B5">
        <w:rPr>
          <w:rFonts w:ascii="Times New Roman" w:hAnsi="Times New Roman" w:cs="Times New Roman"/>
          <w:i/>
        </w:rPr>
        <w:t xml:space="preserve">S. </w:t>
      </w:r>
      <w:proofErr w:type="spellStart"/>
      <w:r w:rsidRPr="00E030B5">
        <w:rPr>
          <w:rFonts w:ascii="Times New Roman" w:hAnsi="Times New Roman" w:cs="Times New Roman"/>
          <w:i/>
        </w:rPr>
        <w:t>exigua</w:t>
      </w:r>
      <w:proofErr w:type="spellEnd"/>
      <w:r w:rsidRPr="00E030B5">
        <w:rPr>
          <w:rFonts w:ascii="Times New Roman" w:hAnsi="Times New Roman" w:cs="Times New Roman"/>
        </w:rPr>
        <w:t xml:space="preserve"> that was confined to one plant, whereas movement treatments represent absolute leaf damage when six </w:t>
      </w:r>
      <w:r w:rsidRPr="00E030B5">
        <w:rPr>
          <w:rFonts w:ascii="Times New Roman" w:hAnsi="Times New Roman" w:cs="Times New Roman"/>
          <w:i/>
        </w:rPr>
        <w:t xml:space="preserve">S. </w:t>
      </w:r>
      <w:proofErr w:type="spellStart"/>
      <w:r w:rsidRPr="00E030B5">
        <w:rPr>
          <w:rFonts w:ascii="Times New Roman" w:hAnsi="Times New Roman" w:cs="Times New Roman"/>
          <w:i/>
        </w:rPr>
        <w:t>exigua</w:t>
      </w:r>
      <w:proofErr w:type="spellEnd"/>
      <w:r w:rsidRPr="00E030B5">
        <w:rPr>
          <w:rFonts w:ascii="Times New Roman" w:hAnsi="Times New Roman" w:cs="Times New Roman"/>
          <w:i/>
        </w:rPr>
        <w:t xml:space="preserve"> </w:t>
      </w:r>
      <w:r w:rsidRPr="00E030B5">
        <w:rPr>
          <w:rFonts w:ascii="Times New Roman" w:hAnsi="Times New Roman" w:cs="Times New Roman"/>
        </w:rPr>
        <w:t>were allowed to move among six clustered plants.</w:t>
      </w:r>
    </w:p>
    <w:p w14:paraId="2A314D16" w14:textId="77777777" w:rsidR="00FD3E77" w:rsidRPr="00E030B5" w:rsidRDefault="00FD3E77">
      <w:pPr>
        <w:rPr>
          <w:rFonts w:ascii="Times New Roman" w:hAnsi="Times New Roman" w:cs="Times New Roman"/>
        </w:rPr>
      </w:pPr>
      <w:r w:rsidRPr="00E030B5">
        <w:rPr>
          <w:rFonts w:ascii="Times New Roman" w:hAnsi="Times New Roman" w:cs="Times New Roman"/>
        </w:rPr>
        <w:br w:type="page"/>
      </w:r>
    </w:p>
    <w:p w14:paraId="3F7DA647" w14:textId="77777777" w:rsidR="00C53D27" w:rsidRPr="00E030B5" w:rsidRDefault="0025410D">
      <w:pPr>
        <w:rPr>
          <w:rFonts w:ascii="Times New Roman" w:hAnsi="Times New Roman" w:cs="Times New Roman"/>
        </w:rPr>
      </w:pPr>
      <w:r w:rsidRPr="00E030B5">
        <w:rPr>
          <w:rFonts w:ascii="Times New Roman" w:hAnsi="Times New Roman" w:cs="Times New Roman"/>
          <w:noProof/>
        </w:rPr>
        <w:lastRenderedPageBreak/>
        <w:drawing>
          <wp:inline distT="114300" distB="114300" distL="114300" distR="114300" wp14:anchorId="1A5AB82E" wp14:editId="25586C84">
            <wp:extent cx="5943600" cy="28829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b="13530"/>
                    <a:stretch>
                      <a:fillRect/>
                    </a:stretch>
                  </pic:blipFill>
                  <pic:spPr>
                    <a:xfrm>
                      <a:off x="0" y="0"/>
                      <a:ext cx="5943600" cy="2882900"/>
                    </a:xfrm>
                    <a:prstGeom prst="rect">
                      <a:avLst/>
                    </a:prstGeom>
                    <a:ln/>
                  </pic:spPr>
                </pic:pic>
              </a:graphicData>
            </a:graphic>
          </wp:inline>
        </w:drawing>
      </w:r>
    </w:p>
    <w:p w14:paraId="5260C317" w14:textId="08C72DC2" w:rsidR="00FD3E77" w:rsidRPr="00E030B5" w:rsidRDefault="0025410D">
      <w:pPr>
        <w:rPr>
          <w:rFonts w:ascii="Times New Roman" w:hAnsi="Times New Roman" w:cs="Times New Roman"/>
        </w:rPr>
      </w:pPr>
      <w:r w:rsidRPr="00E030B5">
        <w:rPr>
          <w:rFonts w:ascii="Times New Roman" w:hAnsi="Times New Roman" w:cs="Times New Roman"/>
          <w:b/>
        </w:rPr>
        <w:t>Figure 7.</w:t>
      </w:r>
      <w:r w:rsidRPr="00E030B5">
        <w:rPr>
          <w:rFonts w:ascii="Times New Roman" w:hAnsi="Times New Roman" w:cs="Times New Roman"/>
        </w:rPr>
        <w:t xml:space="preserve"> Associational effects influence variation in mean absolute leaf damage from the </w:t>
      </w:r>
      <w:r w:rsidRPr="00E030B5">
        <w:rPr>
          <w:rFonts w:ascii="Times New Roman" w:hAnsi="Times New Roman" w:cs="Times New Roman"/>
          <w:i/>
        </w:rPr>
        <w:t xml:space="preserve">S. </w:t>
      </w:r>
      <w:proofErr w:type="spellStart"/>
      <w:r w:rsidRPr="00E030B5">
        <w:rPr>
          <w:rFonts w:ascii="Times New Roman" w:hAnsi="Times New Roman" w:cs="Times New Roman"/>
          <w:i/>
        </w:rPr>
        <w:t>exigua</w:t>
      </w:r>
      <w:proofErr w:type="spellEnd"/>
      <w:r w:rsidRPr="00E030B5">
        <w:rPr>
          <w:rFonts w:ascii="Times New Roman" w:hAnsi="Times New Roman" w:cs="Times New Roman"/>
        </w:rPr>
        <w:t>. The overall variation was significantly affected by treatment combination (</w:t>
      </w:r>
      <w:proofErr w:type="spellStart"/>
      <w:r w:rsidRPr="00E030B5">
        <w:rPr>
          <w:rFonts w:ascii="Times New Roman" w:hAnsi="Times New Roman" w:cs="Times New Roman"/>
        </w:rPr>
        <w:t>Levene’s</w:t>
      </w:r>
      <w:proofErr w:type="spellEnd"/>
      <w:r w:rsidRPr="00E030B5">
        <w:rPr>
          <w:rFonts w:ascii="Times New Roman" w:hAnsi="Times New Roman" w:cs="Times New Roman"/>
        </w:rPr>
        <w:t xml:space="preserve"> Test, df = 8, 153 p &lt; 0.001). Significance of </w:t>
      </w:r>
      <w:r w:rsidRPr="00E030B5">
        <w:rPr>
          <w:rFonts w:ascii="Times New Roman" w:hAnsi="Times New Roman" w:cs="Times New Roman"/>
          <w:i/>
        </w:rPr>
        <w:t xml:space="preserve">post-hoc </w:t>
      </w:r>
      <w:proofErr w:type="spellStart"/>
      <w:r w:rsidRPr="00E030B5">
        <w:rPr>
          <w:rFonts w:ascii="Times New Roman" w:hAnsi="Times New Roman" w:cs="Times New Roman"/>
        </w:rPr>
        <w:t>Levene’s</w:t>
      </w:r>
      <w:proofErr w:type="spellEnd"/>
      <w:r w:rsidRPr="00E030B5">
        <w:rPr>
          <w:rFonts w:ascii="Times New Roman" w:hAnsi="Times New Roman" w:cs="Times New Roman"/>
        </w:rPr>
        <w:t xml:space="preserve"> pairwise comparisons indicated by the bars above the figure (***p&lt; 0.001). No movement treatments represent absolute leaf damage from a single </w:t>
      </w:r>
      <w:r w:rsidRPr="00E030B5">
        <w:rPr>
          <w:rFonts w:ascii="Times New Roman" w:hAnsi="Times New Roman" w:cs="Times New Roman"/>
          <w:i/>
        </w:rPr>
        <w:t xml:space="preserve">S. </w:t>
      </w:r>
      <w:proofErr w:type="spellStart"/>
      <w:r w:rsidRPr="00E030B5">
        <w:rPr>
          <w:rFonts w:ascii="Times New Roman" w:hAnsi="Times New Roman" w:cs="Times New Roman"/>
          <w:i/>
        </w:rPr>
        <w:t>exigua</w:t>
      </w:r>
      <w:proofErr w:type="spellEnd"/>
      <w:r w:rsidRPr="00E030B5">
        <w:rPr>
          <w:rFonts w:ascii="Times New Roman" w:hAnsi="Times New Roman" w:cs="Times New Roman"/>
        </w:rPr>
        <w:t xml:space="preserve"> that was confined to one plant, whereas movement treatments represent absolute leaf damage when six </w:t>
      </w:r>
      <w:r w:rsidRPr="00E030B5">
        <w:rPr>
          <w:rFonts w:ascii="Times New Roman" w:hAnsi="Times New Roman" w:cs="Times New Roman"/>
          <w:i/>
        </w:rPr>
        <w:t xml:space="preserve">S. </w:t>
      </w:r>
      <w:proofErr w:type="spellStart"/>
      <w:r w:rsidRPr="00E030B5">
        <w:rPr>
          <w:rFonts w:ascii="Times New Roman" w:hAnsi="Times New Roman" w:cs="Times New Roman"/>
          <w:i/>
        </w:rPr>
        <w:t>exigua</w:t>
      </w:r>
      <w:proofErr w:type="spellEnd"/>
      <w:r w:rsidRPr="00E030B5">
        <w:rPr>
          <w:rFonts w:ascii="Times New Roman" w:hAnsi="Times New Roman" w:cs="Times New Roman"/>
          <w:i/>
        </w:rPr>
        <w:t xml:space="preserve"> </w:t>
      </w:r>
      <w:r w:rsidRPr="00E030B5">
        <w:rPr>
          <w:rFonts w:ascii="Times New Roman" w:hAnsi="Times New Roman" w:cs="Times New Roman"/>
        </w:rPr>
        <w:t>were allowed to move among six clustered plants.</w:t>
      </w:r>
    </w:p>
    <w:p w14:paraId="57FC035D" w14:textId="77777777" w:rsidR="00FD3E77" w:rsidRPr="00E030B5" w:rsidRDefault="00FD3E77">
      <w:pPr>
        <w:rPr>
          <w:rFonts w:ascii="Times New Roman" w:hAnsi="Times New Roman" w:cs="Times New Roman"/>
        </w:rPr>
      </w:pPr>
      <w:r w:rsidRPr="00E030B5">
        <w:rPr>
          <w:rFonts w:ascii="Times New Roman" w:hAnsi="Times New Roman" w:cs="Times New Roman"/>
        </w:rPr>
        <w:br w:type="page"/>
      </w:r>
    </w:p>
    <w:p w14:paraId="54E8D40A" w14:textId="77777777" w:rsidR="00C53D27" w:rsidRPr="00E030B5" w:rsidRDefault="0025410D">
      <w:pPr>
        <w:rPr>
          <w:rFonts w:ascii="Times New Roman" w:hAnsi="Times New Roman" w:cs="Times New Roman"/>
        </w:rPr>
      </w:pPr>
      <w:r w:rsidRPr="00E030B5">
        <w:rPr>
          <w:rFonts w:ascii="Times New Roman" w:hAnsi="Times New Roman" w:cs="Times New Roman"/>
          <w:noProof/>
        </w:rPr>
        <w:lastRenderedPageBreak/>
        <w:drawing>
          <wp:inline distT="114300" distB="114300" distL="114300" distR="114300" wp14:anchorId="4C47D972" wp14:editId="7B6DCDEA">
            <wp:extent cx="5438775" cy="36957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5438775" cy="3695700"/>
                    </a:xfrm>
                    <a:prstGeom prst="rect">
                      <a:avLst/>
                    </a:prstGeom>
                    <a:ln/>
                  </pic:spPr>
                </pic:pic>
              </a:graphicData>
            </a:graphic>
          </wp:inline>
        </w:drawing>
      </w:r>
    </w:p>
    <w:p w14:paraId="031B6664" w14:textId="0842EEB7" w:rsidR="00FD3E77" w:rsidRPr="00E030B5" w:rsidRDefault="0025410D">
      <w:pPr>
        <w:rPr>
          <w:rFonts w:ascii="Times New Roman" w:hAnsi="Times New Roman" w:cs="Times New Roman"/>
        </w:rPr>
      </w:pPr>
      <w:r w:rsidRPr="00E030B5">
        <w:rPr>
          <w:rFonts w:ascii="Times New Roman" w:hAnsi="Times New Roman" w:cs="Times New Roman"/>
          <w:b/>
        </w:rPr>
        <w:t>Figure 8.</w:t>
      </w:r>
      <w:r w:rsidRPr="00E030B5">
        <w:rPr>
          <w:rFonts w:ascii="Times New Roman" w:hAnsi="Times New Roman" w:cs="Times New Roman"/>
        </w:rPr>
        <w:t xml:space="preserve"> The overall effects of nutrient enrichment on within plant variation from the </w:t>
      </w:r>
      <w:r w:rsidRPr="00E030B5">
        <w:rPr>
          <w:rFonts w:ascii="Times New Roman" w:hAnsi="Times New Roman" w:cs="Times New Roman"/>
          <w:i/>
        </w:rPr>
        <w:t xml:space="preserve">S. </w:t>
      </w:r>
      <w:proofErr w:type="spellStart"/>
      <w:r w:rsidRPr="00E030B5">
        <w:rPr>
          <w:rFonts w:ascii="Times New Roman" w:hAnsi="Times New Roman" w:cs="Times New Roman"/>
          <w:i/>
        </w:rPr>
        <w:t>exigua</w:t>
      </w:r>
      <w:proofErr w:type="spellEnd"/>
      <w:r w:rsidRPr="00E030B5">
        <w:rPr>
          <w:rFonts w:ascii="Times New Roman" w:hAnsi="Times New Roman" w:cs="Times New Roman"/>
        </w:rPr>
        <w:t xml:space="preserve">. There was a statistically significant effect of treatment combination on the coefficient of variation (LMER, df = 3, 231, p &lt; 0.01). No movement treatments represent within plant damage from a single </w:t>
      </w:r>
      <w:r w:rsidRPr="00E030B5">
        <w:rPr>
          <w:rFonts w:ascii="Times New Roman" w:hAnsi="Times New Roman" w:cs="Times New Roman"/>
          <w:i/>
        </w:rPr>
        <w:t xml:space="preserve">S. </w:t>
      </w:r>
      <w:proofErr w:type="spellStart"/>
      <w:r w:rsidRPr="00E030B5">
        <w:rPr>
          <w:rFonts w:ascii="Times New Roman" w:hAnsi="Times New Roman" w:cs="Times New Roman"/>
          <w:i/>
        </w:rPr>
        <w:t>exigua</w:t>
      </w:r>
      <w:proofErr w:type="spellEnd"/>
      <w:r w:rsidRPr="00E030B5">
        <w:rPr>
          <w:rFonts w:ascii="Times New Roman" w:hAnsi="Times New Roman" w:cs="Times New Roman"/>
        </w:rPr>
        <w:t xml:space="preserve"> that was confined to one plant, whereas movement treatments represent within plant damage when six </w:t>
      </w:r>
      <w:r w:rsidRPr="00E030B5">
        <w:rPr>
          <w:rFonts w:ascii="Times New Roman" w:hAnsi="Times New Roman" w:cs="Times New Roman"/>
          <w:i/>
        </w:rPr>
        <w:t xml:space="preserve">S. </w:t>
      </w:r>
      <w:proofErr w:type="spellStart"/>
      <w:r w:rsidRPr="00E030B5">
        <w:rPr>
          <w:rFonts w:ascii="Times New Roman" w:hAnsi="Times New Roman" w:cs="Times New Roman"/>
          <w:i/>
        </w:rPr>
        <w:t>exigua</w:t>
      </w:r>
      <w:proofErr w:type="spellEnd"/>
      <w:r w:rsidRPr="00E030B5">
        <w:rPr>
          <w:rFonts w:ascii="Times New Roman" w:hAnsi="Times New Roman" w:cs="Times New Roman"/>
          <w:i/>
        </w:rPr>
        <w:t xml:space="preserve"> </w:t>
      </w:r>
      <w:r w:rsidRPr="00E030B5">
        <w:rPr>
          <w:rFonts w:ascii="Times New Roman" w:hAnsi="Times New Roman" w:cs="Times New Roman"/>
        </w:rPr>
        <w:t>were allowed to move among six clustered plants.</w:t>
      </w:r>
    </w:p>
    <w:p w14:paraId="0ACCA5C5" w14:textId="77777777" w:rsidR="00FD3E77" w:rsidRPr="00E030B5" w:rsidRDefault="00FD3E77">
      <w:pPr>
        <w:rPr>
          <w:rFonts w:ascii="Times New Roman" w:hAnsi="Times New Roman" w:cs="Times New Roman"/>
        </w:rPr>
      </w:pPr>
      <w:r w:rsidRPr="00E030B5">
        <w:rPr>
          <w:rFonts w:ascii="Times New Roman" w:hAnsi="Times New Roman" w:cs="Times New Roman"/>
        </w:rPr>
        <w:br w:type="page"/>
      </w:r>
    </w:p>
    <w:p w14:paraId="081DE2B2" w14:textId="77777777" w:rsidR="00C53D27" w:rsidRPr="00E030B5" w:rsidRDefault="0025410D">
      <w:pPr>
        <w:rPr>
          <w:rFonts w:ascii="Times New Roman" w:hAnsi="Times New Roman" w:cs="Times New Roman"/>
        </w:rPr>
      </w:pPr>
      <w:r w:rsidRPr="00E030B5">
        <w:rPr>
          <w:rFonts w:ascii="Times New Roman" w:hAnsi="Times New Roman" w:cs="Times New Roman"/>
          <w:noProof/>
        </w:rPr>
        <w:lastRenderedPageBreak/>
        <w:drawing>
          <wp:inline distT="114300" distB="114300" distL="114300" distR="114300" wp14:anchorId="3E81929A" wp14:editId="0BE1FCE2">
            <wp:extent cx="5943600" cy="29718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2971800"/>
                    </a:xfrm>
                    <a:prstGeom prst="rect">
                      <a:avLst/>
                    </a:prstGeom>
                    <a:ln/>
                  </pic:spPr>
                </pic:pic>
              </a:graphicData>
            </a:graphic>
          </wp:inline>
        </w:drawing>
      </w:r>
    </w:p>
    <w:p w14:paraId="7D8E7052" w14:textId="77777777" w:rsidR="00C53D27" w:rsidRPr="00E030B5" w:rsidRDefault="0025410D">
      <w:pPr>
        <w:rPr>
          <w:rFonts w:ascii="Times New Roman" w:hAnsi="Times New Roman" w:cs="Times New Roman"/>
          <w:b/>
        </w:rPr>
      </w:pPr>
      <w:r w:rsidRPr="00E030B5">
        <w:rPr>
          <w:rFonts w:ascii="Times New Roman" w:hAnsi="Times New Roman" w:cs="Times New Roman"/>
          <w:b/>
        </w:rPr>
        <w:t xml:space="preserve">Figure 9. </w:t>
      </w:r>
      <w:r w:rsidRPr="00E030B5">
        <w:rPr>
          <w:rFonts w:ascii="Times New Roman" w:hAnsi="Times New Roman" w:cs="Times New Roman"/>
        </w:rPr>
        <w:t xml:space="preserve">The overall association effects of within plant variation from the </w:t>
      </w:r>
      <w:r w:rsidRPr="00E030B5">
        <w:rPr>
          <w:rFonts w:ascii="Times New Roman" w:hAnsi="Times New Roman" w:cs="Times New Roman"/>
          <w:i/>
        </w:rPr>
        <w:t xml:space="preserve">S. </w:t>
      </w:r>
      <w:proofErr w:type="spellStart"/>
      <w:r w:rsidRPr="00E030B5">
        <w:rPr>
          <w:rFonts w:ascii="Times New Roman" w:hAnsi="Times New Roman" w:cs="Times New Roman"/>
          <w:i/>
        </w:rPr>
        <w:t>exigua</w:t>
      </w:r>
      <w:proofErr w:type="spellEnd"/>
      <w:r w:rsidRPr="00E030B5">
        <w:rPr>
          <w:rFonts w:ascii="Times New Roman" w:hAnsi="Times New Roman" w:cs="Times New Roman"/>
        </w:rPr>
        <w:t xml:space="preserve"> (LMER, df = 1, p = 0.93). No movement treatments represent within plant damage from a single </w:t>
      </w:r>
      <w:r w:rsidRPr="00E030B5">
        <w:rPr>
          <w:rFonts w:ascii="Times New Roman" w:hAnsi="Times New Roman" w:cs="Times New Roman"/>
          <w:i/>
        </w:rPr>
        <w:t xml:space="preserve">S. </w:t>
      </w:r>
      <w:proofErr w:type="spellStart"/>
      <w:r w:rsidRPr="00E030B5">
        <w:rPr>
          <w:rFonts w:ascii="Times New Roman" w:hAnsi="Times New Roman" w:cs="Times New Roman"/>
          <w:i/>
        </w:rPr>
        <w:t>exigua</w:t>
      </w:r>
      <w:proofErr w:type="spellEnd"/>
      <w:r w:rsidRPr="00E030B5">
        <w:rPr>
          <w:rFonts w:ascii="Times New Roman" w:hAnsi="Times New Roman" w:cs="Times New Roman"/>
        </w:rPr>
        <w:t xml:space="preserve"> that was confined to one plant, whereas movement treatments represent within plant damage when six </w:t>
      </w:r>
      <w:r w:rsidRPr="00E030B5">
        <w:rPr>
          <w:rFonts w:ascii="Times New Roman" w:hAnsi="Times New Roman" w:cs="Times New Roman"/>
          <w:i/>
        </w:rPr>
        <w:t xml:space="preserve">S. </w:t>
      </w:r>
      <w:proofErr w:type="spellStart"/>
      <w:r w:rsidRPr="00E030B5">
        <w:rPr>
          <w:rFonts w:ascii="Times New Roman" w:hAnsi="Times New Roman" w:cs="Times New Roman"/>
          <w:i/>
        </w:rPr>
        <w:t>exigua</w:t>
      </w:r>
      <w:proofErr w:type="spellEnd"/>
      <w:r w:rsidRPr="00E030B5">
        <w:rPr>
          <w:rFonts w:ascii="Times New Roman" w:hAnsi="Times New Roman" w:cs="Times New Roman"/>
          <w:i/>
        </w:rPr>
        <w:t xml:space="preserve"> </w:t>
      </w:r>
      <w:r w:rsidRPr="00E030B5">
        <w:rPr>
          <w:rFonts w:ascii="Times New Roman" w:hAnsi="Times New Roman" w:cs="Times New Roman"/>
        </w:rPr>
        <w:t>were allowed to move among six clustered plants.</w:t>
      </w:r>
    </w:p>
    <w:p w14:paraId="5C77F9B1" w14:textId="0D84B545" w:rsidR="00B43CA0" w:rsidRPr="00E030B5" w:rsidRDefault="00B43CA0" w:rsidP="00FD3E77">
      <w:pPr>
        <w:rPr>
          <w:rFonts w:ascii="Times New Roman" w:hAnsi="Times New Roman" w:cs="Times New Roman"/>
        </w:rPr>
        <w:sectPr w:rsidR="00B43CA0" w:rsidRPr="00E030B5">
          <w:headerReference w:type="default" r:id="rId20"/>
          <w:pgSz w:w="12240" w:h="15840"/>
          <w:pgMar w:top="1440" w:right="1440" w:bottom="1440" w:left="1440" w:header="720" w:footer="720" w:gutter="0"/>
          <w:pgNumType w:start="1"/>
          <w:cols w:space="720"/>
        </w:sectPr>
      </w:pPr>
      <w:bookmarkStart w:id="13" w:name="_2bhk9dm5qvno" w:colFirst="0" w:colLast="0"/>
      <w:bookmarkEnd w:id="13"/>
    </w:p>
    <w:p w14:paraId="01B2D78B" w14:textId="77777777" w:rsidR="00C53D27" w:rsidRPr="00E030B5" w:rsidRDefault="0025410D">
      <w:pPr>
        <w:pStyle w:val="Heading2"/>
        <w:spacing w:after="0"/>
        <w:rPr>
          <w:rFonts w:ascii="Times New Roman" w:hAnsi="Times New Roman" w:cs="Times New Roman"/>
        </w:rPr>
      </w:pPr>
      <w:bookmarkStart w:id="14" w:name="_bnxeatqitdvw" w:colFirst="0" w:colLast="0"/>
      <w:bookmarkEnd w:id="14"/>
      <w:r w:rsidRPr="00E030B5">
        <w:rPr>
          <w:rFonts w:ascii="Times New Roman" w:hAnsi="Times New Roman" w:cs="Times New Roman"/>
        </w:rPr>
        <w:lastRenderedPageBreak/>
        <w:t>Nutrient Enrichment Supplemental Data</w:t>
      </w:r>
    </w:p>
    <w:p w14:paraId="4503939D" w14:textId="77777777" w:rsidR="00C53D27" w:rsidRPr="00E030B5" w:rsidRDefault="0025410D">
      <w:pPr>
        <w:rPr>
          <w:rFonts w:ascii="Times New Roman" w:hAnsi="Times New Roman" w:cs="Times New Roman"/>
        </w:rPr>
      </w:pPr>
      <w:r w:rsidRPr="00E030B5">
        <w:rPr>
          <w:rFonts w:ascii="Times New Roman" w:hAnsi="Times New Roman" w:cs="Times New Roman"/>
        </w:rPr>
        <w:t>S1. Nutrient Enrichment Pairwise comparisons</w:t>
      </w:r>
    </w:p>
    <w:tbl>
      <w:tblPr>
        <w:tblStyle w:val="a"/>
        <w:tblW w:w="12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0"/>
        <w:gridCol w:w="3090"/>
        <w:gridCol w:w="1005"/>
        <w:gridCol w:w="1065"/>
        <w:gridCol w:w="1380"/>
        <w:gridCol w:w="1380"/>
        <w:gridCol w:w="1110"/>
        <w:gridCol w:w="1155"/>
      </w:tblGrid>
      <w:tr w:rsidR="00C53D27" w:rsidRPr="00E030B5" w14:paraId="4DE5C5E3" w14:textId="77777777">
        <w:trPr>
          <w:trHeight w:val="440"/>
        </w:trPr>
        <w:tc>
          <w:tcPr>
            <w:tcW w:w="2760" w:type="dxa"/>
            <w:vMerge w:val="restart"/>
            <w:shd w:val="clear" w:color="auto" w:fill="auto"/>
            <w:tcMar>
              <w:top w:w="100" w:type="dxa"/>
              <w:left w:w="100" w:type="dxa"/>
              <w:bottom w:w="100" w:type="dxa"/>
              <w:right w:w="100" w:type="dxa"/>
            </w:tcMar>
          </w:tcPr>
          <w:p w14:paraId="3542B6A5" w14:textId="77777777" w:rsidR="00C53D27" w:rsidRPr="00E030B5" w:rsidRDefault="00C53D27">
            <w:pPr>
              <w:widowControl w:val="0"/>
              <w:spacing w:after="0" w:line="240" w:lineRule="auto"/>
              <w:rPr>
                <w:rFonts w:ascii="Times New Roman" w:hAnsi="Times New Roman" w:cs="Times New Roman"/>
                <w:b/>
              </w:rPr>
            </w:pPr>
          </w:p>
          <w:p w14:paraId="5B65A2CB" w14:textId="77777777" w:rsidR="00C53D27" w:rsidRPr="00E030B5" w:rsidRDefault="0025410D">
            <w:pPr>
              <w:widowControl w:val="0"/>
              <w:spacing w:after="0" w:line="240" w:lineRule="auto"/>
              <w:rPr>
                <w:rFonts w:ascii="Times New Roman" w:hAnsi="Times New Roman" w:cs="Times New Roman"/>
                <w:b/>
              </w:rPr>
            </w:pPr>
            <w:r w:rsidRPr="00E030B5">
              <w:rPr>
                <w:rFonts w:ascii="Times New Roman" w:hAnsi="Times New Roman" w:cs="Times New Roman"/>
                <w:b/>
              </w:rPr>
              <w:t xml:space="preserve">Pairwise comparison </w:t>
            </w:r>
          </w:p>
        </w:tc>
        <w:tc>
          <w:tcPr>
            <w:tcW w:w="3090" w:type="dxa"/>
            <w:vMerge w:val="restart"/>
            <w:shd w:val="clear" w:color="auto" w:fill="auto"/>
            <w:tcMar>
              <w:top w:w="100" w:type="dxa"/>
              <w:left w:w="100" w:type="dxa"/>
              <w:bottom w:w="100" w:type="dxa"/>
              <w:right w:w="100" w:type="dxa"/>
            </w:tcMar>
          </w:tcPr>
          <w:p w14:paraId="65233131" w14:textId="77777777" w:rsidR="00C53D27" w:rsidRPr="00E030B5" w:rsidRDefault="00C53D27">
            <w:pPr>
              <w:widowControl w:val="0"/>
              <w:spacing w:after="0" w:line="240" w:lineRule="auto"/>
              <w:rPr>
                <w:rFonts w:ascii="Times New Roman" w:hAnsi="Times New Roman" w:cs="Times New Roman"/>
                <w:b/>
              </w:rPr>
            </w:pPr>
          </w:p>
          <w:p w14:paraId="122310C7" w14:textId="77777777" w:rsidR="00C53D27" w:rsidRPr="00E030B5" w:rsidRDefault="0025410D">
            <w:pPr>
              <w:widowControl w:val="0"/>
              <w:spacing w:after="0" w:line="240" w:lineRule="auto"/>
              <w:rPr>
                <w:rFonts w:ascii="Times New Roman" w:hAnsi="Times New Roman" w:cs="Times New Roman"/>
                <w:b/>
              </w:rPr>
            </w:pPr>
            <w:r w:rsidRPr="00E030B5">
              <w:rPr>
                <w:rFonts w:ascii="Times New Roman" w:hAnsi="Times New Roman" w:cs="Times New Roman"/>
                <w:b/>
              </w:rPr>
              <w:t xml:space="preserve">Testing for? </w:t>
            </w:r>
          </w:p>
        </w:tc>
        <w:tc>
          <w:tcPr>
            <w:tcW w:w="2070" w:type="dxa"/>
            <w:gridSpan w:val="2"/>
            <w:shd w:val="clear" w:color="auto" w:fill="auto"/>
            <w:tcMar>
              <w:top w:w="100" w:type="dxa"/>
              <w:left w:w="100" w:type="dxa"/>
              <w:bottom w:w="100" w:type="dxa"/>
              <w:right w:w="100" w:type="dxa"/>
            </w:tcMar>
          </w:tcPr>
          <w:p w14:paraId="66474BF3" w14:textId="77777777" w:rsidR="00C53D27" w:rsidRPr="00E030B5" w:rsidRDefault="0025410D">
            <w:pPr>
              <w:widowControl w:val="0"/>
              <w:pBdr>
                <w:top w:val="nil"/>
                <w:left w:val="nil"/>
                <w:bottom w:val="nil"/>
                <w:right w:val="nil"/>
                <w:between w:val="nil"/>
              </w:pBdr>
              <w:spacing w:after="0" w:line="240" w:lineRule="auto"/>
              <w:jc w:val="center"/>
              <w:rPr>
                <w:rFonts w:ascii="Times New Roman" w:hAnsi="Times New Roman" w:cs="Times New Roman"/>
                <w:b/>
              </w:rPr>
            </w:pPr>
            <w:r w:rsidRPr="00E030B5">
              <w:rPr>
                <w:rFonts w:ascii="Times New Roman" w:hAnsi="Times New Roman" w:cs="Times New Roman"/>
                <w:b/>
              </w:rPr>
              <w:t>Larval RGR</w:t>
            </w:r>
          </w:p>
        </w:tc>
        <w:tc>
          <w:tcPr>
            <w:tcW w:w="2760" w:type="dxa"/>
            <w:gridSpan w:val="2"/>
            <w:shd w:val="clear" w:color="auto" w:fill="auto"/>
            <w:tcMar>
              <w:top w:w="100" w:type="dxa"/>
              <w:left w:w="100" w:type="dxa"/>
              <w:bottom w:w="100" w:type="dxa"/>
              <w:right w:w="100" w:type="dxa"/>
            </w:tcMar>
          </w:tcPr>
          <w:p w14:paraId="5839A92E" w14:textId="77777777" w:rsidR="00C53D27" w:rsidRPr="00E030B5" w:rsidRDefault="0025410D">
            <w:pPr>
              <w:widowControl w:val="0"/>
              <w:pBdr>
                <w:top w:val="nil"/>
                <w:left w:val="nil"/>
                <w:bottom w:val="nil"/>
                <w:right w:val="nil"/>
                <w:between w:val="nil"/>
              </w:pBdr>
              <w:spacing w:after="0" w:line="240" w:lineRule="auto"/>
              <w:jc w:val="center"/>
              <w:rPr>
                <w:rFonts w:ascii="Times New Roman" w:hAnsi="Times New Roman" w:cs="Times New Roman"/>
                <w:b/>
              </w:rPr>
            </w:pPr>
            <w:r w:rsidRPr="00E030B5">
              <w:rPr>
                <w:rFonts w:ascii="Times New Roman" w:hAnsi="Times New Roman" w:cs="Times New Roman"/>
                <w:b/>
              </w:rPr>
              <w:t>Percent Leaf Damage</w:t>
            </w:r>
          </w:p>
        </w:tc>
        <w:tc>
          <w:tcPr>
            <w:tcW w:w="2265" w:type="dxa"/>
            <w:gridSpan w:val="2"/>
            <w:shd w:val="clear" w:color="auto" w:fill="auto"/>
            <w:tcMar>
              <w:top w:w="100" w:type="dxa"/>
              <w:left w:w="100" w:type="dxa"/>
              <w:bottom w:w="100" w:type="dxa"/>
              <w:right w:w="100" w:type="dxa"/>
            </w:tcMar>
          </w:tcPr>
          <w:p w14:paraId="371C25E0" w14:textId="77777777" w:rsidR="00C53D27" w:rsidRPr="00E030B5" w:rsidRDefault="0025410D">
            <w:pPr>
              <w:widowControl w:val="0"/>
              <w:pBdr>
                <w:top w:val="nil"/>
                <w:left w:val="nil"/>
                <w:bottom w:val="nil"/>
                <w:right w:val="nil"/>
                <w:between w:val="nil"/>
              </w:pBdr>
              <w:spacing w:after="0" w:line="240" w:lineRule="auto"/>
              <w:jc w:val="center"/>
              <w:rPr>
                <w:rFonts w:ascii="Times New Roman" w:hAnsi="Times New Roman" w:cs="Times New Roman"/>
                <w:b/>
              </w:rPr>
            </w:pPr>
            <w:r w:rsidRPr="00E030B5">
              <w:rPr>
                <w:rFonts w:ascii="Times New Roman" w:hAnsi="Times New Roman" w:cs="Times New Roman"/>
                <w:b/>
              </w:rPr>
              <w:t>Absolute Damage</w:t>
            </w:r>
          </w:p>
        </w:tc>
      </w:tr>
      <w:tr w:rsidR="00C53D27" w:rsidRPr="00E030B5" w14:paraId="257EBA23" w14:textId="77777777">
        <w:trPr>
          <w:trHeight w:val="440"/>
        </w:trPr>
        <w:tc>
          <w:tcPr>
            <w:tcW w:w="2760" w:type="dxa"/>
            <w:vMerge/>
            <w:shd w:val="clear" w:color="auto" w:fill="auto"/>
            <w:tcMar>
              <w:top w:w="100" w:type="dxa"/>
              <w:left w:w="100" w:type="dxa"/>
              <w:bottom w:w="100" w:type="dxa"/>
              <w:right w:w="100" w:type="dxa"/>
            </w:tcMar>
          </w:tcPr>
          <w:p w14:paraId="02E56232" w14:textId="77777777" w:rsidR="00C53D27" w:rsidRPr="00E030B5" w:rsidRDefault="00C53D27">
            <w:pPr>
              <w:widowControl w:val="0"/>
              <w:pBdr>
                <w:top w:val="nil"/>
                <w:left w:val="nil"/>
                <w:bottom w:val="nil"/>
                <w:right w:val="nil"/>
                <w:between w:val="nil"/>
              </w:pBdr>
              <w:spacing w:after="0" w:line="240" w:lineRule="auto"/>
              <w:rPr>
                <w:rFonts w:ascii="Times New Roman" w:hAnsi="Times New Roman" w:cs="Times New Roman"/>
                <w:b/>
              </w:rPr>
            </w:pPr>
          </w:p>
        </w:tc>
        <w:tc>
          <w:tcPr>
            <w:tcW w:w="3090" w:type="dxa"/>
            <w:vMerge/>
            <w:shd w:val="clear" w:color="auto" w:fill="auto"/>
            <w:tcMar>
              <w:top w:w="100" w:type="dxa"/>
              <w:left w:w="100" w:type="dxa"/>
              <w:bottom w:w="100" w:type="dxa"/>
              <w:right w:w="100" w:type="dxa"/>
            </w:tcMar>
          </w:tcPr>
          <w:p w14:paraId="34F4CBA4" w14:textId="77777777" w:rsidR="00C53D27" w:rsidRPr="00E030B5" w:rsidRDefault="00C53D27">
            <w:pPr>
              <w:widowControl w:val="0"/>
              <w:spacing w:after="0" w:line="240" w:lineRule="auto"/>
              <w:rPr>
                <w:rFonts w:ascii="Times New Roman" w:hAnsi="Times New Roman" w:cs="Times New Roman"/>
                <w:b/>
              </w:rPr>
            </w:pPr>
          </w:p>
        </w:tc>
        <w:tc>
          <w:tcPr>
            <w:tcW w:w="1005" w:type="dxa"/>
            <w:shd w:val="clear" w:color="auto" w:fill="auto"/>
            <w:tcMar>
              <w:top w:w="100" w:type="dxa"/>
              <w:left w:w="100" w:type="dxa"/>
              <w:bottom w:w="100" w:type="dxa"/>
              <w:right w:w="100" w:type="dxa"/>
            </w:tcMar>
          </w:tcPr>
          <w:p w14:paraId="2E352441" w14:textId="77777777" w:rsidR="00C53D27" w:rsidRPr="00E030B5" w:rsidRDefault="0025410D">
            <w:pPr>
              <w:widowControl w:val="0"/>
              <w:pBdr>
                <w:top w:val="nil"/>
                <w:left w:val="nil"/>
                <w:bottom w:val="nil"/>
                <w:right w:val="nil"/>
                <w:between w:val="nil"/>
              </w:pBdr>
              <w:spacing w:after="0" w:line="240" w:lineRule="auto"/>
              <w:rPr>
                <w:rFonts w:ascii="Times New Roman" w:hAnsi="Times New Roman" w:cs="Times New Roman"/>
                <w:b/>
              </w:rPr>
            </w:pPr>
            <w:r w:rsidRPr="00E030B5">
              <w:rPr>
                <w:rFonts w:ascii="Times New Roman" w:hAnsi="Times New Roman" w:cs="Times New Roman"/>
                <w:b/>
              </w:rPr>
              <w:t>df</w:t>
            </w:r>
          </w:p>
        </w:tc>
        <w:tc>
          <w:tcPr>
            <w:tcW w:w="1065" w:type="dxa"/>
            <w:shd w:val="clear" w:color="auto" w:fill="auto"/>
            <w:tcMar>
              <w:top w:w="100" w:type="dxa"/>
              <w:left w:w="100" w:type="dxa"/>
              <w:bottom w:w="100" w:type="dxa"/>
              <w:right w:w="100" w:type="dxa"/>
            </w:tcMar>
          </w:tcPr>
          <w:p w14:paraId="47BC9BA4" w14:textId="77777777" w:rsidR="00C53D27" w:rsidRPr="00E030B5" w:rsidRDefault="0025410D">
            <w:pPr>
              <w:widowControl w:val="0"/>
              <w:spacing w:after="0" w:line="240" w:lineRule="auto"/>
              <w:rPr>
                <w:rFonts w:ascii="Times New Roman" w:hAnsi="Times New Roman" w:cs="Times New Roman"/>
                <w:b/>
              </w:rPr>
            </w:pPr>
            <w:r w:rsidRPr="00E030B5">
              <w:rPr>
                <w:rFonts w:ascii="Times New Roman" w:hAnsi="Times New Roman" w:cs="Times New Roman"/>
                <w:b/>
              </w:rPr>
              <w:t>p-value</w:t>
            </w:r>
          </w:p>
        </w:tc>
        <w:tc>
          <w:tcPr>
            <w:tcW w:w="1380" w:type="dxa"/>
            <w:shd w:val="clear" w:color="auto" w:fill="auto"/>
            <w:tcMar>
              <w:top w:w="100" w:type="dxa"/>
              <w:left w:w="100" w:type="dxa"/>
              <w:bottom w:w="100" w:type="dxa"/>
              <w:right w:w="100" w:type="dxa"/>
            </w:tcMar>
          </w:tcPr>
          <w:p w14:paraId="29ABCE1A" w14:textId="77777777" w:rsidR="00C53D27" w:rsidRPr="00E030B5" w:rsidRDefault="0025410D">
            <w:pPr>
              <w:widowControl w:val="0"/>
              <w:spacing w:after="0" w:line="240" w:lineRule="auto"/>
              <w:rPr>
                <w:rFonts w:ascii="Times New Roman" w:hAnsi="Times New Roman" w:cs="Times New Roman"/>
                <w:b/>
              </w:rPr>
            </w:pPr>
            <w:r w:rsidRPr="00E030B5">
              <w:rPr>
                <w:rFonts w:ascii="Times New Roman" w:hAnsi="Times New Roman" w:cs="Times New Roman"/>
                <w:b/>
              </w:rPr>
              <w:t>df</w:t>
            </w:r>
          </w:p>
        </w:tc>
        <w:tc>
          <w:tcPr>
            <w:tcW w:w="1380" w:type="dxa"/>
            <w:shd w:val="clear" w:color="auto" w:fill="auto"/>
            <w:tcMar>
              <w:top w:w="100" w:type="dxa"/>
              <w:left w:w="100" w:type="dxa"/>
              <w:bottom w:w="100" w:type="dxa"/>
              <w:right w:w="100" w:type="dxa"/>
            </w:tcMar>
          </w:tcPr>
          <w:p w14:paraId="3F0E8806" w14:textId="77777777" w:rsidR="00C53D27" w:rsidRPr="00E030B5" w:rsidRDefault="0025410D">
            <w:pPr>
              <w:widowControl w:val="0"/>
              <w:spacing w:after="0" w:line="240" w:lineRule="auto"/>
              <w:rPr>
                <w:rFonts w:ascii="Times New Roman" w:hAnsi="Times New Roman" w:cs="Times New Roman"/>
                <w:b/>
              </w:rPr>
            </w:pPr>
            <w:r w:rsidRPr="00E030B5">
              <w:rPr>
                <w:rFonts w:ascii="Times New Roman" w:hAnsi="Times New Roman" w:cs="Times New Roman"/>
                <w:b/>
              </w:rPr>
              <w:t>p-value</w:t>
            </w:r>
          </w:p>
        </w:tc>
        <w:tc>
          <w:tcPr>
            <w:tcW w:w="1110" w:type="dxa"/>
            <w:shd w:val="clear" w:color="auto" w:fill="auto"/>
            <w:tcMar>
              <w:top w:w="100" w:type="dxa"/>
              <w:left w:w="100" w:type="dxa"/>
              <w:bottom w:w="100" w:type="dxa"/>
              <w:right w:w="100" w:type="dxa"/>
            </w:tcMar>
          </w:tcPr>
          <w:p w14:paraId="2B851A15" w14:textId="77777777" w:rsidR="00C53D27" w:rsidRPr="00E030B5" w:rsidRDefault="0025410D">
            <w:pPr>
              <w:widowControl w:val="0"/>
              <w:spacing w:after="0" w:line="240" w:lineRule="auto"/>
              <w:rPr>
                <w:rFonts w:ascii="Times New Roman" w:hAnsi="Times New Roman" w:cs="Times New Roman"/>
                <w:b/>
              </w:rPr>
            </w:pPr>
            <w:r w:rsidRPr="00E030B5">
              <w:rPr>
                <w:rFonts w:ascii="Times New Roman" w:hAnsi="Times New Roman" w:cs="Times New Roman"/>
                <w:b/>
              </w:rPr>
              <w:t>df</w:t>
            </w:r>
          </w:p>
        </w:tc>
        <w:tc>
          <w:tcPr>
            <w:tcW w:w="1155" w:type="dxa"/>
            <w:shd w:val="clear" w:color="auto" w:fill="auto"/>
            <w:tcMar>
              <w:top w:w="100" w:type="dxa"/>
              <w:left w:w="100" w:type="dxa"/>
              <w:bottom w:w="100" w:type="dxa"/>
              <w:right w:w="100" w:type="dxa"/>
            </w:tcMar>
          </w:tcPr>
          <w:p w14:paraId="2C46718B" w14:textId="77777777" w:rsidR="00C53D27" w:rsidRPr="00E030B5" w:rsidRDefault="0025410D">
            <w:pPr>
              <w:widowControl w:val="0"/>
              <w:spacing w:after="0" w:line="240" w:lineRule="auto"/>
              <w:rPr>
                <w:rFonts w:ascii="Times New Roman" w:hAnsi="Times New Roman" w:cs="Times New Roman"/>
                <w:b/>
              </w:rPr>
            </w:pPr>
            <w:r w:rsidRPr="00E030B5">
              <w:rPr>
                <w:rFonts w:ascii="Times New Roman" w:hAnsi="Times New Roman" w:cs="Times New Roman"/>
                <w:b/>
              </w:rPr>
              <w:t>p-value</w:t>
            </w:r>
          </w:p>
        </w:tc>
      </w:tr>
      <w:tr w:rsidR="00C53D27" w:rsidRPr="00E030B5" w14:paraId="384E7636" w14:textId="77777777">
        <w:trPr>
          <w:trHeight w:val="1103"/>
        </w:trPr>
        <w:tc>
          <w:tcPr>
            <w:tcW w:w="2760" w:type="dxa"/>
            <w:shd w:val="clear" w:color="auto" w:fill="auto"/>
            <w:tcMar>
              <w:top w:w="100" w:type="dxa"/>
              <w:left w:w="100" w:type="dxa"/>
              <w:bottom w:w="100" w:type="dxa"/>
              <w:right w:w="100" w:type="dxa"/>
            </w:tcMar>
          </w:tcPr>
          <w:p w14:paraId="09B7A5FD" w14:textId="77777777" w:rsidR="00C53D27" w:rsidRPr="00E030B5" w:rsidRDefault="0025410D">
            <w:pPr>
              <w:widowControl w:val="0"/>
              <w:pBdr>
                <w:top w:val="nil"/>
                <w:left w:val="nil"/>
                <w:bottom w:val="nil"/>
                <w:right w:val="nil"/>
                <w:between w:val="nil"/>
              </w:pBdr>
              <w:spacing w:after="0" w:line="240" w:lineRule="auto"/>
              <w:rPr>
                <w:rFonts w:ascii="Times New Roman" w:hAnsi="Times New Roman" w:cs="Times New Roman"/>
              </w:rPr>
            </w:pPr>
            <w:r w:rsidRPr="00E030B5">
              <w:rPr>
                <w:rFonts w:ascii="Times New Roman" w:hAnsi="Times New Roman" w:cs="Times New Roman"/>
              </w:rPr>
              <w:t xml:space="preserve">Fertilizer Movement vs. Fertilizer No movement </w:t>
            </w:r>
          </w:p>
        </w:tc>
        <w:tc>
          <w:tcPr>
            <w:tcW w:w="3090" w:type="dxa"/>
            <w:shd w:val="clear" w:color="auto" w:fill="auto"/>
            <w:tcMar>
              <w:top w:w="100" w:type="dxa"/>
              <w:left w:w="100" w:type="dxa"/>
              <w:bottom w:w="100" w:type="dxa"/>
              <w:right w:w="100" w:type="dxa"/>
            </w:tcMar>
          </w:tcPr>
          <w:p w14:paraId="65678325" w14:textId="77777777" w:rsidR="00C53D27" w:rsidRPr="00E030B5" w:rsidRDefault="0025410D">
            <w:pPr>
              <w:widowControl w:val="0"/>
              <w:spacing w:after="0" w:line="240" w:lineRule="auto"/>
              <w:rPr>
                <w:rFonts w:ascii="Times New Roman" w:hAnsi="Times New Roman" w:cs="Times New Roman"/>
              </w:rPr>
            </w:pPr>
            <w:r w:rsidRPr="00E030B5">
              <w:rPr>
                <w:rFonts w:ascii="Times New Roman" w:hAnsi="Times New Roman" w:cs="Times New Roman"/>
              </w:rPr>
              <w:t xml:space="preserve">Effect of movement in the presence of fertilizer </w:t>
            </w:r>
          </w:p>
        </w:tc>
        <w:tc>
          <w:tcPr>
            <w:tcW w:w="1005" w:type="dxa"/>
            <w:shd w:val="clear" w:color="auto" w:fill="auto"/>
            <w:tcMar>
              <w:top w:w="100" w:type="dxa"/>
              <w:left w:w="100" w:type="dxa"/>
              <w:bottom w:w="100" w:type="dxa"/>
              <w:right w:w="100" w:type="dxa"/>
            </w:tcMar>
          </w:tcPr>
          <w:p w14:paraId="4F1F1109" w14:textId="77777777" w:rsidR="00C53D27" w:rsidRPr="00E030B5" w:rsidRDefault="0025410D">
            <w:pPr>
              <w:widowControl w:val="0"/>
              <w:pBdr>
                <w:top w:val="nil"/>
                <w:left w:val="nil"/>
                <w:bottom w:val="nil"/>
                <w:right w:val="nil"/>
                <w:between w:val="nil"/>
              </w:pBdr>
              <w:spacing w:after="0" w:line="240" w:lineRule="auto"/>
              <w:rPr>
                <w:rFonts w:ascii="Times New Roman" w:hAnsi="Times New Roman" w:cs="Times New Roman"/>
              </w:rPr>
            </w:pPr>
            <w:r w:rsidRPr="00E030B5">
              <w:rPr>
                <w:rFonts w:ascii="Times New Roman" w:hAnsi="Times New Roman" w:cs="Times New Roman"/>
              </w:rPr>
              <w:t>6, 74</w:t>
            </w:r>
          </w:p>
        </w:tc>
        <w:tc>
          <w:tcPr>
            <w:tcW w:w="1065" w:type="dxa"/>
            <w:shd w:val="clear" w:color="auto" w:fill="auto"/>
            <w:tcMar>
              <w:top w:w="100" w:type="dxa"/>
              <w:left w:w="100" w:type="dxa"/>
              <w:bottom w:w="100" w:type="dxa"/>
              <w:right w:w="100" w:type="dxa"/>
            </w:tcMar>
          </w:tcPr>
          <w:p w14:paraId="75DD6400" w14:textId="77777777" w:rsidR="00C53D27" w:rsidRPr="00E030B5" w:rsidRDefault="0025410D">
            <w:pPr>
              <w:widowControl w:val="0"/>
              <w:spacing w:after="0" w:line="240" w:lineRule="auto"/>
              <w:rPr>
                <w:rFonts w:ascii="Times New Roman" w:hAnsi="Times New Roman" w:cs="Times New Roman"/>
              </w:rPr>
            </w:pPr>
            <w:r w:rsidRPr="00E030B5">
              <w:rPr>
                <w:rFonts w:ascii="Times New Roman" w:hAnsi="Times New Roman" w:cs="Times New Roman"/>
              </w:rPr>
              <w:t>&lt; 0.001</w:t>
            </w:r>
          </w:p>
        </w:tc>
        <w:tc>
          <w:tcPr>
            <w:tcW w:w="1380" w:type="dxa"/>
            <w:shd w:val="clear" w:color="auto" w:fill="auto"/>
            <w:tcMar>
              <w:top w:w="100" w:type="dxa"/>
              <w:left w:w="100" w:type="dxa"/>
              <w:bottom w:w="100" w:type="dxa"/>
              <w:right w:w="100" w:type="dxa"/>
            </w:tcMar>
          </w:tcPr>
          <w:p w14:paraId="49525D1E" w14:textId="77777777" w:rsidR="00C53D27" w:rsidRPr="00E030B5" w:rsidRDefault="0025410D">
            <w:pPr>
              <w:widowControl w:val="0"/>
              <w:spacing w:after="0" w:line="240" w:lineRule="auto"/>
              <w:rPr>
                <w:rFonts w:ascii="Times New Roman" w:hAnsi="Times New Roman" w:cs="Times New Roman"/>
              </w:rPr>
            </w:pPr>
            <w:r w:rsidRPr="00E030B5">
              <w:rPr>
                <w:rFonts w:ascii="Times New Roman" w:hAnsi="Times New Roman" w:cs="Times New Roman"/>
              </w:rPr>
              <w:t>6, 119</w:t>
            </w:r>
          </w:p>
        </w:tc>
        <w:tc>
          <w:tcPr>
            <w:tcW w:w="1380" w:type="dxa"/>
            <w:shd w:val="clear" w:color="auto" w:fill="auto"/>
            <w:tcMar>
              <w:top w:w="100" w:type="dxa"/>
              <w:left w:w="100" w:type="dxa"/>
              <w:bottom w:w="100" w:type="dxa"/>
              <w:right w:w="100" w:type="dxa"/>
            </w:tcMar>
          </w:tcPr>
          <w:p w14:paraId="77CB3152" w14:textId="77777777" w:rsidR="00C53D27" w:rsidRPr="00E030B5" w:rsidRDefault="0025410D">
            <w:pPr>
              <w:widowControl w:val="0"/>
              <w:spacing w:after="0" w:line="240" w:lineRule="auto"/>
              <w:rPr>
                <w:rFonts w:ascii="Times New Roman" w:hAnsi="Times New Roman" w:cs="Times New Roman"/>
              </w:rPr>
            </w:pPr>
            <w:r w:rsidRPr="00E030B5">
              <w:rPr>
                <w:rFonts w:ascii="Times New Roman" w:hAnsi="Times New Roman" w:cs="Times New Roman"/>
              </w:rPr>
              <w:t>&lt; 0.01</w:t>
            </w:r>
          </w:p>
        </w:tc>
        <w:tc>
          <w:tcPr>
            <w:tcW w:w="1110" w:type="dxa"/>
            <w:shd w:val="clear" w:color="auto" w:fill="auto"/>
            <w:tcMar>
              <w:top w:w="100" w:type="dxa"/>
              <w:left w:w="100" w:type="dxa"/>
              <w:bottom w:w="100" w:type="dxa"/>
              <w:right w:w="100" w:type="dxa"/>
            </w:tcMar>
          </w:tcPr>
          <w:p w14:paraId="4930066F" w14:textId="77777777" w:rsidR="00C53D27" w:rsidRPr="00E030B5" w:rsidRDefault="0025410D">
            <w:pPr>
              <w:widowControl w:val="0"/>
              <w:pBdr>
                <w:top w:val="nil"/>
                <w:left w:val="nil"/>
                <w:bottom w:val="nil"/>
                <w:right w:val="nil"/>
                <w:between w:val="nil"/>
              </w:pBdr>
              <w:spacing w:after="0" w:line="240" w:lineRule="auto"/>
              <w:rPr>
                <w:rFonts w:ascii="Times New Roman" w:hAnsi="Times New Roman" w:cs="Times New Roman"/>
              </w:rPr>
            </w:pPr>
            <w:r w:rsidRPr="00E030B5">
              <w:rPr>
                <w:rFonts w:ascii="Times New Roman" w:hAnsi="Times New Roman" w:cs="Times New Roman"/>
              </w:rPr>
              <w:t>6, 119</w:t>
            </w:r>
          </w:p>
        </w:tc>
        <w:tc>
          <w:tcPr>
            <w:tcW w:w="1155" w:type="dxa"/>
            <w:shd w:val="clear" w:color="auto" w:fill="auto"/>
            <w:tcMar>
              <w:top w:w="100" w:type="dxa"/>
              <w:left w:w="100" w:type="dxa"/>
              <w:bottom w:w="100" w:type="dxa"/>
              <w:right w:w="100" w:type="dxa"/>
            </w:tcMar>
          </w:tcPr>
          <w:p w14:paraId="52739CAD" w14:textId="77777777" w:rsidR="00C53D27" w:rsidRPr="00E030B5" w:rsidRDefault="0025410D">
            <w:pPr>
              <w:widowControl w:val="0"/>
              <w:pBdr>
                <w:top w:val="nil"/>
                <w:left w:val="nil"/>
                <w:bottom w:val="nil"/>
                <w:right w:val="nil"/>
                <w:between w:val="nil"/>
              </w:pBdr>
              <w:spacing w:after="0" w:line="240" w:lineRule="auto"/>
              <w:rPr>
                <w:rFonts w:ascii="Times New Roman" w:hAnsi="Times New Roman" w:cs="Times New Roman"/>
              </w:rPr>
            </w:pPr>
            <w:r w:rsidRPr="00E030B5">
              <w:rPr>
                <w:rFonts w:ascii="Times New Roman" w:hAnsi="Times New Roman" w:cs="Times New Roman"/>
              </w:rPr>
              <w:t>&lt; 0.001</w:t>
            </w:r>
          </w:p>
        </w:tc>
      </w:tr>
      <w:tr w:rsidR="00C53D27" w:rsidRPr="00E030B5" w14:paraId="776F5F1B" w14:textId="77777777">
        <w:tc>
          <w:tcPr>
            <w:tcW w:w="2760" w:type="dxa"/>
            <w:shd w:val="clear" w:color="auto" w:fill="auto"/>
            <w:tcMar>
              <w:top w:w="100" w:type="dxa"/>
              <w:left w:w="100" w:type="dxa"/>
              <w:bottom w:w="100" w:type="dxa"/>
              <w:right w:w="100" w:type="dxa"/>
            </w:tcMar>
          </w:tcPr>
          <w:p w14:paraId="3519B588" w14:textId="77777777" w:rsidR="00C53D27" w:rsidRPr="00E030B5" w:rsidRDefault="0025410D">
            <w:pPr>
              <w:widowControl w:val="0"/>
              <w:pBdr>
                <w:top w:val="nil"/>
                <w:left w:val="nil"/>
                <w:bottom w:val="nil"/>
                <w:right w:val="nil"/>
                <w:between w:val="nil"/>
              </w:pBdr>
              <w:spacing w:after="0" w:line="240" w:lineRule="auto"/>
              <w:rPr>
                <w:rFonts w:ascii="Times New Roman" w:hAnsi="Times New Roman" w:cs="Times New Roman"/>
              </w:rPr>
            </w:pPr>
            <w:r w:rsidRPr="00E030B5">
              <w:rPr>
                <w:rFonts w:ascii="Times New Roman" w:hAnsi="Times New Roman" w:cs="Times New Roman"/>
              </w:rPr>
              <w:t xml:space="preserve">Unfertilized Movement vs. Unfertilized No movement </w:t>
            </w:r>
          </w:p>
        </w:tc>
        <w:tc>
          <w:tcPr>
            <w:tcW w:w="3090" w:type="dxa"/>
            <w:shd w:val="clear" w:color="auto" w:fill="auto"/>
            <w:tcMar>
              <w:top w:w="100" w:type="dxa"/>
              <w:left w:w="100" w:type="dxa"/>
              <w:bottom w:w="100" w:type="dxa"/>
              <w:right w:w="100" w:type="dxa"/>
            </w:tcMar>
          </w:tcPr>
          <w:p w14:paraId="3655F9EC" w14:textId="77777777" w:rsidR="00C53D27" w:rsidRPr="00E030B5" w:rsidRDefault="0025410D">
            <w:pPr>
              <w:widowControl w:val="0"/>
              <w:spacing w:after="0" w:line="240" w:lineRule="auto"/>
              <w:rPr>
                <w:rFonts w:ascii="Times New Roman" w:hAnsi="Times New Roman" w:cs="Times New Roman"/>
              </w:rPr>
            </w:pPr>
            <w:r w:rsidRPr="00E030B5">
              <w:rPr>
                <w:rFonts w:ascii="Times New Roman" w:hAnsi="Times New Roman" w:cs="Times New Roman"/>
              </w:rPr>
              <w:t xml:space="preserve">Effect of movement in the absence of fertilizer </w:t>
            </w:r>
          </w:p>
        </w:tc>
        <w:tc>
          <w:tcPr>
            <w:tcW w:w="1005" w:type="dxa"/>
            <w:shd w:val="clear" w:color="auto" w:fill="auto"/>
            <w:tcMar>
              <w:top w:w="100" w:type="dxa"/>
              <w:left w:w="100" w:type="dxa"/>
              <w:bottom w:w="100" w:type="dxa"/>
              <w:right w:w="100" w:type="dxa"/>
            </w:tcMar>
          </w:tcPr>
          <w:p w14:paraId="1B61B292" w14:textId="77777777" w:rsidR="00C53D27" w:rsidRPr="00E030B5" w:rsidRDefault="0025410D">
            <w:pPr>
              <w:widowControl w:val="0"/>
              <w:pBdr>
                <w:top w:val="nil"/>
                <w:left w:val="nil"/>
                <w:bottom w:val="nil"/>
                <w:right w:val="nil"/>
                <w:between w:val="nil"/>
              </w:pBdr>
              <w:spacing w:after="0" w:line="240" w:lineRule="auto"/>
              <w:rPr>
                <w:rFonts w:ascii="Times New Roman" w:hAnsi="Times New Roman" w:cs="Times New Roman"/>
              </w:rPr>
            </w:pPr>
            <w:r w:rsidRPr="00E030B5">
              <w:rPr>
                <w:rFonts w:ascii="Times New Roman" w:hAnsi="Times New Roman" w:cs="Times New Roman"/>
              </w:rPr>
              <w:t>6, 58</w:t>
            </w:r>
          </w:p>
        </w:tc>
        <w:tc>
          <w:tcPr>
            <w:tcW w:w="1065" w:type="dxa"/>
            <w:shd w:val="clear" w:color="auto" w:fill="auto"/>
            <w:tcMar>
              <w:top w:w="100" w:type="dxa"/>
              <w:left w:w="100" w:type="dxa"/>
              <w:bottom w:w="100" w:type="dxa"/>
              <w:right w:w="100" w:type="dxa"/>
            </w:tcMar>
          </w:tcPr>
          <w:p w14:paraId="0E0C4ABB" w14:textId="77777777" w:rsidR="00C53D27" w:rsidRPr="00E030B5" w:rsidRDefault="0025410D">
            <w:pPr>
              <w:widowControl w:val="0"/>
              <w:spacing w:after="0" w:line="240" w:lineRule="auto"/>
              <w:rPr>
                <w:rFonts w:ascii="Times New Roman" w:hAnsi="Times New Roman" w:cs="Times New Roman"/>
              </w:rPr>
            </w:pPr>
            <w:r w:rsidRPr="00E030B5">
              <w:rPr>
                <w:rFonts w:ascii="Times New Roman" w:hAnsi="Times New Roman" w:cs="Times New Roman"/>
              </w:rPr>
              <w:t>0.17</w:t>
            </w:r>
          </w:p>
        </w:tc>
        <w:tc>
          <w:tcPr>
            <w:tcW w:w="1380" w:type="dxa"/>
            <w:shd w:val="clear" w:color="auto" w:fill="auto"/>
            <w:tcMar>
              <w:top w:w="100" w:type="dxa"/>
              <w:left w:w="100" w:type="dxa"/>
              <w:bottom w:w="100" w:type="dxa"/>
              <w:right w:w="100" w:type="dxa"/>
            </w:tcMar>
          </w:tcPr>
          <w:p w14:paraId="089BAA8C" w14:textId="77777777" w:rsidR="00C53D27" w:rsidRPr="00E030B5" w:rsidRDefault="0025410D">
            <w:pPr>
              <w:widowControl w:val="0"/>
              <w:spacing w:after="0" w:line="240" w:lineRule="auto"/>
              <w:rPr>
                <w:rFonts w:ascii="Times New Roman" w:hAnsi="Times New Roman" w:cs="Times New Roman"/>
              </w:rPr>
            </w:pPr>
            <w:r w:rsidRPr="00E030B5">
              <w:rPr>
                <w:rFonts w:ascii="Times New Roman" w:hAnsi="Times New Roman" w:cs="Times New Roman"/>
              </w:rPr>
              <w:t>6, 119</w:t>
            </w:r>
          </w:p>
        </w:tc>
        <w:tc>
          <w:tcPr>
            <w:tcW w:w="1380" w:type="dxa"/>
            <w:shd w:val="clear" w:color="auto" w:fill="auto"/>
            <w:tcMar>
              <w:top w:w="100" w:type="dxa"/>
              <w:left w:w="100" w:type="dxa"/>
              <w:bottom w:w="100" w:type="dxa"/>
              <w:right w:w="100" w:type="dxa"/>
            </w:tcMar>
          </w:tcPr>
          <w:p w14:paraId="56EA82B1" w14:textId="77777777" w:rsidR="00C53D27" w:rsidRPr="00E030B5" w:rsidRDefault="0025410D">
            <w:pPr>
              <w:widowControl w:val="0"/>
              <w:spacing w:after="0" w:line="240" w:lineRule="auto"/>
              <w:rPr>
                <w:rFonts w:ascii="Times New Roman" w:hAnsi="Times New Roman" w:cs="Times New Roman"/>
              </w:rPr>
            </w:pPr>
            <w:r w:rsidRPr="00E030B5">
              <w:rPr>
                <w:rFonts w:ascii="Times New Roman" w:hAnsi="Times New Roman" w:cs="Times New Roman"/>
              </w:rPr>
              <w:t>&lt; 0.001</w:t>
            </w:r>
          </w:p>
        </w:tc>
        <w:tc>
          <w:tcPr>
            <w:tcW w:w="1110" w:type="dxa"/>
            <w:shd w:val="clear" w:color="auto" w:fill="auto"/>
            <w:tcMar>
              <w:top w:w="100" w:type="dxa"/>
              <w:left w:w="100" w:type="dxa"/>
              <w:bottom w:w="100" w:type="dxa"/>
              <w:right w:w="100" w:type="dxa"/>
            </w:tcMar>
          </w:tcPr>
          <w:p w14:paraId="7DA4A53A" w14:textId="77777777" w:rsidR="00C53D27" w:rsidRPr="00E030B5" w:rsidRDefault="0025410D">
            <w:pPr>
              <w:widowControl w:val="0"/>
              <w:pBdr>
                <w:top w:val="nil"/>
                <w:left w:val="nil"/>
                <w:bottom w:val="nil"/>
                <w:right w:val="nil"/>
                <w:between w:val="nil"/>
              </w:pBdr>
              <w:spacing w:after="0" w:line="240" w:lineRule="auto"/>
              <w:rPr>
                <w:rFonts w:ascii="Times New Roman" w:hAnsi="Times New Roman" w:cs="Times New Roman"/>
              </w:rPr>
            </w:pPr>
            <w:r w:rsidRPr="00E030B5">
              <w:rPr>
                <w:rFonts w:ascii="Times New Roman" w:hAnsi="Times New Roman" w:cs="Times New Roman"/>
              </w:rPr>
              <w:t>6, 119</w:t>
            </w:r>
          </w:p>
        </w:tc>
        <w:tc>
          <w:tcPr>
            <w:tcW w:w="1155" w:type="dxa"/>
            <w:shd w:val="clear" w:color="auto" w:fill="auto"/>
            <w:tcMar>
              <w:top w:w="100" w:type="dxa"/>
              <w:left w:w="100" w:type="dxa"/>
              <w:bottom w:w="100" w:type="dxa"/>
              <w:right w:w="100" w:type="dxa"/>
            </w:tcMar>
          </w:tcPr>
          <w:p w14:paraId="3063959C" w14:textId="77777777" w:rsidR="00C53D27" w:rsidRPr="00E030B5" w:rsidRDefault="0025410D">
            <w:pPr>
              <w:widowControl w:val="0"/>
              <w:pBdr>
                <w:top w:val="nil"/>
                <w:left w:val="nil"/>
                <w:bottom w:val="nil"/>
                <w:right w:val="nil"/>
                <w:between w:val="nil"/>
              </w:pBdr>
              <w:spacing w:after="0" w:line="240" w:lineRule="auto"/>
              <w:rPr>
                <w:rFonts w:ascii="Times New Roman" w:hAnsi="Times New Roman" w:cs="Times New Roman"/>
              </w:rPr>
            </w:pPr>
            <w:r w:rsidRPr="00E030B5">
              <w:rPr>
                <w:rFonts w:ascii="Times New Roman" w:hAnsi="Times New Roman" w:cs="Times New Roman"/>
              </w:rPr>
              <w:t>&lt; 0.01</w:t>
            </w:r>
          </w:p>
        </w:tc>
      </w:tr>
      <w:tr w:rsidR="00C53D27" w:rsidRPr="00E030B5" w14:paraId="290A7C4F" w14:textId="77777777">
        <w:tc>
          <w:tcPr>
            <w:tcW w:w="2760" w:type="dxa"/>
            <w:shd w:val="clear" w:color="auto" w:fill="auto"/>
            <w:tcMar>
              <w:top w:w="100" w:type="dxa"/>
              <w:left w:w="100" w:type="dxa"/>
              <w:bottom w:w="100" w:type="dxa"/>
              <w:right w:w="100" w:type="dxa"/>
            </w:tcMar>
          </w:tcPr>
          <w:p w14:paraId="06A07C0F" w14:textId="77777777" w:rsidR="00C53D27" w:rsidRPr="00E030B5" w:rsidRDefault="0025410D">
            <w:pPr>
              <w:widowControl w:val="0"/>
              <w:pBdr>
                <w:top w:val="nil"/>
                <w:left w:val="nil"/>
                <w:bottom w:val="nil"/>
                <w:right w:val="nil"/>
                <w:between w:val="nil"/>
              </w:pBdr>
              <w:spacing w:after="0" w:line="240" w:lineRule="auto"/>
              <w:rPr>
                <w:rFonts w:ascii="Times New Roman" w:hAnsi="Times New Roman" w:cs="Times New Roman"/>
              </w:rPr>
            </w:pPr>
            <w:r w:rsidRPr="00E030B5">
              <w:rPr>
                <w:rFonts w:ascii="Times New Roman" w:hAnsi="Times New Roman" w:cs="Times New Roman"/>
              </w:rPr>
              <w:t xml:space="preserve">Unfertilized no movement vs. Fertilized no movement </w:t>
            </w:r>
          </w:p>
        </w:tc>
        <w:tc>
          <w:tcPr>
            <w:tcW w:w="3090" w:type="dxa"/>
            <w:shd w:val="clear" w:color="auto" w:fill="auto"/>
            <w:tcMar>
              <w:top w:w="100" w:type="dxa"/>
              <w:left w:w="100" w:type="dxa"/>
              <w:bottom w:w="100" w:type="dxa"/>
              <w:right w:w="100" w:type="dxa"/>
            </w:tcMar>
          </w:tcPr>
          <w:p w14:paraId="55C3F8A1" w14:textId="77777777" w:rsidR="00C53D27" w:rsidRPr="00E030B5" w:rsidRDefault="0025410D">
            <w:pPr>
              <w:widowControl w:val="0"/>
              <w:spacing w:after="0" w:line="240" w:lineRule="auto"/>
              <w:rPr>
                <w:rFonts w:ascii="Times New Roman" w:hAnsi="Times New Roman" w:cs="Times New Roman"/>
              </w:rPr>
            </w:pPr>
            <w:r w:rsidRPr="00E030B5">
              <w:rPr>
                <w:rFonts w:ascii="Times New Roman" w:hAnsi="Times New Roman" w:cs="Times New Roman"/>
              </w:rPr>
              <w:t xml:space="preserve">Effect of fertilizer in the absence of movement </w:t>
            </w:r>
          </w:p>
        </w:tc>
        <w:tc>
          <w:tcPr>
            <w:tcW w:w="1005" w:type="dxa"/>
            <w:shd w:val="clear" w:color="auto" w:fill="auto"/>
            <w:tcMar>
              <w:top w:w="100" w:type="dxa"/>
              <w:left w:w="100" w:type="dxa"/>
              <w:bottom w:w="100" w:type="dxa"/>
              <w:right w:w="100" w:type="dxa"/>
            </w:tcMar>
          </w:tcPr>
          <w:p w14:paraId="5A2626A2" w14:textId="77777777" w:rsidR="00C53D27" w:rsidRPr="00E030B5" w:rsidRDefault="0025410D">
            <w:pPr>
              <w:widowControl w:val="0"/>
              <w:pBdr>
                <w:top w:val="nil"/>
                <w:left w:val="nil"/>
                <w:bottom w:val="nil"/>
                <w:right w:val="nil"/>
                <w:between w:val="nil"/>
              </w:pBdr>
              <w:spacing w:after="0" w:line="240" w:lineRule="auto"/>
              <w:rPr>
                <w:rFonts w:ascii="Times New Roman" w:hAnsi="Times New Roman" w:cs="Times New Roman"/>
              </w:rPr>
            </w:pPr>
            <w:r w:rsidRPr="00E030B5">
              <w:rPr>
                <w:rFonts w:ascii="Times New Roman" w:hAnsi="Times New Roman" w:cs="Times New Roman"/>
              </w:rPr>
              <w:t>6, 118</w:t>
            </w:r>
          </w:p>
        </w:tc>
        <w:tc>
          <w:tcPr>
            <w:tcW w:w="1065" w:type="dxa"/>
            <w:shd w:val="clear" w:color="auto" w:fill="auto"/>
            <w:tcMar>
              <w:top w:w="100" w:type="dxa"/>
              <w:left w:w="100" w:type="dxa"/>
              <w:bottom w:w="100" w:type="dxa"/>
              <w:right w:w="100" w:type="dxa"/>
            </w:tcMar>
          </w:tcPr>
          <w:p w14:paraId="04A4EF25" w14:textId="77777777" w:rsidR="00C53D27" w:rsidRPr="00E030B5" w:rsidRDefault="0025410D">
            <w:pPr>
              <w:widowControl w:val="0"/>
              <w:spacing w:after="0" w:line="240" w:lineRule="auto"/>
              <w:rPr>
                <w:rFonts w:ascii="Times New Roman" w:hAnsi="Times New Roman" w:cs="Times New Roman"/>
              </w:rPr>
            </w:pPr>
            <w:r w:rsidRPr="00E030B5">
              <w:rPr>
                <w:rFonts w:ascii="Times New Roman" w:hAnsi="Times New Roman" w:cs="Times New Roman"/>
              </w:rPr>
              <w:t>&lt; 0.001</w:t>
            </w:r>
          </w:p>
        </w:tc>
        <w:tc>
          <w:tcPr>
            <w:tcW w:w="1380" w:type="dxa"/>
            <w:shd w:val="clear" w:color="auto" w:fill="auto"/>
            <w:tcMar>
              <w:top w:w="100" w:type="dxa"/>
              <w:left w:w="100" w:type="dxa"/>
              <w:bottom w:w="100" w:type="dxa"/>
              <w:right w:w="100" w:type="dxa"/>
            </w:tcMar>
          </w:tcPr>
          <w:p w14:paraId="46770D32" w14:textId="77777777" w:rsidR="00C53D27" w:rsidRPr="00E030B5" w:rsidRDefault="0025410D">
            <w:pPr>
              <w:widowControl w:val="0"/>
              <w:spacing w:after="0" w:line="240" w:lineRule="auto"/>
              <w:rPr>
                <w:rFonts w:ascii="Times New Roman" w:hAnsi="Times New Roman" w:cs="Times New Roman"/>
              </w:rPr>
            </w:pPr>
            <w:r w:rsidRPr="00E030B5">
              <w:rPr>
                <w:rFonts w:ascii="Times New Roman" w:hAnsi="Times New Roman" w:cs="Times New Roman"/>
              </w:rPr>
              <w:t>13, 238</w:t>
            </w:r>
          </w:p>
        </w:tc>
        <w:tc>
          <w:tcPr>
            <w:tcW w:w="1380" w:type="dxa"/>
            <w:shd w:val="clear" w:color="auto" w:fill="auto"/>
            <w:tcMar>
              <w:top w:w="100" w:type="dxa"/>
              <w:left w:w="100" w:type="dxa"/>
              <w:bottom w:w="100" w:type="dxa"/>
              <w:right w:w="100" w:type="dxa"/>
            </w:tcMar>
          </w:tcPr>
          <w:p w14:paraId="60421E30" w14:textId="77777777" w:rsidR="00C53D27" w:rsidRPr="00E030B5" w:rsidRDefault="0025410D">
            <w:pPr>
              <w:widowControl w:val="0"/>
              <w:spacing w:after="0" w:line="240" w:lineRule="auto"/>
              <w:rPr>
                <w:rFonts w:ascii="Times New Roman" w:hAnsi="Times New Roman" w:cs="Times New Roman"/>
              </w:rPr>
            </w:pPr>
            <w:r w:rsidRPr="00E030B5">
              <w:rPr>
                <w:rFonts w:ascii="Times New Roman" w:hAnsi="Times New Roman" w:cs="Times New Roman"/>
              </w:rPr>
              <w:t>&lt; 0.001</w:t>
            </w:r>
          </w:p>
        </w:tc>
        <w:tc>
          <w:tcPr>
            <w:tcW w:w="1110" w:type="dxa"/>
            <w:shd w:val="clear" w:color="auto" w:fill="auto"/>
            <w:tcMar>
              <w:top w:w="100" w:type="dxa"/>
              <w:left w:w="100" w:type="dxa"/>
              <w:bottom w:w="100" w:type="dxa"/>
              <w:right w:w="100" w:type="dxa"/>
            </w:tcMar>
          </w:tcPr>
          <w:p w14:paraId="638D0E46" w14:textId="77777777" w:rsidR="00C53D27" w:rsidRPr="00E030B5" w:rsidRDefault="0025410D">
            <w:pPr>
              <w:widowControl w:val="0"/>
              <w:pBdr>
                <w:top w:val="nil"/>
                <w:left w:val="nil"/>
                <w:bottom w:val="nil"/>
                <w:right w:val="nil"/>
                <w:between w:val="nil"/>
              </w:pBdr>
              <w:spacing w:after="0" w:line="240" w:lineRule="auto"/>
              <w:rPr>
                <w:rFonts w:ascii="Times New Roman" w:hAnsi="Times New Roman" w:cs="Times New Roman"/>
              </w:rPr>
            </w:pPr>
            <w:r w:rsidRPr="00E030B5">
              <w:rPr>
                <w:rFonts w:ascii="Times New Roman" w:hAnsi="Times New Roman" w:cs="Times New Roman"/>
              </w:rPr>
              <w:t>6, 119</w:t>
            </w:r>
          </w:p>
        </w:tc>
        <w:tc>
          <w:tcPr>
            <w:tcW w:w="1155" w:type="dxa"/>
            <w:shd w:val="clear" w:color="auto" w:fill="auto"/>
            <w:tcMar>
              <w:top w:w="100" w:type="dxa"/>
              <w:left w:w="100" w:type="dxa"/>
              <w:bottom w:w="100" w:type="dxa"/>
              <w:right w:w="100" w:type="dxa"/>
            </w:tcMar>
          </w:tcPr>
          <w:p w14:paraId="3569706B" w14:textId="77777777" w:rsidR="00C53D27" w:rsidRPr="00E030B5" w:rsidRDefault="0025410D">
            <w:pPr>
              <w:widowControl w:val="0"/>
              <w:pBdr>
                <w:top w:val="nil"/>
                <w:left w:val="nil"/>
                <w:bottom w:val="nil"/>
                <w:right w:val="nil"/>
                <w:between w:val="nil"/>
              </w:pBdr>
              <w:spacing w:after="0" w:line="240" w:lineRule="auto"/>
              <w:rPr>
                <w:rFonts w:ascii="Times New Roman" w:hAnsi="Times New Roman" w:cs="Times New Roman"/>
              </w:rPr>
            </w:pPr>
            <w:r w:rsidRPr="00E030B5">
              <w:rPr>
                <w:rFonts w:ascii="Times New Roman" w:hAnsi="Times New Roman" w:cs="Times New Roman"/>
              </w:rPr>
              <w:t>&lt; 0.001</w:t>
            </w:r>
          </w:p>
        </w:tc>
      </w:tr>
      <w:tr w:rsidR="00C53D27" w:rsidRPr="00E030B5" w14:paraId="568B092D" w14:textId="77777777">
        <w:tc>
          <w:tcPr>
            <w:tcW w:w="2760" w:type="dxa"/>
            <w:shd w:val="clear" w:color="auto" w:fill="auto"/>
            <w:tcMar>
              <w:top w:w="100" w:type="dxa"/>
              <w:left w:w="100" w:type="dxa"/>
              <w:bottom w:w="100" w:type="dxa"/>
              <w:right w:w="100" w:type="dxa"/>
            </w:tcMar>
          </w:tcPr>
          <w:p w14:paraId="124FA876" w14:textId="77777777" w:rsidR="00C53D27" w:rsidRPr="00E030B5" w:rsidRDefault="0025410D">
            <w:pPr>
              <w:widowControl w:val="0"/>
              <w:pBdr>
                <w:top w:val="nil"/>
                <w:left w:val="nil"/>
                <w:bottom w:val="nil"/>
                <w:right w:val="nil"/>
                <w:between w:val="nil"/>
              </w:pBdr>
              <w:spacing w:after="0" w:line="240" w:lineRule="auto"/>
              <w:rPr>
                <w:rFonts w:ascii="Times New Roman" w:hAnsi="Times New Roman" w:cs="Times New Roman"/>
                <w:b/>
              </w:rPr>
            </w:pPr>
            <w:r w:rsidRPr="00E030B5">
              <w:rPr>
                <w:rFonts w:ascii="Times New Roman" w:hAnsi="Times New Roman" w:cs="Times New Roman"/>
              </w:rPr>
              <w:t xml:space="preserve">Unfertilized movement vs. Fertilized movement </w:t>
            </w:r>
          </w:p>
        </w:tc>
        <w:tc>
          <w:tcPr>
            <w:tcW w:w="3090" w:type="dxa"/>
            <w:shd w:val="clear" w:color="auto" w:fill="auto"/>
            <w:tcMar>
              <w:top w:w="100" w:type="dxa"/>
              <w:left w:w="100" w:type="dxa"/>
              <w:bottom w:w="100" w:type="dxa"/>
              <w:right w:w="100" w:type="dxa"/>
            </w:tcMar>
          </w:tcPr>
          <w:p w14:paraId="14FE6E78" w14:textId="77777777" w:rsidR="00C53D27" w:rsidRPr="00E030B5" w:rsidRDefault="0025410D">
            <w:pPr>
              <w:widowControl w:val="0"/>
              <w:spacing w:after="0" w:line="240" w:lineRule="auto"/>
              <w:rPr>
                <w:rFonts w:ascii="Times New Roman" w:hAnsi="Times New Roman" w:cs="Times New Roman"/>
              </w:rPr>
            </w:pPr>
            <w:r w:rsidRPr="00E030B5">
              <w:rPr>
                <w:rFonts w:ascii="Times New Roman" w:hAnsi="Times New Roman" w:cs="Times New Roman"/>
              </w:rPr>
              <w:t xml:space="preserve">Effect of fertilizer in the presence of movement </w:t>
            </w:r>
          </w:p>
        </w:tc>
        <w:tc>
          <w:tcPr>
            <w:tcW w:w="1005" w:type="dxa"/>
            <w:shd w:val="clear" w:color="auto" w:fill="auto"/>
            <w:tcMar>
              <w:top w:w="100" w:type="dxa"/>
              <w:left w:w="100" w:type="dxa"/>
              <w:bottom w:w="100" w:type="dxa"/>
              <w:right w:w="100" w:type="dxa"/>
            </w:tcMar>
          </w:tcPr>
          <w:p w14:paraId="7FE09C86" w14:textId="77777777" w:rsidR="00C53D27" w:rsidRPr="00E030B5" w:rsidRDefault="0025410D">
            <w:pPr>
              <w:widowControl w:val="0"/>
              <w:pBdr>
                <w:top w:val="nil"/>
                <w:left w:val="nil"/>
                <w:bottom w:val="nil"/>
                <w:right w:val="nil"/>
                <w:between w:val="nil"/>
              </w:pBdr>
              <w:spacing w:after="0" w:line="240" w:lineRule="auto"/>
              <w:rPr>
                <w:rFonts w:ascii="Times New Roman" w:hAnsi="Times New Roman" w:cs="Times New Roman"/>
              </w:rPr>
            </w:pPr>
            <w:r w:rsidRPr="00E030B5">
              <w:rPr>
                <w:rFonts w:ascii="Times New Roman" w:hAnsi="Times New Roman" w:cs="Times New Roman"/>
              </w:rPr>
              <w:t>6, 14</w:t>
            </w:r>
          </w:p>
        </w:tc>
        <w:tc>
          <w:tcPr>
            <w:tcW w:w="1065" w:type="dxa"/>
            <w:shd w:val="clear" w:color="auto" w:fill="auto"/>
            <w:tcMar>
              <w:top w:w="100" w:type="dxa"/>
              <w:left w:w="100" w:type="dxa"/>
              <w:bottom w:w="100" w:type="dxa"/>
              <w:right w:w="100" w:type="dxa"/>
            </w:tcMar>
          </w:tcPr>
          <w:p w14:paraId="66E1C3F4" w14:textId="77777777" w:rsidR="00C53D27" w:rsidRPr="00E030B5" w:rsidRDefault="0025410D">
            <w:pPr>
              <w:widowControl w:val="0"/>
              <w:spacing w:after="0" w:line="240" w:lineRule="auto"/>
              <w:rPr>
                <w:rFonts w:ascii="Times New Roman" w:hAnsi="Times New Roman" w:cs="Times New Roman"/>
              </w:rPr>
            </w:pPr>
            <w:r w:rsidRPr="00E030B5">
              <w:rPr>
                <w:rFonts w:ascii="Times New Roman" w:hAnsi="Times New Roman" w:cs="Times New Roman"/>
              </w:rPr>
              <w:t>0.40</w:t>
            </w:r>
          </w:p>
        </w:tc>
        <w:tc>
          <w:tcPr>
            <w:tcW w:w="1380" w:type="dxa"/>
            <w:shd w:val="clear" w:color="auto" w:fill="auto"/>
            <w:tcMar>
              <w:top w:w="100" w:type="dxa"/>
              <w:left w:w="100" w:type="dxa"/>
              <w:bottom w:w="100" w:type="dxa"/>
              <w:right w:w="100" w:type="dxa"/>
            </w:tcMar>
          </w:tcPr>
          <w:p w14:paraId="7E274A78" w14:textId="77777777" w:rsidR="00C53D27" w:rsidRPr="00E030B5" w:rsidRDefault="0025410D">
            <w:pPr>
              <w:widowControl w:val="0"/>
              <w:spacing w:after="0" w:line="240" w:lineRule="auto"/>
              <w:rPr>
                <w:rFonts w:ascii="Times New Roman" w:hAnsi="Times New Roman" w:cs="Times New Roman"/>
              </w:rPr>
            </w:pPr>
            <w:r w:rsidRPr="00E030B5">
              <w:rPr>
                <w:rFonts w:ascii="Times New Roman" w:hAnsi="Times New Roman" w:cs="Times New Roman"/>
              </w:rPr>
              <w:t>13, 238</w:t>
            </w:r>
          </w:p>
        </w:tc>
        <w:tc>
          <w:tcPr>
            <w:tcW w:w="1380" w:type="dxa"/>
            <w:shd w:val="clear" w:color="auto" w:fill="auto"/>
            <w:tcMar>
              <w:top w:w="100" w:type="dxa"/>
              <w:left w:w="100" w:type="dxa"/>
              <w:bottom w:w="100" w:type="dxa"/>
              <w:right w:w="100" w:type="dxa"/>
            </w:tcMar>
          </w:tcPr>
          <w:p w14:paraId="4460CDD6" w14:textId="77777777" w:rsidR="00C53D27" w:rsidRPr="00E030B5" w:rsidRDefault="0025410D">
            <w:pPr>
              <w:widowControl w:val="0"/>
              <w:spacing w:after="0" w:line="240" w:lineRule="auto"/>
              <w:rPr>
                <w:rFonts w:ascii="Times New Roman" w:hAnsi="Times New Roman" w:cs="Times New Roman"/>
              </w:rPr>
            </w:pPr>
            <w:r w:rsidRPr="00E030B5">
              <w:rPr>
                <w:rFonts w:ascii="Times New Roman" w:hAnsi="Times New Roman" w:cs="Times New Roman"/>
              </w:rPr>
              <w:t>&lt; 0.001</w:t>
            </w:r>
          </w:p>
        </w:tc>
        <w:tc>
          <w:tcPr>
            <w:tcW w:w="1110" w:type="dxa"/>
            <w:shd w:val="clear" w:color="auto" w:fill="auto"/>
            <w:tcMar>
              <w:top w:w="100" w:type="dxa"/>
              <w:left w:w="100" w:type="dxa"/>
              <w:bottom w:w="100" w:type="dxa"/>
              <w:right w:w="100" w:type="dxa"/>
            </w:tcMar>
          </w:tcPr>
          <w:p w14:paraId="50C5687A" w14:textId="77777777" w:rsidR="00C53D27" w:rsidRPr="00E030B5" w:rsidRDefault="0025410D">
            <w:pPr>
              <w:widowControl w:val="0"/>
              <w:pBdr>
                <w:top w:val="nil"/>
                <w:left w:val="nil"/>
                <w:bottom w:val="nil"/>
                <w:right w:val="nil"/>
                <w:between w:val="nil"/>
              </w:pBdr>
              <w:spacing w:after="0" w:line="240" w:lineRule="auto"/>
              <w:rPr>
                <w:rFonts w:ascii="Times New Roman" w:hAnsi="Times New Roman" w:cs="Times New Roman"/>
              </w:rPr>
            </w:pPr>
            <w:r w:rsidRPr="00E030B5">
              <w:rPr>
                <w:rFonts w:ascii="Times New Roman" w:hAnsi="Times New Roman" w:cs="Times New Roman"/>
              </w:rPr>
              <w:t>6, 119</w:t>
            </w:r>
          </w:p>
        </w:tc>
        <w:tc>
          <w:tcPr>
            <w:tcW w:w="1155" w:type="dxa"/>
            <w:shd w:val="clear" w:color="auto" w:fill="auto"/>
            <w:tcMar>
              <w:top w:w="100" w:type="dxa"/>
              <w:left w:w="100" w:type="dxa"/>
              <w:bottom w:w="100" w:type="dxa"/>
              <w:right w:w="100" w:type="dxa"/>
            </w:tcMar>
          </w:tcPr>
          <w:p w14:paraId="4045F313" w14:textId="77777777" w:rsidR="00C53D27" w:rsidRPr="00E030B5" w:rsidRDefault="0025410D">
            <w:pPr>
              <w:widowControl w:val="0"/>
              <w:pBdr>
                <w:top w:val="nil"/>
                <w:left w:val="nil"/>
                <w:bottom w:val="nil"/>
                <w:right w:val="nil"/>
                <w:between w:val="nil"/>
              </w:pBdr>
              <w:spacing w:after="0" w:line="240" w:lineRule="auto"/>
              <w:rPr>
                <w:rFonts w:ascii="Times New Roman" w:hAnsi="Times New Roman" w:cs="Times New Roman"/>
              </w:rPr>
            </w:pPr>
            <w:r w:rsidRPr="00E030B5">
              <w:rPr>
                <w:rFonts w:ascii="Times New Roman" w:hAnsi="Times New Roman" w:cs="Times New Roman"/>
              </w:rPr>
              <w:t>&lt; 0.001</w:t>
            </w:r>
          </w:p>
        </w:tc>
      </w:tr>
    </w:tbl>
    <w:p w14:paraId="2ABF1E88" w14:textId="77777777" w:rsidR="00C53D27" w:rsidRPr="00E030B5" w:rsidRDefault="0025410D" w:rsidP="00B43CA0">
      <w:pPr>
        <w:rPr>
          <w:rFonts w:ascii="Times New Roman" w:hAnsi="Times New Roman" w:cs="Times New Roman"/>
        </w:rPr>
      </w:pPr>
      <w:bookmarkStart w:id="15" w:name="_cgj47u6hunto" w:colFirst="0" w:colLast="0"/>
      <w:bookmarkEnd w:id="15"/>
      <w:r w:rsidRPr="00E030B5">
        <w:rPr>
          <w:rFonts w:ascii="Times New Roman" w:hAnsi="Times New Roman" w:cs="Times New Roman"/>
        </w:rPr>
        <w:br w:type="page"/>
      </w:r>
    </w:p>
    <w:p w14:paraId="01031616" w14:textId="77777777" w:rsidR="00C53D27" w:rsidRPr="00E030B5" w:rsidRDefault="0025410D">
      <w:pPr>
        <w:pStyle w:val="Heading2"/>
        <w:spacing w:after="0"/>
        <w:rPr>
          <w:rFonts w:ascii="Times New Roman" w:hAnsi="Times New Roman" w:cs="Times New Roman"/>
        </w:rPr>
      </w:pPr>
      <w:bookmarkStart w:id="16" w:name="_guhkq3qs8pn7" w:colFirst="0" w:colLast="0"/>
      <w:bookmarkEnd w:id="16"/>
      <w:r w:rsidRPr="00E030B5">
        <w:rPr>
          <w:rFonts w:ascii="Times New Roman" w:hAnsi="Times New Roman" w:cs="Times New Roman"/>
        </w:rPr>
        <w:lastRenderedPageBreak/>
        <w:t>Associational Effects Supplemental Data</w:t>
      </w:r>
    </w:p>
    <w:p w14:paraId="6E72F2D3" w14:textId="77777777" w:rsidR="00C53D27" w:rsidRPr="00E030B5" w:rsidRDefault="0025410D">
      <w:pPr>
        <w:rPr>
          <w:rFonts w:ascii="Times New Roman" w:hAnsi="Times New Roman" w:cs="Times New Roman"/>
        </w:rPr>
      </w:pPr>
      <w:r w:rsidRPr="00E030B5">
        <w:rPr>
          <w:rFonts w:ascii="Times New Roman" w:hAnsi="Times New Roman" w:cs="Times New Roman"/>
        </w:rPr>
        <w:t>S2. Associational Effects Pairwise comparisons</w:t>
      </w:r>
    </w:p>
    <w:tbl>
      <w:tblPr>
        <w:tblStyle w:val="a0"/>
        <w:tblW w:w="132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45"/>
        <w:gridCol w:w="3105"/>
        <w:gridCol w:w="1005"/>
        <w:gridCol w:w="1065"/>
        <w:gridCol w:w="1380"/>
        <w:gridCol w:w="1380"/>
        <w:gridCol w:w="1110"/>
        <w:gridCol w:w="1500"/>
      </w:tblGrid>
      <w:tr w:rsidR="00C53D27" w:rsidRPr="00E030B5" w14:paraId="17E58D64" w14:textId="77777777">
        <w:trPr>
          <w:trHeight w:val="440"/>
        </w:trPr>
        <w:tc>
          <w:tcPr>
            <w:tcW w:w="2745" w:type="dxa"/>
            <w:vMerge w:val="restart"/>
            <w:shd w:val="clear" w:color="auto" w:fill="auto"/>
            <w:tcMar>
              <w:top w:w="100" w:type="dxa"/>
              <w:left w:w="100" w:type="dxa"/>
              <w:bottom w:w="100" w:type="dxa"/>
              <w:right w:w="100" w:type="dxa"/>
            </w:tcMar>
          </w:tcPr>
          <w:p w14:paraId="4ADA88A1" w14:textId="77777777" w:rsidR="00C53D27" w:rsidRPr="00E030B5" w:rsidRDefault="00C53D27">
            <w:pPr>
              <w:widowControl w:val="0"/>
              <w:spacing w:after="0" w:line="240" w:lineRule="auto"/>
              <w:rPr>
                <w:rFonts w:ascii="Times New Roman" w:hAnsi="Times New Roman" w:cs="Times New Roman"/>
                <w:b/>
              </w:rPr>
            </w:pPr>
          </w:p>
          <w:p w14:paraId="3CB87728" w14:textId="77777777" w:rsidR="00C53D27" w:rsidRPr="00E030B5" w:rsidRDefault="0025410D">
            <w:pPr>
              <w:widowControl w:val="0"/>
              <w:spacing w:after="0" w:line="240" w:lineRule="auto"/>
              <w:rPr>
                <w:rFonts w:ascii="Times New Roman" w:hAnsi="Times New Roman" w:cs="Times New Roman"/>
                <w:b/>
              </w:rPr>
            </w:pPr>
            <w:r w:rsidRPr="00E030B5">
              <w:rPr>
                <w:rFonts w:ascii="Times New Roman" w:hAnsi="Times New Roman" w:cs="Times New Roman"/>
                <w:b/>
              </w:rPr>
              <w:t xml:space="preserve">Pairwise comparison </w:t>
            </w:r>
          </w:p>
        </w:tc>
        <w:tc>
          <w:tcPr>
            <w:tcW w:w="3105" w:type="dxa"/>
            <w:vMerge w:val="restart"/>
            <w:shd w:val="clear" w:color="auto" w:fill="auto"/>
            <w:tcMar>
              <w:top w:w="100" w:type="dxa"/>
              <w:left w:w="100" w:type="dxa"/>
              <w:bottom w:w="100" w:type="dxa"/>
              <w:right w:w="100" w:type="dxa"/>
            </w:tcMar>
          </w:tcPr>
          <w:p w14:paraId="0BC01E3D" w14:textId="77777777" w:rsidR="00C53D27" w:rsidRPr="00E030B5" w:rsidRDefault="00C53D27">
            <w:pPr>
              <w:widowControl w:val="0"/>
              <w:spacing w:after="0" w:line="240" w:lineRule="auto"/>
              <w:rPr>
                <w:rFonts w:ascii="Times New Roman" w:hAnsi="Times New Roman" w:cs="Times New Roman"/>
                <w:b/>
              </w:rPr>
            </w:pPr>
          </w:p>
          <w:p w14:paraId="6454C26E" w14:textId="77777777" w:rsidR="00C53D27" w:rsidRPr="00E030B5" w:rsidRDefault="0025410D">
            <w:pPr>
              <w:widowControl w:val="0"/>
              <w:spacing w:after="0" w:line="240" w:lineRule="auto"/>
              <w:rPr>
                <w:rFonts w:ascii="Times New Roman" w:hAnsi="Times New Roman" w:cs="Times New Roman"/>
                <w:b/>
              </w:rPr>
            </w:pPr>
            <w:r w:rsidRPr="00E030B5">
              <w:rPr>
                <w:rFonts w:ascii="Times New Roman" w:hAnsi="Times New Roman" w:cs="Times New Roman"/>
                <w:b/>
              </w:rPr>
              <w:t xml:space="preserve">Testing for? </w:t>
            </w:r>
          </w:p>
        </w:tc>
        <w:tc>
          <w:tcPr>
            <w:tcW w:w="2070" w:type="dxa"/>
            <w:gridSpan w:val="2"/>
            <w:shd w:val="clear" w:color="auto" w:fill="auto"/>
            <w:tcMar>
              <w:top w:w="100" w:type="dxa"/>
              <w:left w:w="100" w:type="dxa"/>
              <w:bottom w:w="100" w:type="dxa"/>
              <w:right w:w="100" w:type="dxa"/>
            </w:tcMar>
          </w:tcPr>
          <w:p w14:paraId="22B3DF9D" w14:textId="77777777" w:rsidR="00C53D27" w:rsidRPr="00E030B5" w:rsidRDefault="0025410D">
            <w:pPr>
              <w:widowControl w:val="0"/>
              <w:spacing w:after="0" w:line="240" w:lineRule="auto"/>
              <w:jc w:val="center"/>
              <w:rPr>
                <w:rFonts w:ascii="Times New Roman" w:hAnsi="Times New Roman" w:cs="Times New Roman"/>
                <w:b/>
              </w:rPr>
            </w:pPr>
            <w:r w:rsidRPr="00E030B5">
              <w:rPr>
                <w:rFonts w:ascii="Times New Roman" w:hAnsi="Times New Roman" w:cs="Times New Roman"/>
                <w:b/>
              </w:rPr>
              <w:t>Larval RGR</w:t>
            </w:r>
          </w:p>
        </w:tc>
        <w:tc>
          <w:tcPr>
            <w:tcW w:w="2760" w:type="dxa"/>
            <w:gridSpan w:val="2"/>
            <w:shd w:val="clear" w:color="auto" w:fill="auto"/>
            <w:tcMar>
              <w:top w:w="100" w:type="dxa"/>
              <w:left w:w="100" w:type="dxa"/>
              <w:bottom w:w="100" w:type="dxa"/>
              <w:right w:w="100" w:type="dxa"/>
            </w:tcMar>
          </w:tcPr>
          <w:p w14:paraId="699641DB" w14:textId="77777777" w:rsidR="00C53D27" w:rsidRPr="00E030B5" w:rsidRDefault="0025410D">
            <w:pPr>
              <w:widowControl w:val="0"/>
              <w:spacing w:after="0" w:line="240" w:lineRule="auto"/>
              <w:jc w:val="center"/>
              <w:rPr>
                <w:rFonts w:ascii="Times New Roman" w:hAnsi="Times New Roman" w:cs="Times New Roman"/>
                <w:b/>
              </w:rPr>
            </w:pPr>
            <w:r w:rsidRPr="00E030B5">
              <w:rPr>
                <w:rFonts w:ascii="Times New Roman" w:hAnsi="Times New Roman" w:cs="Times New Roman"/>
                <w:b/>
              </w:rPr>
              <w:t>Percent Leaf Damage</w:t>
            </w:r>
          </w:p>
        </w:tc>
        <w:tc>
          <w:tcPr>
            <w:tcW w:w="2610" w:type="dxa"/>
            <w:gridSpan w:val="2"/>
            <w:shd w:val="clear" w:color="auto" w:fill="auto"/>
            <w:tcMar>
              <w:top w:w="100" w:type="dxa"/>
              <w:left w:w="100" w:type="dxa"/>
              <w:bottom w:w="100" w:type="dxa"/>
              <w:right w:w="100" w:type="dxa"/>
            </w:tcMar>
          </w:tcPr>
          <w:p w14:paraId="446954C3" w14:textId="77777777" w:rsidR="00C53D27" w:rsidRPr="00E030B5" w:rsidRDefault="0025410D">
            <w:pPr>
              <w:widowControl w:val="0"/>
              <w:spacing w:after="0" w:line="240" w:lineRule="auto"/>
              <w:jc w:val="center"/>
              <w:rPr>
                <w:rFonts w:ascii="Times New Roman" w:hAnsi="Times New Roman" w:cs="Times New Roman"/>
                <w:b/>
              </w:rPr>
            </w:pPr>
            <w:r w:rsidRPr="00E030B5">
              <w:rPr>
                <w:rFonts w:ascii="Times New Roman" w:hAnsi="Times New Roman" w:cs="Times New Roman"/>
                <w:b/>
              </w:rPr>
              <w:t>Absolute Damage</w:t>
            </w:r>
          </w:p>
        </w:tc>
      </w:tr>
      <w:tr w:rsidR="00C53D27" w:rsidRPr="00E030B5" w14:paraId="099592E2" w14:textId="77777777">
        <w:trPr>
          <w:trHeight w:val="440"/>
        </w:trPr>
        <w:tc>
          <w:tcPr>
            <w:tcW w:w="2745" w:type="dxa"/>
            <w:vMerge/>
            <w:shd w:val="clear" w:color="auto" w:fill="auto"/>
            <w:tcMar>
              <w:top w:w="100" w:type="dxa"/>
              <w:left w:w="100" w:type="dxa"/>
              <w:bottom w:w="100" w:type="dxa"/>
              <w:right w:w="100" w:type="dxa"/>
            </w:tcMar>
          </w:tcPr>
          <w:p w14:paraId="5C6DF2EB" w14:textId="77777777" w:rsidR="00C53D27" w:rsidRPr="00E030B5" w:rsidRDefault="00C53D27">
            <w:pPr>
              <w:widowControl w:val="0"/>
              <w:spacing w:after="0" w:line="240" w:lineRule="auto"/>
              <w:rPr>
                <w:rFonts w:ascii="Times New Roman" w:hAnsi="Times New Roman" w:cs="Times New Roman"/>
                <w:b/>
              </w:rPr>
            </w:pPr>
          </w:p>
        </w:tc>
        <w:tc>
          <w:tcPr>
            <w:tcW w:w="3105" w:type="dxa"/>
            <w:vMerge/>
            <w:shd w:val="clear" w:color="auto" w:fill="auto"/>
            <w:tcMar>
              <w:top w:w="100" w:type="dxa"/>
              <w:left w:w="100" w:type="dxa"/>
              <w:bottom w:w="100" w:type="dxa"/>
              <w:right w:w="100" w:type="dxa"/>
            </w:tcMar>
          </w:tcPr>
          <w:p w14:paraId="010D070E" w14:textId="77777777" w:rsidR="00C53D27" w:rsidRPr="00E030B5" w:rsidRDefault="00C53D27">
            <w:pPr>
              <w:widowControl w:val="0"/>
              <w:spacing w:after="0" w:line="240" w:lineRule="auto"/>
              <w:rPr>
                <w:rFonts w:ascii="Times New Roman" w:hAnsi="Times New Roman" w:cs="Times New Roman"/>
                <w:b/>
              </w:rPr>
            </w:pPr>
          </w:p>
        </w:tc>
        <w:tc>
          <w:tcPr>
            <w:tcW w:w="1005" w:type="dxa"/>
            <w:shd w:val="clear" w:color="auto" w:fill="auto"/>
            <w:tcMar>
              <w:top w:w="100" w:type="dxa"/>
              <w:left w:w="100" w:type="dxa"/>
              <w:bottom w:w="100" w:type="dxa"/>
              <w:right w:w="100" w:type="dxa"/>
            </w:tcMar>
          </w:tcPr>
          <w:p w14:paraId="6BD443DA" w14:textId="77777777" w:rsidR="00C53D27" w:rsidRPr="00E030B5" w:rsidRDefault="0025410D">
            <w:pPr>
              <w:widowControl w:val="0"/>
              <w:spacing w:after="0" w:line="240" w:lineRule="auto"/>
              <w:rPr>
                <w:rFonts w:ascii="Times New Roman" w:hAnsi="Times New Roman" w:cs="Times New Roman"/>
                <w:b/>
              </w:rPr>
            </w:pPr>
            <w:r w:rsidRPr="00E030B5">
              <w:rPr>
                <w:rFonts w:ascii="Times New Roman" w:hAnsi="Times New Roman" w:cs="Times New Roman"/>
                <w:b/>
              </w:rPr>
              <w:t>df</w:t>
            </w:r>
          </w:p>
        </w:tc>
        <w:tc>
          <w:tcPr>
            <w:tcW w:w="1065" w:type="dxa"/>
            <w:shd w:val="clear" w:color="auto" w:fill="auto"/>
            <w:tcMar>
              <w:top w:w="100" w:type="dxa"/>
              <w:left w:w="100" w:type="dxa"/>
              <w:bottom w:w="100" w:type="dxa"/>
              <w:right w:w="100" w:type="dxa"/>
            </w:tcMar>
          </w:tcPr>
          <w:p w14:paraId="493C02FF" w14:textId="77777777" w:rsidR="00C53D27" w:rsidRPr="00E030B5" w:rsidRDefault="0025410D">
            <w:pPr>
              <w:widowControl w:val="0"/>
              <w:spacing w:after="0" w:line="240" w:lineRule="auto"/>
              <w:rPr>
                <w:rFonts w:ascii="Times New Roman" w:hAnsi="Times New Roman" w:cs="Times New Roman"/>
                <w:b/>
              </w:rPr>
            </w:pPr>
            <w:r w:rsidRPr="00E030B5">
              <w:rPr>
                <w:rFonts w:ascii="Times New Roman" w:hAnsi="Times New Roman" w:cs="Times New Roman"/>
                <w:b/>
              </w:rPr>
              <w:t>p-value</w:t>
            </w:r>
          </w:p>
        </w:tc>
        <w:tc>
          <w:tcPr>
            <w:tcW w:w="1380" w:type="dxa"/>
            <w:shd w:val="clear" w:color="auto" w:fill="auto"/>
            <w:tcMar>
              <w:top w:w="100" w:type="dxa"/>
              <w:left w:w="100" w:type="dxa"/>
              <w:bottom w:w="100" w:type="dxa"/>
              <w:right w:w="100" w:type="dxa"/>
            </w:tcMar>
          </w:tcPr>
          <w:p w14:paraId="1E4BDF4F" w14:textId="77777777" w:rsidR="00C53D27" w:rsidRPr="00E030B5" w:rsidRDefault="0025410D">
            <w:pPr>
              <w:widowControl w:val="0"/>
              <w:spacing w:after="0" w:line="240" w:lineRule="auto"/>
              <w:rPr>
                <w:rFonts w:ascii="Times New Roman" w:hAnsi="Times New Roman" w:cs="Times New Roman"/>
                <w:b/>
              </w:rPr>
            </w:pPr>
            <w:r w:rsidRPr="00E030B5">
              <w:rPr>
                <w:rFonts w:ascii="Times New Roman" w:hAnsi="Times New Roman" w:cs="Times New Roman"/>
                <w:b/>
              </w:rPr>
              <w:t>df</w:t>
            </w:r>
          </w:p>
        </w:tc>
        <w:tc>
          <w:tcPr>
            <w:tcW w:w="1380" w:type="dxa"/>
            <w:shd w:val="clear" w:color="auto" w:fill="auto"/>
            <w:tcMar>
              <w:top w:w="100" w:type="dxa"/>
              <w:left w:w="100" w:type="dxa"/>
              <w:bottom w:w="100" w:type="dxa"/>
              <w:right w:w="100" w:type="dxa"/>
            </w:tcMar>
          </w:tcPr>
          <w:p w14:paraId="5FC2980A" w14:textId="77777777" w:rsidR="00C53D27" w:rsidRPr="00E030B5" w:rsidRDefault="0025410D">
            <w:pPr>
              <w:widowControl w:val="0"/>
              <w:spacing w:after="0" w:line="240" w:lineRule="auto"/>
              <w:rPr>
                <w:rFonts w:ascii="Times New Roman" w:hAnsi="Times New Roman" w:cs="Times New Roman"/>
                <w:b/>
              </w:rPr>
            </w:pPr>
            <w:r w:rsidRPr="00E030B5">
              <w:rPr>
                <w:rFonts w:ascii="Times New Roman" w:hAnsi="Times New Roman" w:cs="Times New Roman"/>
                <w:b/>
              </w:rPr>
              <w:t>p-value</w:t>
            </w:r>
          </w:p>
        </w:tc>
        <w:tc>
          <w:tcPr>
            <w:tcW w:w="1110" w:type="dxa"/>
            <w:shd w:val="clear" w:color="auto" w:fill="auto"/>
            <w:tcMar>
              <w:top w:w="100" w:type="dxa"/>
              <w:left w:w="100" w:type="dxa"/>
              <w:bottom w:w="100" w:type="dxa"/>
              <w:right w:w="100" w:type="dxa"/>
            </w:tcMar>
          </w:tcPr>
          <w:p w14:paraId="474F9644" w14:textId="77777777" w:rsidR="00C53D27" w:rsidRPr="00E030B5" w:rsidRDefault="0025410D">
            <w:pPr>
              <w:widowControl w:val="0"/>
              <w:spacing w:after="0" w:line="240" w:lineRule="auto"/>
              <w:rPr>
                <w:rFonts w:ascii="Times New Roman" w:hAnsi="Times New Roman" w:cs="Times New Roman"/>
                <w:b/>
              </w:rPr>
            </w:pPr>
            <w:r w:rsidRPr="00E030B5">
              <w:rPr>
                <w:rFonts w:ascii="Times New Roman" w:hAnsi="Times New Roman" w:cs="Times New Roman"/>
                <w:b/>
              </w:rPr>
              <w:t>df</w:t>
            </w:r>
          </w:p>
        </w:tc>
        <w:tc>
          <w:tcPr>
            <w:tcW w:w="1500" w:type="dxa"/>
            <w:shd w:val="clear" w:color="auto" w:fill="auto"/>
            <w:tcMar>
              <w:top w:w="100" w:type="dxa"/>
              <w:left w:w="100" w:type="dxa"/>
              <w:bottom w:w="100" w:type="dxa"/>
              <w:right w:w="100" w:type="dxa"/>
            </w:tcMar>
          </w:tcPr>
          <w:p w14:paraId="5344985A" w14:textId="77777777" w:rsidR="00C53D27" w:rsidRPr="00E030B5" w:rsidRDefault="0025410D">
            <w:pPr>
              <w:widowControl w:val="0"/>
              <w:spacing w:after="0" w:line="240" w:lineRule="auto"/>
              <w:rPr>
                <w:rFonts w:ascii="Times New Roman" w:hAnsi="Times New Roman" w:cs="Times New Roman"/>
                <w:b/>
              </w:rPr>
            </w:pPr>
            <w:r w:rsidRPr="00E030B5">
              <w:rPr>
                <w:rFonts w:ascii="Times New Roman" w:hAnsi="Times New Roman" w:cs="Times New Roman"/>
                <w:b/>
              </w:rPr>
              <w:t>p-value</w:t>
            </w:r>
          </w:p>
        </w:tc>
      </w:tr>
      <w:tr w:rsidR="00C53D27" w:rsidRPr="00E030B5" w14:paraId="50359925" w14:textId="77777777">
        <w:trPr>
          <w:trHeight w:val="1103"/>
        </w:trPr>
        <w:tc>
          <w:tcPr>
            <w:tcW w:w="2745" w:type="dxa"/>
            <w:shd w:val="clear" w:color="auto" w:fill="auto"/>
            <w:tcMar>
              <w:top w:w="100" w:type="dxa"/>
              <w:left w:w="100" w:type="dxa"/>
              <w:bottom w:w="100" w:type="dxa"/>
              <w:right w:w="100" w:type="dxa"/>
            </w:tcMar>
          </w:tcPr>
          <w:p w14:paraId="4A30A7F1" w14:textId="77777777" w:rsidR="00C53D27" w:rsidRPr="00E030B5" w:rsidRDefault="0025410D">
            <w:pPr>
              <w:widowControl w:val="0"/>
              <w:spacing w:after="0" w:line="240" w:lineRule="auto"/>
              <w:rPr>
                <w:rFonts w:ascii="Times New Roman" w:hAnsi="Times New Roman" w:cs="Times New Roman"/>
              </w:rPr>
            </w:pPr>
            <w:r w:rsidRPr="00E030B5">
              <w:rPr>
                <w:rFonts w:ascii="Times New Roman" w:hAnsi="Times New Roman" w:cs="Times New Roman"/>
              </w:rPr>
              <w:t>No movement, Monoculture Kale vs. Movement, Monoculture Kale</w:t>
            </w:r>
          </w:p>
        </w:tc>
        <w:tc>
          <w:tcPr>
            <w:tcW w:w="3105" w:type="dxa"/>
            <w:shd w:val="clear" w:color="auto" w:fill="auto"/>
            <w:tcMar>
              <w:top w:w="100" w:type="dxa"/>
              <w:left w:w="100" w:type="dxa"/>
              <w:bottom w:w="100" w:type="dxa"/>
              <w:right w:w="100" w:type="dxa"/>
            </w:tcMar>
          </w:tcPr>
          <w:p w14:paraId="47A79919" w14:textId="77777777" w:rsidR="00C53D27" w:rsidRPr="00E030B5" w:rsidRDefault="0025410D">
            <w:pPr>
              <w:widowControl w:val="0"/>
              <w:spacing w:after="0" w:line="240" w:lineRule="auto"/>
              <w:rPr>
                <w:rFonts w:ascii="Times New Roman" w:hAnsi="Times New Roman" w:cs="Times New Roman"/>
              </w:rPr>
            </w:pPr>
            <w:r w:rsidRPr="00E030B5">
              <w:rPr>
                <w:rFonts w:ascii="Times New Roman" w:hAnsi="Times New Roman" w:cs="Times New Roman"/>
              </w:rPr>
              <w:t>Effect of movement in the presence of monoculture</w:t>
            </w:r>
          </w:p>
        </w:tc>
        <w:tc>
          <w:tcPr>
            <w:tcW w:w="1005" w:type="dxa"/>
            <w:shd w:val="clear" w:color="auto" w:fill="auto"/>
            <w:tcMar>
              <w:top w:w="100" w:type="dxa"/>
              <w:left w:w="100" w:type="dxa"/>
              <w:bottom w:w="100" w:type="dxa"/>
              <w:right w:w="100" w:type="dxa"/>
            </w:tcMar>
          </w:tcPr>
          <w:p w14:paraId="03A9380A" w14:textId="77777777" w:rsidR="00C53D27" w:rsidRPr="00E030B5" w:rsidRDefault="0025410D">
            <w:pPr>
              <w:widowControl w:val="0"/>
              <w:spacing w:after="0" w:line="240" w:lineRule="auto"/>
              <w:jc w:val="center"/>
              <w:rPr>
                <w:rFonts w:ascii="Times New Roman" w:hAnsi="Times New Roman" w:cs="Times New Roman"/>
              </w:rPr>
            </w:pPr>
            <w:r w:rsidRPr="00E030B5">
              <w:rPr>
                <w:rFonts w:ascii="Times New Roman" w:hAnsi="Times New Roman" w:cs="Times New Roman"/>
              </w:rPr>
              <w:t>4,79</w:t>
            </w:r>
          </w:p>
        </w:tc>
        <w:tc>
          <w:tcPr>
            <w:tcW w:w="1065" w:type="dxa"/>
            <w:shd w:val="clear" w:color="auto" w:fill="auto"/>
            <w:tcMar>
              <w:top w:w="100" w:type="dxa"/>
              <w:left w:w="100" w:type="dxa"/>
              <w:bottom w:w="100" w:type="dxa"/>
              <w:right w:w="100" w:type="dxa"/>
            </w:tcMar>
          </w:tcPr>
          <w:p w14:paraId="0DD796F3" w14:textId="77777777" w:rsidR="00C53D27" w:rsidRPr="00E030B5" w:rsidRDefault="0025410D">
            <w:pPr>
              <w:widowControl w:val="0"/>
              <w:spacing w:after="0" w:line="240" w:lineRule="auto"/>
              <w:jc w:val="center"/>
              <w:rPr>
                <w:rFonts w:ascii="Times New Roman" w:hAnsi="Times New Roman" w:cs="Times New Roman"/>
              </w:rPr>
            </w:pPr>
            <w:r w:rsidRPr="00E030B5">
              <w:rPr>
                <w:rFonts w:ascii="Times New Roman" w:hAnsi="Times New Roman" w:cs="Times New Roman"/>
              </w:rPr>
              <w:t>&lt; 0.001</w:t>
            </w:r>
          </w:p>
        </w:tc>
        <w:tc>
          <w:tcPr>
            <w:tcW w:w="1380" w:type="dxa"/>
            <w:shd w:val="clear" w:color="auto" w:fill="auto"/>
            <w:tcMar>
              <w:top w:w="100" w:type="dxa"/>
              <w:left w:w="100" w:type="dxa"/>
              <w:bottom w:w="100" w:type="dxa"/>
              <w:right w:w="100" w:type="dxa"/>
            </w:tcMar>
          </w:tcPr>
          <w:p w14:paraId="22C6AE6A" w14:textId="77777777" w:rsidR="00C53D27" w:rsidRPr="00E030B5" w:rsidRDefault="0025410D">
            <w:pPr>
              <w:widowControl w:val="0"/>
              <w:spacing w:after="0" w:line="240" w:lineRule="auto"/>
              <w:jc w:val="center"/>
              <w:rPr>
                <w:rFonts w:ascii="Times New Roman" w:hAnsi="Times New Roman" w:cs="Times New Roman"/>
              </w:rPr>
            </w:pPr>
            <w:r w:rsidRPr="00E030B5">
              <w:rPr>
                <w:rFonts w:ascii="Times New Roman" w:hAnsi="Times New Roman" w:cs="Times New Roman"/>
              </w:rPr>
              <w:t>5,129</w:t>
            </w:r>
          </w:p>
        </w:tc>
        <w:tc>
          <w:tcPr>
            <w:tcW w:w="1380" w:type="dxa"/>
            <w:shd w:val="clear" w:color="auto" w:fill="auto"/>
            <w:tcMar>
              <w:top w:w="100" w:type="dxa"/>
              <w:left w:w="100" w:type="dxa"/>
              <w:bottom w:w="100" w:type="dxa"/>
              <w:right w:w="100" w:type="dxa"/>
            </w:tcMar>
          </w:tcPr>
          <w:p w14:paraId="3B1DCC95" w14:textId="77777777" w:rsidR="00C53D27" w:rsidRPr="00E030B5" w:rsidRDefault="0025410D">
            <w:pPr>
              <w:widowControl w:val="0"/>
              <w:spacing w:after="0" w:line="240" w:lineRule="auto"/>
              <w:jc w:val="center"/>
              <w:rPr>
                <w:rFonts w:ascii="Times New Roman" w:hAnsi="Times New Roman" w:cs="Times New Roman"/>
              </w:rPr>
            </w:pPr>
            <w:r w:rsidRPr="00E030B5">
              <w:rPr>
                <w:rFonts w:ascii="Times New Roman" w:hAnsi="Times New Roman" w:cs="Times New Roman"/>
              </w:rPr>
              <w:t>&lt; 0.001</w:t>
            </w:r>
          </w:p>
        </w:tc>
        <w:tc>
          <w:tcPr>
            <w:tcW w:w="1110" w:type="dxa"/>
            <w:shd w:val="clear" w:color="auto" w:fill="auto"/>
            <w:tcMar>
              <w:top w:w="100" w:type="dxa"/>
              <w:left w:w="100" w:type="dxa"/>
              <w:bottom w:w="100" w:type="dxa"/>
              <w:right w:w="100" w:type="dxa"/>
            </w:tcMar>
          </w:tcPr>
          <w:p w14:paraId="013E5330" w14:textId="77777777" w:rsidR="00C53D27" w:rsidRPr="00E030B5" w:rsidRDefault="0025410D">
            <w:pPr>
              <w:widowControl w:val="0"/>
              <w:spacing w:after="0" w:line="240" w:lineRule="auto"/>
              <w:jc w:val="center"/>
              <w:rPr>
                <w:rFonts w:ascii="Times New Roman" w:hAnsi="Times New Roman" w:cs="Times New Roman"/>
              </w:rPr>
            </w:pPr>
            <w:r w:rsidRPr="00E030B5">
              <w:rPr>
                <w:rFonts w:ascii="Times New Roman" w:hAnsi="Times New Roman" w:cs="Times New Roman"/>
              </w:rPr>
              <w:t>5,129</w:t>
            </w:r>
          </w:p>
        </w:tc>
        <w:tc>
          <w:tcPr>
            <w:tcW w:w="1500" w:type="dxa"/>
            <w:shd w:val="clear" w:color="auto" w:fill="auto"/>
            <w:tcMar>
              <w:top w:w="100" w:type="dxa"/>
              <w:left w:w="100" w:type="dxa"/>
              <w:bottom w:w="100" w:type="dxa"/>
              <w:right w:w="100" w:type="dxa"/>
            </w:tcMar>
          </w:tcPr>
          <w:p w14:paraId="4F0A10DC" w14:textId="77777777" w:rsidR="00C53D27" w:rsidRPr="00E030B5" w:rsidRDefault="0025410D">
            <w:pPr>
              <w:widowControl w:val="0"/>
              <w:spacing w:after="0" w:line="240" w:lineRule="auto"/>
              <w:jc w:val="center"/>
              <w:rPr>
                <w:rFonts w:ascii="Times New Roman" w:hAnsi="Times New Roman" w:cs="Times New Roman"/>
              </w:rPr>
            </w:pPr>
            <w:r w:rsidRPr="00E030B5">
              <w:rPr>
                <w:rFonts w:ascii="Times New Roman" w:hAnsi="Times New Roman" w:cs="Times New Roman"/>
              </w:rPr>
              <w:t>&lt; 0.001</w:t>
            </w:r>
          </w:p>
        </w:tc>
      </w:tr>
      <w:tr w:rsidR="00C53D27" w:rsidRPr="00E030B5" w14:paraId="54C9551A" w14:textId="77777777">
        <w:tc>
          <w:tcPr>
            <w:tcW w:w="2745" w:type="dxa"/>
            <w:shd w:val="clear" w:color="auto" w:fill="auto"/>
            <w:tcMar>
              <w:top w:w="100" w:type="dxa"/>
              <w:left w:w="100" w:type="dxa"/>
              <w:bottom w:w="100" w:type="dxa"/>
              <w:right w:w="100" w:type="dxa"/>
            </w:tcMar>
          </w:tcPr>
          <w:p w14:paraId="334101D9" w14:textId="77777777" w:rsidR="00C53D27" w:rsidRPr="00E030B5" w:rsidRDefault="0025410D">
            <w:pPr>
              <w:widowControl w:val="0"/>
              <w:spacing w:after="0" w:line="240" w:lineRule="auto"/>
              <w:rPr>
                <w:rFonts w:ascii="Times New Roman" w:hAnsi="Times New Roman" w:cs="Times New Roman"/>
              </w:rPr>
            </w:pPr>
            <w:r w:rsidRPr="00E030B5">
              <w:rPr>
                <w:rFonts w:ascii="Times New Roman" w:hAnsi="Times New Roman" w:cs="Times New Roman"/>
              </w:rPr>
              <w:t xml:space="preserve">Movement, Monoculture Kale vs. Movement </w:t>
            </w:r>
            <w:proofErr w:type="spellStart"/>
            <w:r w:rsidRPr="00E030B5">
              <w:rPr>
                <w:rFonts w:ascii="Times New Roman" w:hAnsi="Times New Roman" w:cs="Times New Roman"/>
              </w:rPr>
              <w:t>Diculture</w:t>
            </w:r>
            <w:proofErr w:type="spellEnd"/>
            <w:r w:rsidRPr="00E030B5">
              <w:rPr>
                <w:rFonts w:ascii="Times New Roman" w:hAnsi="Times New Roman" w:cs="Times New Roman"/>
              </w:rPr>
              <w:t xml:space="preserve"> Kale</w:t>
            </w:r>
          </w:p>
        </w:tc>
        <w:tc>
          <w:tcPr>
            <w:tcW w:w="3105" w:type="dxa"/>
            <w:shd w:val="clear" w:color="auto" w:fill="auto"/>
            <w:tcMar>
              <w:top w:w="100" w:type="dxa"/>
              <w:left w:w="100" w:type="dxa"/>
              <w:bottom w:w="100" w:type="dxa"/>
              <w:right w:w="100" w:type="dxa"/>
            </w:tcMar>
          </w:tcPr>
          <w:p w14:paraId="5FF0C0C4" w14:textId="77777777" w:rsidR="00C53D27" w:rsidRPr="00E030B5" w:rsidRDefault="0025410D">
            <w:pPr>
              <w:widowControl w:val="0"/>
              <w:spacing w:after="0" w:line="240" w:lineRule="auto"/>
              <w:rPr>
                <w:rFonts w:ascii="Times New Roman" w:hAnsi="Times New Roman" w:cs="Times New Roman"/>
              </w:rPr>
            </w:pPr>
            <w:r w:rsidRPr="00E030B5">
              <w:rPr>
                <w:rFonts w:ascii="Times New Roman" w:hAnsi="Times New Roman" w:cs="Times New Roman"/>
              </w:rPr>
              <w:t xml:space="preserve">Effect of </w:t>
            </w:r>
            <w:proofErr w:type="spellStart"/>
            <w:r w:rsidRPr="00E030B5">
              <w:rPr>
                <w:rFonts w:ascii="Times New Roman" w:hAnsi="Times New Roman" w:cs="Times New Roman"/>
              </w:rPr>
              <w:t>diculture</w:t>
            </w:r>
            <w:proofErr w:type="spellEnd"/>
            <w:r w:rsidRPr="00E030B5">
              <w:rPr>
                <w:rFonts w:ascii="Times New Roman" w:hAnsi="Times New Roman" w:cs="Times New Roman"/>
              </w:rPr>
              <w:t xml:space="preserve"> in the presence movement</w:t>
            </w:r>
          </w:p>
        </w:tc>
        <w:tc>
          <w:tcPr>
            <w:tcW w:w="1005" w:type="dxa"/>
            <w:shd w:val="clear" w:color="auto" w:fill="auto"/>
            <w:tcMar>
              <w:top w:w="100" w:type="dxa"/>
              <w:left w:w="100" w:type="dxa"/>
              <w:bottom w:w="100" w:type="dxa"/>
              <w:right w:w="100" w:type="dxa"/>
            </w:tcMar>
          </w:tcPr>
          <w:p w14:paraId="321FFE5D" w14:textId="77777777" w:rsidR="00C53D27" w:rsidRPr="00E030B5" w:rsidRDefault="0025410D">
            <w:pPr>
              <w:widowControl w:val="0"/>
              <w:spacing w:after="0" w:line="240" w:lineRule="auto"/>
              <w:jc w:val="center"/>
              <w:rPr>
                <w:rFonts w:ascii="Times New Roman" w:hAnsi="Times New Roman" w:cs="Times New Roman"/>
              </w:rPr>
            </w:pPr>
            <w:r w:rsidRPr="00E030B5">
              <w:rPr>
                <w:rFonts w:ascii="Times New Roman" w:hAnsi="Times New Roman" w:cs="Times New Roman"/>
              </w:rPr>
              <w:t>4,13</w:t>
            </w:r>
          </w:p>
        </w:tc>
        <w:tc>
          <w:tcPr>
            <w:tcW w:w="1065" w:type="dxa"/>
            <w:shd w:val="clear" w:color="auto" w:fill="auto"/>
            <w:tcMar>
              <w:top w:w="100" w:type="dxa"/>
              <w:left w:w="100" w:type="dxa"/>
              <w:bottom w:w="100" w:type="dxa"/>
              <w:right w:w="100" w:type="dxa"/>
            </w:tcMar>
          </w:tcPr>
          <w:p w14:paraId="106E037D" w14:textId="77777777" w:rsidR="00C53D27" w:rsidRPr="00E030B5" w:rsidRDefault="0025410D">
            <w:pPr>
              <w:widowControl w:val="0"/>
              <w:spacing w:after="0" w:line="240" w:lineRule="auto"/>
              <w:jc w:val="center"/>
              <w:rPr>
                <w:rFonts w:ascii="Times New Roman" w:hAnsi="Times New Roman" w:cs="Times New Roman"/>
              </w:rPr>
            </w:pPr>
            <w:r w:rsidRPr="00E030B5">
              <w:rPr>
                <w:rFonts w:ascii="Times New Roman" w:hAnsi="Times New Roman" w:cs="Times New Roman"/>
              </w:rPr>
              <w:t>0.337</w:t>
            </w:r>
          </w:p>
        </w:tc>
        <w:tc>
          <w:tcPr>
            <w:tcW w:w="1380" w:type="dxa"/>
            <w:shd w:val="clear" w:color="auto" w:fill="auto"/>
            <w:tcMar>
              <w:top w:w="100" w:type="dxa"/>
              <w:left w:w="100" w:type="dxa"/>
              <w:bottom w:w="100" w:type="dxa"/>
              <w:right w:w="100" w:type="dxa"/>
            </w:tcMar>
          </w:tcPr>
          <w:p w14:paraId="678893BF" w14:textId="77777777" w:rsidR="00C53D27" w:rsidRPr="00E030B5" w:rsidRDefault="0025410D">
            <w:pPr>
              <w:widowControl w:val="0"/>
              <w:spacing w:after="0" w:line="240" w:lineRule="auto"/>
              <w:jc w:val="center"/>
              <w:rPr>
                <w:rFonts w:ascii="Times New Roman" w:hAnsi="Times New Roman" w:cs="Times New Roman"/>
              </w:rPr>
            </w:pPr>
            <w:r w:rsidRPr="00E030B5">
              <w:rPr>
                <w:rFonts w:ascii="Times New Roman" w:hAnsi="Times New Roman" w:cs="Times New Roman"/>
              </w:rPr>
              <w:t>5,75</w:t>
            </w:r>
          </w:p>
        </w:tc>
        <w:tc>
          <w:tcPr>
            <w:tcW w:w="1380" w:type="dxa"/>
            <w:shd w:val="clear" w:color="auto" w:fill="auto"/>
            <w:tcMar>
              <w:top w:w="100" w:type="dxa"/>
              <w:left w:w="100" w:type="dxa"/>
              <w:bottom w:w="100" w:type="dxa"/>
              <w:right w:w="100" w:type="dxa"/>
            </w:tcMar>
          </w:tcPr>
          <w:p w14:paraId="7D98EF35" w14:textId="77777777" w:rsidR="00C53D27" w:rsidRPr="00E030B5" w:rsidRDefault="0025410D">
            <w:pPr>
              <w:widowControl w:val="0"/>
              <w:spacing w:after="0" w:line="240" w:lineRule="auto"/>
              <w:jc w:val="center"/>
              <w:rPr>
                <w:rFonts w:ascii="Times New Roman" w:hAnsi="Times New Roman" w:cs="Times New Roman"/>
              </w:rPr>
            </w:pPr>
            <w:r w:rsidRPr="00E030B5">
              <w:rPr>
                <w:rFonts w:ascii="Times New Roman" w:hAnsi="Times New Roman" w:cs="Times New Roman"/>
              </w:rPr>
              <w:t>&lt; 0.001</w:t>
            </w:r>
          </w:p>
        </w:tc>
        <w:tc>
          <w:tcPr>
            <w:tcW w:w="1110" w:type="dxa"/>
            <w:shd w:val="clear" w:color="auto" w:fill="auto"/>
            <w:tcMar>
              <w:top w:w="100" w:type="dxa"/>
              <w:left w:w="100" w:type="dxa"/>
              <w:bottom w:w="100" w:type="dxa"/>
              <w:right w:w="100" w:type="dxa"/>
            </w:tcMar>
          </w:tcPr>
          <w:p w14:paraId="6F1DC8E0" w14:textId="77777777" w:rsidR="00C53D27" w:rsidRPr="00E030B5" w:rsidRDefault="0025410D">
            <w:pPr>
              <w:widowControl w:val="0"/>
              <w:spacing w:after="0" w:line="240" w:lineRule="auto"/>
              <w:jc w:val="center"/>
              <w:rPr>
                <w:rFonts w:ascii="Times New Roman" w:hAnsi="Times New Roman" w:cs="Times New Roman"/>
              </w:rPr>
            </w:pPr>
            <w:r w:rsidRPr="00E030B5">
              <w:rPr>
                <w:rFonts w:ascii="Times New Roman" w:hAnsi="Times New Roman" w:cs="Times New Roman"/>
              </w:rPr>
              <w:t>5,75</w:t>
            </w:r>
          </w:p>
        </w:tc>
        <w:tc>
          <w:tcPr>
            <w:tcW w:w="1500" w:type="dxa"/>
            <w:shd w:val="clear" w:color="auto" w:fill="auto"/>
            <w:tcMar>
              <w:top w:w="100" w:type="dxa"/>
              <w:left w:w="100" w:type="dxa"/>
              <w:bottom w:w="100" w:type="dxa"/>
              <w:right w:w="100" w:type="dxa"/>
            </w:tcMar>
          </w:tcPr>
          <w:p w14:paraId="64B026B2" w14:textId="77777777" w:rsidR="00C53D27" w:rsidRPr="00E030B5" w:rsidRDefault="0025410D">
            <w:pPr>
              <w:widowControl w:val="0"/>
              <w:spacing w:after="0" w:line="240" w:lineRule="auto"/>
              <w:jc w:val="center"/>
              <w:rPr>
                <w:rFonts w:ascii="Times New Roman" w:hAnsi="Times New Roman" w:cs="Times New Roman"/>
              </w:rPr>
            </w:pPr>
            <w:r w:rsidRPr="00E030B5">
              <w:rPr>
                <w:rFonts w:ascii="Times New Roman" w:hAnsi="Times New Roman" w:cs="Times New Roman"/>
              </w:rPr>
              <w:t>&lt; 0.001</w:t>
            </w:r>
          </w:p>
        </w:tc>
      </w:tr>
    </w:tbl>
    <w:p w14:paraId="3F4A77E5" w14:textId="737D5FDD" w:rsidR="00C53D27" w:rsidRPr="00E030B5" w:rsidRDefault="0025410D">
      <w:pPr>
        <w:rPr>
          <w:rFonts w:ascii="Times New Roman" w:hAnsi="Times New Roman" w:cs="Times New Roman"/>
        </w:rPr>
      </w:pPr>
      <w:r w:rsidRPr="00E030B5">
        <w:rPr>
          <w:rFonts w:ascii="Times New Roman" w:hAnsi="Times New Roman" w:cs="Times New Roman"/>
        </w:rPr>
        <w:t xml:space="preserve"> </w:t>
      </w:r>
    </w:p>
    <w:sectPr w:rsidR="00C53D27" w:rsidRPr="00E030B5">
      <w:type w:val="continuous"/>
      <w:pgSz w:w="15840" w:h="12240" w:orient="landscape"/>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Halpern, Stacey L" w:date="2025-11-13T14:53:00Z" w:initials="HSL">
    <w:p w14:paraId="5173B3CF" w14:textId="268DCCFA" w:rsidR="00E030B5" w:rsidRDefault="00E030B5">
      <w:pPr>
        <w:pStyle w:val="CommentText"/>
      </w:pPr>
      <w:r>
        <w:rPr>
          <w:rStyle w:val="CommentReference"/>
        </w:rPr>
        <w:annotationRef/>
      </w:r>
      <w:r>
        <w:t>order?</w:t>
      </w:r>
    </w:p>
  </w:comment>
  <w:comment w:id="1" w:author="Halpern, Stacey L" w:date="2025-11-13T14:53:00Z" w:initials="HSL">
    <w:p w14:paraId="0AD7C519" w14:textId="3D85CF6F" w:rsidR="00E030B5" w:rsidRDefault="00E030B5">
      <w:pPr>
        <w:pStyle w:val="CommentText"/>
      </w:pPr>
      <w:r>
        <w:rPr>
          <w:rStyle w:val="CommentReference"/>
        </w:rPr>
        <w:annotationRef/>
      </w:r>
      <w:r>
        <w:t>drop?</w:t>
      </w:r>
    </w:p>
  </w:comment>
  <w:comment w:id="2" w:author="Halpern, Stacey L" w:date="2025-11-13T14:53:00Z" w:initials="HSL">
    <w:p w14:paraId="28FD5582" w14:textId="3D16D841" w:rsidR="00E030B5" w:rsidRDefault="00E030B5">
      <w:pPr>
        <w:pStyle w:val="CommentText"/>
      </w:pPr>
      <w:r>
        <w:rPr>
          <w:rStyle w:val="CommentReference"/>
        </w:rPr>
        <w:annotationRef/>
      </w:r>
      <w:r>
        <w:t>order?</w:t>
      </w:r>
    </w:p>
  </w:comment>
  <w:comment w:id="6" w:author="Halpern, Stacey L" w:date="2025-11-17T12:08:00Z" w:initials="HSL">
    <w:p w14:paraId="3CC7F9C8" w14:textId="1FDEAE50" w:rsidR="00A90B18" w:rsidRDefault="00A90B18">
      <w:pPr>
        <w:pStyle w:val="CommentText"/>
      </w:pPr>
      <w:r>
        <w:rPr>
          <w:rStyle w:val="CommentReference"/>
        </w:rPr>
        <w:annotationRef/>
      </w:r>
      <w:r>
        <w:t>This section needs work once I better understand the analyses from 4 years ago…</w:t>
      </w:r>
    </w:p>
  </w:comment>
  <w:comment w:id="7" w:author="Halpern, Stacey L" w:date="2025-11-17T11:52:00Z" w:initials="HSL">
    <w:p w14:paraId="663CB043" w14:textId="6D7AFAD7" w:rsidR="00712A5F" w:rsidRDefault="00712A5F">
      <w:pPr>
        <w:pStyle w:val="CommentText"/>
      </w:pPr>
      <w:r>
        <w:rPr>
          <w:rStyle w:val="CommentReference"/>
        </w:rPr>
        <w:annotationRef/>
      </w:r>
      <w:r>
        <w:t xml:space="preserve">I’m not sure this is correct…we also include these predictors in the </w:t>
      </w:r>
      <w:proofErr w:type="spellStart"/>
      <w:r>
        <w:t>levene’s</w:t>
      </w:r>
      <w:proofErr w:type="spellEnd"/>
      <w:r>
        <w:t xml:space="preserve"> tests. I’ve forgotten our rationale for the steps in these analyses. </w:t>
      </w:r>
    </w:p>
  </w:comment>
  <w:comment w:id="8" w:author="Halpern, Stacey L" w:date="2025-11-17T11:55:00Z" w:initials="HSL">
    <w:p w14:paraId="1EDDA718" w14:textId="7C0D9D7E" w:rsidR="007D4D71" w:rsidRDefault="007D4D71">
      <w:pPr>
        <w:pStyle w:val="CommentText"/>
      </w:pPr>
      <w:r>
        <w:rPr>
          <w:rStyle w:val="CommentReference"/>
        </w:rPr>
        <w:annotationRef/>
      </w:r>
      <w:r>
        <w:t xml:space="preserve">We did two sets of tests here, but only show a figure for one. In one, response variable is CV </w:t>
      </w:r>
      <w:r w:rsidR="009E789A">
        <w:t xml:space="preserve">and in one it’s transformed responses—I think latter is to be able to say whether means are different (for comparison to other studies that focus on this), while CV is another way to look at variation, but I’m forgetting all the details. </w:t>
      </w:r>
    </w:p>
  </w:comment>
  <w:comment w:id="9" w:author="Halpern, Stacey L" w:date="2025-12-19T13:16:00Z" w:initials="HSL">
    <w:p w14:paraId="2EFB6528" w14:textId="5B0E1E0E" w:rsidR="00A329E1" w:rsidRDefault="00A329E1">
      <w:pPr>
        <w:pStyle w:val="CommentText"/>
      </w:pPr>
      <w:r>
        <w:rPr>
          <w:rStyle w:val="CommentReference"/>
        </w:rPr>
        <w:annotationRef/>
      </w:r>
      <w:r>
        <w:t>Not revised at all</w:t>
      </w:r>
    </w:p>
  </w:comment>
  <w:comment w:id="11" w:author="Halpern, Stacey L" w:date="2025-12-19T13:17:00Z" w:initials="HSL">
    <w:p w14:paraId="47A3DA0C" w14:textId="61AF8B0D" w:rsidR="00A329E1" w:rsidRDefault="00A329E1">
      <w:pPr>
        <w:pStyle w:val="CommentText"/>
      </w:pPr>
      <w:r>
        <w:rPr>
          <w:rStyle w:val="CommentReference"/>
        </w:rPr>
        <w:annotationRef/>
      </w:r>
      <w:r>
        <w:t>Not revised at all from Mason &amp; Alissa’s thesis</w:t>
      </w:r>
    </w:p>
  </w:comment>
  <w:comment w:id="12" w:author="Halpern, Stacey L" w:date="2025-12-19T13:17:00Z" w:initials="HSL">
    <w:p w14:paraId="267665F0" w14:textId="29AC41B0" w:rsidR="00A329E1" w:rsidRDefault="00A329E1">
      <w:pPr>
        <w:pStyle w:val="CommentText"/>
      </w:pPr>
      <w:r>
        <w:rPr>
          <w:rStyle w:val="CommentReference"/>
        </w:rPr>
        <w:annotationRef/>
      </w:r>
      <w:r>
        <w:rPr>
          <w:rStyle w:val="CommentReference"/>
        </w:rPr>
        <w:t>From Mason &amp; Alissa’s thesis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173B3CF" w15:done="0"/>
  <w15:commentEx w15:paraId="0AD7C519" w15:done="0"/>
  <w15:commentEx w15:paraId="28FD5582" w15:done="0"/>
  <w15:commentEx w15:paraId="3CC7F9C8" w15:done="0"/>
  <w15:commentEx w15:paraId="663CB043" w15:done="0"/>
  <w15:commentEx w15:paraId="1EDDA718" w15:done="0"/>
  <w15:commentEx w15:paraId="2EFB6528" w15:done="0"/>
  <w15:commentEx w15:paraId="47A3DA0C" w15:done="0"/>
  <w15:commentEx w15:paraId="267665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C06F75" w16cex:dateUtc="2025-11-13T22:53:00Z"/>
  <w16cex:commentExtensible w16cex:durableId="2CC06F68" w16cex:dateUtc="2025-11-13T22:53:00Z"/>
  <w16cex:commentExtensible w16cex:durableId="2CC06F7D" w16cex:dateUtc="2025-11-13T22:53:00Z"/>
  <w16cex:commentExtensible w16cex:durableId="2CC58ED3" w16cex:dateUtc="2025-11-17T20:08:00Z"/>
  <w16cex:commentExtensible w16cex:durableId="2CC58AFA" w16cex:dateUtc="2025-11-17T19:52:00Z"/>
  <w16cex:commentExtensible w16cex:durableId="2CC58B9F" w16cex:dateUtc="2025-11-17T19:55:00Z"/>
  <w16cex:commentExtensible w16cex:durableId="2CEFCEBE" w16cex:dateUtc="2025-12-19T21:16:00Z"/>
  <w16cex:commentExtensible w16cex:durableId="2CEFCED3" w16cex:dateUtc="2025-12-19T21:17:00Z"/>
  <w16cex:commentExtensible w16cex:durableId="2CEFCEF2" w16cex:dateUtc="2025-12-19T21: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173B3CF" w16cid:durableId="2CC06F75"/>
  <w16cid:commentId w16cid:paraId="0AD7C519" w16cid:durableId="2CC06F68"/>
  <w16cid:commentId w16cid:paraId="28FD5582" w16cid:durableId="2CC06F7D"/>
  <w16cid:commentId w16cid:paraId="3CC7F9C8" w16cid:durableId="2CC58ED3"/>
  <w16cid:commentId w16cid:paraId="663CB043" w16cid:durableId="2CC58AFA"/>
  <w16cid:commentId w16cid:paraId="1EDDA718" w16cid:durableId="2CC58B9F"/>
  <w16cid:commentId w16cid:paraId="2EFB6528" w16cid:durableId="2CEFCEBE"/>
  <w16cid:commentId w16cid:paraId="47A3DA0C" w16cid:durableId="2CEFCED3"/>
  <w16cid:commentId w16cid:paraId="267665F0" w16cid:durableId="2CEFCE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B51D16" w14:textId="77777777" w:rsidR="00A731F4" w:rsidRDefault="00A731F4">
      <w:pPr>
        <w:spacing w:after="0" w:line="240" w:lineRule="auto"/>
      </w:pPr>
      <w:r>
        <w:separator/>
      </w:r>
    </w:p>
  </w:endnote>
  <w:endnote w:type="continuationSeparator" w:id="0">
    <w:p w14:paraId="10251E90" w14:textId="77777777" w:rsidR="00A731F4" w:rsidRDefault="00A731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523168" w14:textId="77777777" w:rsidR="00A731F4" w:rsidRDefault="00A731F4">
      <w:pPr>
        <w:spacing w:after="0" w:line="240" w:lineRule="auto"/>
      </w:pPr>
      <w:r>
        <w:separator/>
      </w:r>
    </w:p>
  </w:footnote>
  <w:footnote w:type="continuationSeparator" w:id="0">
    <w:p w14:paraId="7FE88823" w14:textId="77777777" w:rsidR="00A731F4" w:rsidRDefault="00A731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C463A" w14:textId="490CFB9A" w:rsidR="00C53D27" w:rsidRDefault="00C53D27">
    <w:pPr>
      <w:jc w:val="right"/>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alpern, Stacey L">
    <w15:presenceInfo w15:providerId="AD" w15:userId="S-1-5-21-694559205-1045118487-925700815-165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D27"/>
    <w:rsid w:val="00003232"/>
    <w:rsid w:val="00030051"/>
    <w:rsid w:val="00030E8E"/>
    <w:rsid w:val="000F60BA"/>
    <w:rsid w:val="00105577"/>
    <w:rsid w:val="00135025"/>
    <w:rsid w:val="00145BB5"/>
    <w:rsid w:val="001753BA"/>
    <w:rsid w:val="001C320B"/>
    <w:rsid w:val="00205933"/>
    <w:rsid w:val="0025410D"/>
    <w:rsid w:val="00257A7D"/>
    <w:rsid w:val="00285232"/>
    <w:rsid w:val="00295C8A"/>
    <w:rsid w:val="002E1F69"/>
    <w:rsid w:val="00321D77"/>
    <w:rsid w:val="00342849"/>
    <w:rsid w:val="0036120A"/>
    <w:rsid w:val="00402460"/>
    <w:rsid w:val="00465E8B"/>
    <w:rsid w:val="00471B1B"/>
    <w:rsid w:val="004B156B"/>
    <w:rsid w:val="004E5B09"/>
    <w:rsid w:val="00515687"/>
    <w:rsid w:val="005708A0"/>
    <w:rsid w:val="00582697"/>
    <w:rsid w:val="005931EE"/>
    <w:rsid w:val="005A7EB6"/>
    <w:rsid w:val="005C0A68"/>
    <w:rsid w:val="00633DCB"/>
    <w:rsid w:val="006372C5"/>
    <w:rsid w:val="00661B9B"/>
    <w:rsid w:val="00664C6C"/>
    <w:rsid w:val="00677DD6"/>
    <w:rsid w:val="00681C16"/>
    <w:rsid w:val="006D35BC"/>
    <w:rsid w:val="006E013D"/>
    <w:rsid w:val="006F2BDF"/>
    <w:rsid w:val="00712A5F"/>
    <w:rsid w:val="00714662"/>
    <w:rsid w:val="007434A7"/>
    <w:rsid w:val="00755245"/>
    <w:rsid w:val="007841F3"/>
    <w:rsid w:val="007A1E45"/>
    <w:rsid w:val="007D4D71"/>
    <w:rsid w:val="007F4570"/>
    <w:rsid w:val="00843128"/>
    <w:rsid w:val="00870333"/>
    <w:rsid w:val="008713E5"/>
    <w:rsid w:val="00872FCB"/>
    <w:rsid w:val="00884651"/>
    <w:rsid w:val="008A603F"/>
    <w:rsid w:val="008D2C31"/>
    <w:rsid w:val="008F7028"/>
    <w:rsid w:val="00900070"/>
    <w:rsid w:val="00910B36"/>
    <w:rsid w:val="00915648"/>
    <w:rsid w:val="00934198"/>
    <w:rsid w:val="009B7306"/>
    <w:rsid w:val="009E789A"/>
    <w:rsid w:val="00A329E1"/>
    <w:rsid w:val="00A65145"/>
    <w:rsid w:val="00A731F4"/>
    <w:rsid w:val="00A81C55"/>
    <w:rsid w:val="00A90B18"/>
    <w:rsid w:val="00AC4A2F"/>
    <w:rsid w:val="00B43CA0"/>
    <w:rsid w:val="00B44249"/>
    <w:rsid w:val="00B45F15"/>
    <w:rsid w:val="00B51764"/>
    <w:rsid w:val="00B651D8"/>
    <w:rsid w:val="00BA709A"/>
    <w:rsid w:val="00C04124"/>
    <w:rsid w:val="00C15234"/>
    <w:rsid w:val="00C267A9"/>
    <w:rsid w:val="00C53D27"/>
    <w:rsid w:val="00C54EFF"/>
    <w:rsid w:val="00C81C6F"/>
    <w:rsid w:val="00CA6E9E"/>
    <w:rsid w:val="00CF4D30"/>
    <w:rsid w:val="00CF5093"/>
    <w:rsid w:val="00D2033D"/>
    <w:rsid w:val="00D77D0A"/>
    <w:rsid w:val="00D97C9B"/>
    <w:rsid w:val="00DA6C73"/>
    <w:rsid w:val="00E030B5"/>
    <w:rsid w:val="00E031F7"/>
    <w:rsid w:val="00E061CF"/>
    <w:rsid w:val="00E116C0"/>
    <w:rsid w:val="00E16325"/>
    <w:rsid w:val="00E40999"/>
    <w:rsid w:val="00E538C3"/>
    <w:rsid w:val="00F1576B"/>
    <w:rsid w:val="00F1624F"/>
    <w:rsid w:val="00F25048"/>
    <w:rsid w:val="00F3027A"/>
    <w:rsid w:val="00F9793C"/>
    <w:rsid w:val="00FC7D18"/>
    <w:rsid w:val="00FD3E77"/>
    <w:rsid w:val="00FE21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C7D4B6"/>
  <w15:docId w15:val="{733303BC-89FA-4744-B5AC-E45B0109F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 w:eastAsia="en-US" w:bidi="ar-SA"/>
      </w:rPr>
    </w:rPrDefault>
    <w:pPrDefault>
      <w:pPr>
        <w:spacing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outlineLvl w:val="1"/>
    </w:pPr>
    <w:rPr>
      <w:b/>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FD3E77"/>
    <w:pPr>
      <w:spacing w:after="0" w:line="240" w:lineRule="auto"/>
    </w:pPr>
  </w:style>
  <w:style w:type="paragraph" w:styleId="Header">
    <w:name w:val="header"/>
    <w:basedOn w:val="Normal"/>
    <w:link w:val="HeaderChar"/>
    <w:uiPriority w:val="99"/>
    <w:unhideWhenUsed/>
    <w:rsid w:val="00FD3E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3E77"/>
  </w:style>
  <w:style w:type="paragraph" w:styleId="Footer">
    <w:name w:val="footer"/>
    <w:basedOn w:val="Normal"/>
    <w:link w:val="FooterChar"/>
    <w:uiPriority w:val="99"/>
    <w:unhideWhenUsed/>
    <w:rsid w:val="00FD3E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3E77"/>
  </w:style>
  <w:style w:type="paragraph" w:styleId="Bibliography">
    <w:name w:val="Bibliography"/>
    <w:basedOn w:val="Normal"/>
    <w:next w:val="Normal"/>
    <w:uiPriority w:val="37"/>
    <w:unhideWhenUsed/>
    <w:rsid w:val="00633DCB"/>
    <w:pPr>
      <w:spacing w:after="0" w:line="480" w:lineRule="auto"/>
      <w:ind w:left="720" w:hanging="720"/>
    </w:pPr>
  </w:style>
  <w:style w:type="paragraph" w:styleId="CommentSubject">
    <w:name w:val="annotation subject"/>
    <w:basedOn w:val="CommentText"/>
    <w:next w:val="CommentText"/>
    <w:link w:val="CommentSubjectChar"/>
    <w:uiPriority w:val="99"/>
    <w:semiHidden/>
    <w:unhideWhenUsed/>
    <w:rsid w:val="00E030B5"/>
    <w:rPr>
      <w:b/>
      <w:bCs/>
    </w:rPr>
  </w:style>
  <w:style w:type="character" w:customStyle="1" w:styleId="CommentSubjectChar">
    <w:name w:val="Comment Subject Char"/>
    <w:basedOn w:val="CommentTextChar"/>
    <w:link w:val="CommentSubject"/>
    <w:uiPriority w:val="99"/>
    <w:semiHidden/>
    <w:rsid w:val="00E030B5"/>
    <w:rPr>
      <w:b/>
      <w:bCs/>
      <w:sz w:val="20"/>
      <w:szCs w:val="20"/>
    </w:rPr>
  </w:style>
  <w:style w:type="character" w:styleId="Emphasis">
    <w:name w:val="Emphasis"/>
    <w:basedOn w:val="DefaultParagraphFont"/>
    <w:uiPriority w:val="20"/>
    <w:qFormat/>
    <w:rsid w:val="00030E8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FC16F5-F6C7-EA48-A6FC-2F4E26C13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2949</TotalTime>
  <Pages>26</Pages>
  <Words>15197</Words>
  <Characters>86629</Characters>
  <Application>Microsoft Office Word</Application>
  <DocSecurity>0</DocSecurity>
  <Lines>721</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Halpern, Stacey L</dc:creator>
  <cp:lastModifiedBy>Halpern, Stacey L</cp:lastModifiedBy>
  <cp:revision>10</cp:revision>
  <dcterms:created xsi:type="dcterms:W3CDTF">2025-11-13T22:49:00Z</dcterms:created>
  <dcterms:modified xsi:type="dcterms:W3CDTF">2025-12-19T21:18:00Z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zotero-version="6.0.7"&gt;&lt;session id="PU2DRwio"/&gt;&lt;style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