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relationship between computerized advances and economical financial development may be a complex and energetic one, checked by both openings and challenges. On the positive side, computerized innovations have the potential to drive development, increment efficiency, and upgrade by and large financial proficiency. Be that as it may, their affect on maintainability is unexpected on how these innovations are created, executed, and overseen.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One key angle of the relationship between computerized advances and economical financial development lies in their capacity to cultivate development. The fast headways in regions such as manufactured insights, information analytics, and the Internet of Things (IoT) empower businesses and businesses to create modern items, administrations, and trade models. This development can contribute to financial development by making modern markets, creating work, and expanding the competitiveness of economies on a worldwide scale.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Moreover, advanced advances can improve efficiency, a vital calculate for economical financial development. Robotization, encouraged by advances like mechanical technology and machine learning, can streamline forms and diminish costs. This expanded productivity can lead to higher yield, made strides asset utilization, and a more economical utilize of assets. For occasion, keen fabricating frameworks can optimize vitality utilization and minimize squander, contributing to both financial and natural supportability.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Be that as it may, the relationship between advanced innovations and maintainability is not without challenges. One noteworthy concern is the potential for expanded imbalance. As advanced innovations reshape businesses and work markets, there's a hazard of making a isolate between those who have the vital abilities and assets to adjust and those who don't . Bridging this computerized partition is fundamental for cultivating comprehensive and feasible financial development.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Additionally, the natural effect of computerized innovations postures a maintainability challenge. The generation, utilize, and transfer of electronic gadgets contribute to electronic squander (e-waste) and asset consumption. Feasible financial development requires tending to these natural concerns through dependable fabricating homes, reusing activities, and the advancement of eco-friendly advances.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Digital technologies, including artificial intelligence, big data analytics, and the Internet of Things, have the power to transform traditional industries and create new ones. These technologies can improve productivity, reduce costs, and enhance the overall competitiveness of economies. For example, smart manufacturing systems can optimize production processes, leading to resource savings and reduced waste. Digital platforms can connect businesses with consumers in more efficient ways, fostering entrepreneurship and economic inclusivity. As a result, the adoption of digital technologies is often seen as a driver of economic growth.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However, the sustainability of this economic growth is a critical concern. The environmental impact of digital technologies, particularly in terms of energy consumption and electronic waste, is a growing issue. The energy requirements of data centers and the production of electronic devices contribute to carbon emissions and resource depletion. Achieving sustainable economic growth requires addressing these environmental challenges and transitioning towards more energy-efficient and eco-friendly digital technologies.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Social implications also play a crucial role in the relationship between digital technologies and sustainable economic growth. The digital divide, where certain groups or regions lack access to technology, can exacerbate social inequality. Moreover, the automation of jobs through artificial intelligence and robotics raises concerns about job displacement and the need for upskilling the workforce. Sustainable economic growth should prioritize inclusivity and ensure that the benefits of digital technologies are distributed equitably across society.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Government policies and regulatory frameworks play a vital role in shaping the relationship between digital technologies and sustainable economic growth. Policymakers must balance the need for innovation and economic development with environmental and social considerations. Encouraging investments in green technologies, promoting digital literacy, and implementing measures to address the digital divide are essential steps in fostering sustainable economic growth.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Cybersecurity and privacy concerns moreover posture challenges to the relationship between computerized innovations and economical financial development. As economies ended up progressively digitalized, the chance of cyber dangers and unauthorized get to to touchy data develops. Guaranteeing the security and protection of computerized systems is pivotal for keeping up believe within the computerized economy and maintaining long-term financial development.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conclusion, the relationship between digital technologies and sustainable economic growth is multifaceted. While these technologies have the potential to drive innovation and efficiency, they also pose challenges related to environmental impact, social inequality, and job displacement. Achieving sustainable economic growth in the digital era requires a comprehensive approach that considers the environmental and social implications of technological advancements. Policymakers, businesses, and society at large must collaborate to harness the benefits of digital technologies while mitigating their negative consequences, ensuring a balanced and sustainable path forward.</w:t>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