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ACD2" w14:textId="77777777" w:rsidR="009073DB" w:rsidRDefault="00C17533" w:rsidP="00845BED">
      <w:pPr>
        <w:spacing w:after="247"/>
        <w:ind w:left="0" w:firstLine="0"/>
        <w:jc w:val="left"/>
      </w:pPr>
      <w:r>
        <w:rPr>
          <w:b/>
          <w:u w:val="single" w:color="000000"/>
        </w:rPr>
        <w:t>Review report for CJCE-24-0503</w:t>
      </w:r>
    </w:p>
    <w:p w14:paraId="4095EBA6" w14:textId="77777777" w:rsidR="009073DB" w:rsidRDefault="00C17533" w:rsidP="00845BED">
      <w:pPr>
        <w:spacing w:after="0" w:line="480" w:lineRule="auto"/>
        <w:jc w:val="left"/>
      </w:pPr>
      <w:r>
        <w:t>In this manuscript, authors reported the application of a mathematical model for the supercritical extraction process of essential oil from chamomile flowers. Authors pointed out that the applied model describes the governing mass transfer phenomena in a solid-fluid environment under supercritical conditions using carbon dioxide. They mentioned that the flow of carbon dioxide is assumed to be uniform across any cross-section, although the area available for the fluid phase can vary along the extractor. Furthermore, authors remarked that the physical properties of the solvent are estimated based on the Peng-Robinson equation of state. In addition, they also reported that the model parameters, including the partition factor, internal diffusion coefficient and decaying factor, were determined through maximum likelihood estimation based on experimental data assuming normally distributed errors.</w:t>
      </w:r>
    </w:p>
    <w:p w14:paraId="527E26B4" w14:textId="77777777" w:rsidR="009073DB" w:rsidRDefault="00C17533" w:rsidP="00845BED">
      <w:pPr>
        <w:spacing w:after="0" w:line="460" w:lineRule="auto"/>
        <w:jc w:val="left"/>
      </w:pPr>
      <w:r>
        <w:t xml:space="preserve">In general, the manuscript is very attractive and interesting, as well as beneficial for applied purposes. I strongly recommend it for publishing in the Canadian Journal of Chemical </w:t>
      </w:r>
      <w:proofErr w:type="spellStart"/>
      <w:r>
        <w:t>Engineerings</w:t>
      </w:r>
      <w:proofErr w:type="spellEnd"/>
      <w:r>
        <w:t>. Meanwhile, the manuscript needs a major and substantial revision before its acceptance. I also invite authors to completely and fully address the comments raised here. The comments are explained below.</w:t>
      </w:r>
      <w:r>
        <w:rPr>
          <w:rFonts w:ascii="Arial" w:eastAsia="Arial" w:hAnsi="Arial" w:cs="Arial"/>
          <w:b/>
          <w:sz w:val="28"/>
          <w:vertAlign w:val="subscript"/>
        </w:rPr>
        <w:t xml:space="preserve">  </w:t>
      </w:r>
    </w:p>
    <w:p w14:paraId="4C9FBAB4" w14:textId="7069F854" w:rsidR="009073DB" w:rsidRDefault="00C17533" w:rsidP="00845BED">
      <w:pPr>
        <w:numPr>
          <w:ilvl w:val="0"/>
          <w:numId w:val="1"/>
        </w:numPr>
        <w:spacing w:after="15" w:line="480" w:lineRule="auto"/>
        <w:ind w:hanging="360"/>
        <w:jc w:val="left"/>
      </w:pPr>
      <w:r w:rsidRPr="002C7274">
        <w:rPr>
          <w:strike/>
        </w:rPr>
        <w:t>Please explain and highlight the novelties of this research work with respect to the previously published papers, in the manuscript.</w:t>
      </w:r>
      <w:r>
        <w:t xml:space="preserve"> </w:t>
      </w:r>
      <w:r w:rsidR="002C7274">
        <w:br/>
      </w:r>
      <w:r w:rsidR="00024FAA">
        <w:rPr>
          <w:b/>
          <w:bCs/>
          <w:i/>
          <w:iCs/>
        </w:rPr>
        <w:t xml:space="preserve">Done. See section </w:t>
      </w:r>
      <w:proofErr w:type="gramStart"/>
      <w:r w:rsidR="00024FAA">
        <w:rPr>
          <w:b/>
          <w:bCs/>
          <w:i/>
          <w:iCs/>
        </w:rPr>
        <w:t>Results</w:t>
      </w:r>
      <w:proofErr w:type="gramEnd"/>
    </w:p>
    <w:p w14:paraId="26CA7A23" w14:textId="18324CAF" w:rsidR="009073DB" w:rsidRDefault="00C17533" w:rsidP="00845BED">
      <w:pPr>
        <w:numPr>
          <w:ilvl w:val="0"/>
          <w:numId w:val="1"/>
        </w:numPr>
        <w:ind w:hanging="360"/>
        <w:jc w:val="left"/>
      </w:pPr>
      <w:r w:rsidRPr="004A5C13">
        <w:rPr>
          <w:strike/>
        </w:rPr>
        <w:t>The motivations of conducting this research work are described.</w:t>
      </w:r>
      <w:r w:rsidR="00C97828">
        <w:br/>
      </w:r>
      <w:r w:rsidR="000150E9">
        <w:rPr>
          <w:b/>
          <w:bCs/>
          <w:i/>
          <w:iCs/>
        </w:rPr>
        <w:t xml:space="preserve">See second last paragraph of the Introduction chapter. </w:t>
      </w:r>
      <w:r w:rsidR="00C97828" w:rsidRPr="00B5631F">
        <w:rPr>
          <w:b/>
          <w:bCs/>
          <w:i/>
          <w:iCs/>
        </w:rPr>
        <w:t xml:space="preserve">Something to </w:t>
      </w:r>
      <w:r w:rsidR="008A6FC4" w:rsidRPr="00B5631F">
        <w:rPr>
          <w:b/>
          <w:bCs/>
          <w:i/>
          <w:iCs/>
        </w:rPr>
        <w:t>add?</w:t>
      </w:r>
    </w:p>
    <w:p w14:paraId="43BFCFA3" w14:textId="6344365A" w:rsidR="00C97828" w:rsidRPr="00845BED" w:rsidRDefault="00C17533" w:rsidP="00845BED">
      <w:pPr>
        <w:numPr>
          <w:ilvl w:val="0"/>
          <w:numId w:val="1"/>
        </w:numPr>
        <w:spacing w:after="15" w:line="360" w:lineRule="auto"/>
        <w:ind w:hanging="360"/>
        <w:jc w:val="left"/>
        <w:rPr>
          <w:strike/>
        </w:rPr>
      </w:pPr>
      <w:r w:rsidRPr="00B5631F">
        <w:rPr>
          <w:strike/>
        </w:rPr>
        <w:t xml:space="preserve">English language of manuscript needs a mild revision throughout the manuscript. For example, in page 9, lines 6 and 12, “the </w:t>
      </w:r>
      <w:proofErr w:type="spellStart"/>
      <w:r w:rsidRPr="00B5631F">
        <w:rPr>
          <w:strike/>
        </w:rPr>
        <w:t>desorptiondissolutiondiffusion</w:t>
      </w:r>
      <w:proofErr w:type="spellEnd"/>
      <w:r w:rsidRPr="00B5631F">
        <w:rPr>
          <w:strike/>
        </w:rPr>
        <w:t xml:space="preserve">”, must be corrected. </w:t>
      </w:r>
    </w:p>
    <w:p w14:paraId="143CFEB2" w14:textId="36C51EBC" w:rsidR="009073DB" w:rsidRDefault="00C17533" w:rsidP="00845BED">
      <w:pPr>
        <w:numPr>
          <w:ilvl w:val="0"/>
          <w:numId w:val="1"/>
        </w:numPr>
        <w:spacing w:after="175" w:line="360" w:lineRule="auto"/>
        <w:ind w:hanging="360"/>
        <w:jc w:val="left"/>
      </w:pPr>
      <w:r w:rsidRPr="00B5631F">
        <w:rPr>
          <w:strike/>
        </w:rPr>
        <w:t>The manuscript title is recommended to be improved as “</w:t>
      </w:r>
      <w:r w:rsidRPr="00B5631F">
        <w:rPr>
          <w:b/>
          <w:strike/>
        </w:rPr>
        <w:t>Mathematical modelling of</w:t>
      </w:r>
      <w:r w:rsidRPr="00B5631F">
        <w:rPr>
          <w:strike/>
        </w:rPr>
        <w:t xml:space="preserve"> </w:t>
      </w:r>
      <w:r w:rsidRPr="00B5631F">
        <w:rPr>
          <w:b/>
          <w:strike/>
        </w:rPr>
        <w:t xml:space="preserve">essential oil </w:t>
      </w:r>
      <w:r w:rsidRPr="00B5631F">
        <w:rPr>
          <w:strike/>
        </w:rPr>
        <w:t xml:space="preserve">supercritical carbon dioxide extraction </w:t>
      </w:r>
      <w:r w:rsidRPr="00B5631F">
        <w:rPr>
          <w:b/>
          <w:strike/>
        </w:rPr>
        <w:t>from chamomile flowers”</w:t>
      </w:r>
      <w:r w:rsidRPr="00B5631F">
        <w:rPr>
          <w:strike/>
        </w:rPr>
        <w:t>.</w:t>
      </w:r>
    </w:p>
    <w:p w14:paraId="0303B654" w14:textId="77777777" w:rsidR="009073DB" w:rsidRDefault="00C17533" w:rsidP="00845BED">
      <w:pPr>
        <w:numPr>
          <w:ilvl w:val="0"/>
          <w:numId w:val="1"/>
        </w:numPr>
        <w:spacing w:after="127"/>
        <w:ind w:hanging="360"/>
        <w:jc w:val="left"/>
      </w:pPr>
      <w:r>
        <w:t>The provided highlights must be shortened as well as quantitative reported values.</w:t>
      </w:r>
    </w:p>
    <w:p w14:paraId="407668D1" w14:textId="77777777" w:rsidR="009073DB" w:rsidRPr="00B5631F" w:rsidRDefault="00C17533" w:rsidP="00845BED">
      <w:pPr>
        <w:numPr>
          <w:ilvl w:val="0"/>
          <w:numId w:val="1"/>
        </w:numPr>
        <w:spacing w:after="15" w:line="360" w:lineRule="auto"/>
        <w:ind w:hanging="360"/>
        <w:jc w:val="left"/>
        <w:rPr>
          <w:strike/>
        </w:rPr>
      </w:pPr>
      <w:r w:rsidRPr="00B5631F">
        <w:rPr>
          <w:strike/>
        </w:rPr>
        <w:lastRenderedPageBreak/>
        <w:t>The last statement of abstract section is ambiguous. In fact, authors did not perform any experiments. Accordingly, please remove it.</w:t>
      </w:r>
    </w:p>
    <w:p w14:paraId="199FEB87" w14:textId="6E5E03C4" w:rsidR="009073DB" w:rsidRDefault="00C17533" w:rsidP="00845BED">
      <w:pPr>
        <w:numPr>
          <w:ilvl w:val="0"/>
          <w:numId w:val="1"/>
        </w:numPr>
        <w:spacing w:line="360" w:lineRule="auto"/>
        <w:ind w:hanging="360"/>
        <w:jc w:val="left"/>
      </w:pPr>
      <w:r w:rsidRPr="006874E9">
        <w:rPr>
          <w:strike/>
        </w:rPr>
        <w:t>The last paragraph of introduction must be rewritten, focusing the importance and necessity of this work.</w:t>
      </w:r>
      <w:r>
        <w:t xml:space="preserve"> </w:t>
      </w:r>
      <w:r w:rsidR="00425CB0">
        <w:br/>
      </w:r>
      <w:r w:rsidR="00425CB0">
        <w:rPr>
          <w:b/>
          <w:bCs/>
          <w:i/>
          <w:iCs/>
        </w:rPr>
        <w:t xml:space="preserve">Done. See last paragraph of the Introduction </w:t>
      </w:r>
      <w:proofErr w:type="gramStart"/>
      <w:r w:rsidR="00425CB0">
        <w:rPr>
          <w:b/>
          <w:bCs/>
          <w:i/>
          <w:iCs/>
        </w:rPr>
        <w:t>section</w:t>
      </w:r>
      <w:proofErr w:type="gramEnd"/>
    </w:p>
    <w:p w14:paraId="271B5D1B" w14:textId="77777777" w:rsidR="009073DB" w:rsidRPr="009300A6" w:rsidRDefault="00C17533" w:rsidP="00845BED">
      <w:pPr>
        <w:numPr>
          <w:ilvl w:val="0"/>
          <w:numId w:val="1"/>
        </w:numPr>
        <w:spacing w:after="0"/>
        <w:ind w:hanging="360"/>
        <w:jc w:val="left"/>
        <w:rPr>
          <w:strike/>
        </w:rPr>
      </w:pPr>
      <w:r w:rsidRPr="009300A6">
        <w:rPr>
          <w:strike/>
        </w:rPr>
        <w:t>As you may know, supercritical fluids such as carbon dioxide (SC-CO</w:t>
      </w:r>
      <w:r w:rsidRPr="009300A6">
        <w:rPr>
          <w:strike/>
          <w:vertAlign w:val="subscript"/>
        </w:rPr>
        <w:t>2</w:t>
      </w:r>
      <w:r w:rsidRPr="009300A6">
        <w:rPr>
          <w:strike/>
        </w:rPr>
        <w:t xml:space="preserve">) has many applications in various topics. Authors are requested inserting a proper statement to </w:t>
      </w:r>
      <w:proofErr w:type="spellStart"/>
      <w:r w:rsidRPr="009300A6">
        <w:rPr>
          <w:strike/>
        </w:rPr>
        <w:t>emphasise</w:t>
      </w:r>
      <w:proofErr w:type="spellEnd"/>
      <w:r w:rsidRPr="009300A6">
        <w:rPr>
          <w:strike/>
        </w:rPr>
        <w:t xml:space="preserve"> the importance of the utilizing of SC-CO</w:t>
      </w:r>
      <w:r w:rsidRPr="009300A6">
        <w:rPr>
          <w:strike/>
          <w:vertAlign w:val="subscript"/>
        </w:rPr>
        <w:t>2</w:t>
      </w:r>
      <w:r w:rsidRPr="009300A6">
        <w:rPr>
          <w:strike/>
        </w:rPr>
        <w:t xml:space="preserve"> technology to be familiar for readers. For this purpose, write and insert this statement in the introduction section of the main manuscript along with fully cited references in below.   “</w:t>
      </w:r>
      <w:proofErr w:type="gramStart"/>
      <w:r w:rsidRPr="009300A6">
        <w:rPr>
          <w:strike/>
        </w:rPr>
        <w:t>supercritical</w:t>
      </w:r>
      <w:proofErr w:type="gramEnd"/>
      <w:r w:rsidRPr="009300A6">
        <w:rPr>
          <w:strike/>
        </w:rPr>
        <w:t xml:space="preserve"> fluids like supercritical carbon dioxide (SC-CO</w:t>
      </w:r>
      <w:r w:rsidRPr="009300A6">
        <w:rPr>
          <w:strike/>
          <w:vertAlign w:val="subscript"/>
        </w:rPr>
        <w:t>2</w:t>
      </w:r>
      <w:r w:rsidRPr="009300A6">
        <w:rPr>
          <w:strike/>
        </w:rPr>
        <w:t>) has shown a great ability in various fields including extraction of</w:t>
      </w:r>
      <w:r w:rsidRPr="009300A6">
        <w:rPr>
          <w:rFonts w:ascii="Arial" w:eastAsia="Arial" w:hAnsi="Arial" w:cs="Arial"/>
          <w:b/>
          <w:strike/>
          <w:sz w:val="28"/>
          <w:vertAlign w:val="subscript"/>
        </w:rPr>
        <w:t xml:space="preserve"> </w:t>
      </w:r>
      <w:r w:rsidRPr="009300A6">
        <w:rPr>
          <w:rFonts w:ascii="Arial" w:eastAsia="Arial" w:hAnsi="Arial" w:cs="Arial"/>
          <w:b/>
          <w:strike/>
          <w:color w:val="00B050"/>
          <w:sz w:val="28"/>
          <w:vertAlign w:val="subscript"/>
        </w:rPr>
        <w:t xml:space="preserve">essential oil </w:t>
      </w:r>
      <w:r w:rsidRPr="009300A6">
        <w:rPr>
          <w:rFonts w:ascii="Arial" w:eastAsia="Arial" w:hAnsi="Arial" w:cs="Arial"/>
          <w:b/>
          <w:strike/>
          <w:sz w:val="28"/>
          <w:vertAlign w:val="subscript"/>
        </w:rPr>
        <w:t xml:space="preserve">[ </w:t>
      </w:r>
    </w:p>
    <w:tbl>
      <w:tblPr>
        <w:tblStyle w:val="TableGrid"/>
        <w:tblW w:w="8356" w:type="dxa"/>
        <w:tblInd w:w="720" w:type="dxa"/>
        <w:tblLook w:val="04A0" w:firstRow="1" w:lastRow="0" w:firstColumn="1" w:lastColumn="0" w:noHBand="0" w:noVBand="1"/>
      </w:tblPr>
      <w:tblGrid>
        <w:gridCol w:w="4605"/>
        <w:gridCol w:w="3751"/>
      </w:tblGrid>
      <w:tr w:rsidR="009073DB" w:rsidRPr="009300A6" w14:paraId="3CE5D160" w14:textId="77777777">
        <w:trPr>
          <w:trHeight w:val="326"/>
        </w:trPr>
        <w:tc>
          <w:tcPr>
            <w:tcW w:w="4605" w:type="dxa"/>
            <w:tcBorders>
              <w:top w:val="nil"/>
              <w:left w:val="nil"/>
              <w:bottom w:val="nil"/>
              <w:right w:val="nil"/>
            </w:tcBorders>
          </w:tcPr>
          <w:p w14:paraId="5FCF9E16" w14:textId="77777777" w:rsidR="009073DB" w:rsidRPr="009300A6" w:rsidRDefault="00000000" w:rsidP="00845BED">
            <w:pPr>
              <w:spacing w:after="0"/>
              <w:ind w:left="0" w:firstLine="0"/>
              <w:jc w:val="left"/>
              <w:rPr>
                <w:strike/>
              </w:rPr>
            </w:pPr>
            <w:hyperlink r:id="rId7">
              <w:r w:rsidR="00C17533" w:rsidRPr="009300A6">
                <w:rPr>
                  <w:rFonts w:ascii="Arial" w:eastAsia="Arial" w:hAnsi="Arial" w:cs="Arial"/>
                  <w:b/>
                  <w:strike/>
                  <w:sz w:val="18"/>
                </w:rPr>
                <w:t>https://doi.org/10.1016/j.supflu.2016.11.014,</w:t>
              </w:r>
            </w:hyperlink>
            <w:r w:rsidR="00C17533" w:rsidRPr="009300A6">
              <w:rPr>
                <w:rFonts w:ascii="Arial" w:eastAsia="Arial" w:hAnsi="Arial" w:cs="Arial"/>
                <w:b/>
                <w:strike/>
                <w:sz w:val="18"/>
              </w:rPr>
              <w:t xml:space="preserve"> </w:t>
            </w:r>
          </w:p>
        </w:tc>
        <w:tc>
          <w:tcPr>
            <w:tcW w:w="3751" w:type="dxa"/>
            <w:tcBorders>
              <w:top w:val="nil"/>
              <w:left w:val="nil"/>
              <w:bottom w:val="nil"/>
              <w:right w:val="nil"/>
            </w:tcBorders>
          </w:tcPr>
          <w:p w14:paraId="3AF0A48F" w14:textId="77777777" w:rsidR="009073DB" w:rsidRPr="009300A6" w:rsidRDefault="00000000" w:rsidP="00845BED">
            <w:pPr>
              <w:spacing w:after="0"/>
              <w:ind w:left="0" w:firstLine="0"/>
              <w:jc w:val="left"/>
              <w:rPr>
                <w:strike/>
              </w:rPr>
            </w:pPr>
            <w:hyperlink r:id="rId8">
              <w:r w:rsidR="00C17533" w:rsidRPr="009300A6">
                <w:rPr>
                  <w:rFonts w:ascii="Arial" w:eastAsia="Arial" w:hAnsi="Arial" w:cs="Arial"/>
                  <w:b/>
                  <w:strike/>
                  <w:sz w:val="18"/>
                </w:rPr>
                <w:t>https://doi.org/10.1016/j.supflu.2014.07.023,</w:t>
              </w:r>
            </w:hyperlink>
            <w:r w:rsidR="00C17533" w:rsidRPr="009300A6">
              <w:rPr>
                <w:rFonts w:ascii="Arial" w:eastAsia="Arial" w:hAnsi="Arial" w:cs="Arial"/>
                <w:b/>
                <w:strike/>
                <w:sz w:val="18"/>
              </w:rPr>
              <w:t xml:space="preserve"> </w:t>
            </w:r>
          </w:p>
        </w:tc>
      </w:tr>
      <w:tr w:rsidR="009073DB" w:rsidRPr="009300A6" w14:paraId="6F6ECA5C" w14:textId="77777777">
        <w:trPr>
          <w:trHeight w:val="483"/>
        </w:trPr>
        <w:tc>
          <w:tcPr>
            <w:tcW w:w="4605" w:type="dxa"/>
            <w:tcBorders>
              <w:top w:val="nil"/>
              <w:left w:val="nil"/>
              <w:bottom w:val="nil"/>
              <w:right w:val="nil"/>
            </w:tcBorders>
            <w:vAlign w:val="center"/>
          </w:tcPr>
          <w:p w14:paraId="579E1808" w14:textId="77777777" w:rsidR="009073DB" w:rsidRPr="009300A6" w:rsidRDefault="00000000" w:rsidP="00845BED">
            <w:pPr>
              <w:spacing w:after="0"/>
              <w:ind w:left="0" w:firstLine="0"/>
              <w:jc w:val="left"/>
              <w:rPr>
                <w:strike/>
              </w:rPr>
            </w:pPr>
            <w:hyperlink r:id="rId9">
              <w:r w:rsidR="00C17533" w:rsidRPr="009300A6">
                <w:rPr>
                  <w:rFonts w:ascii="Arial" w:eastAsia="Arial" w:hAnsi="Arial" w:cs="Arial"/>
                  <w:b/>
                  <w:strike/>
                  <w:sz w:val="18"/>
                </w:rPr>
                <w:t>https://doi.org/10.1016/j.supflu.2016.04.006,</w:t>
              </w:r>
            </w:hyperlink>
            <w:r w:rsidR="00C17533" w:rsidRPr="009300A6">
              <w:rPr>
                <w:rFonts w:ascii="Arial" w:eastAsia="Arial" w:hAnsi="Arial" w:cs="Arial"/>
                <w:b/>
                <w:strike/>
                <w:sz w:val="18"/>
              </w:rPr>
              <w:t xml:space="preserve"> </w:t>
            </w:r>
          </w:p>
        </w:tc>
        <w:tc>
          <w:tcPr>
            <w:tcW w:w="3751" w:type="dxa"/>
            <w:tcBorders>
              <w:top w:val="nil"/>
              <w:left w:val="nil"/>
              <w:bottom w:val="nil"/>
              <w:right w:val="nil"/>
            </w:tcBorders>
            <w:vAlign w:val="center"/>
          </w:tcPr>
          <w:p w14:paraId="670CC1AC" w14:textId="77777777" w:rsidR="009073DB" w:rsidRPr="009300A6" w:rsidRDefault="00000000" w:rsidP="00845BED">
            <w:pPr>
              <w:spacing w:after="0"/>
              <w:ind w:left="0" w:firstLine="0"/>
              <w:jc w:val="left"/>
              <w:rPr>
                <w:strike/>
              </w:rPr>
            </w:pPr>
            <w:hyperlink r:id="rId10">
              <w:r w:rsidR="00C17533" w:rsidRPr="009300A6">
                <w:rPr>
                  <w:rFonts w:ascii="Arial" w:eastAsia="Arial" w:hAnsi="Arial" w:cs="Arial"/>
                  <w:b/>
                  <w:strike/>
                  <w:sz w:val="18"/>
                </w:rPr>
                <w:t>https://doi.org/10.1016/j.supflu.2011.02.002</w:t>
              </w:r>
            </w:hyperlink>
            <w:r w:rsidR="00C17533" w:rsidRPr="009300A6">
              <w:rPr>
                <w:rFonts w:ascii="Arial" w:eastAsia="Arial" w:hAnsi="Arial" w:cs="Arial"/>
                <w:b/>
                <w:strike/>
                <w:sz w:val="18"/>
              </w:rPr>
              <w:t xml:space="preserve">, </w:t>
            </w:r>
          </w:p>
        </w:tc>
      </w:tr>
      <w:tr w:rsidR="009073DB" w:rsidRPr="009300A6" w14:paraId="34874981" w14:textId="77777777">
        <w:trPr>
          <w:trHeight w:val="326"/>
        </w:trPr>
        <w:tc>
          <w:tcPr>
            <w:tcW w:w="4605" w:type="dxa"/>
            <w:tcBorders>
              <w:top w:val="nil"/>
              <w:left w:val="nil"/>
              <w:bottom w:val="nil"/>
              <w:right w:val="nil"/>
            </w:tcBorders>
            <w:vAlign w:val="bottom"/>
          </w:tcPr>
          <w:p w14:paraId="08561453" w14:textId="77777777" w:rsidR="009073DB" w:rsidRPr="009300A6" w:rsidRDefault="00000000" w:rsidP="00845BED">
            <w:pPr>
              <w:spacing w:after="0"/>
              <w:ind w:left="0" w:firstLine="0"/>
              <w:jc w:val="left"/>
              <w:rPr>
                <w:strike/>
              </w:rPr>
            </w:pPr>
            <w:hyperlink r:id="rId11">
              <w:r w:rsidR="00C17533" w:rsidRPr="009300A6">
                <w:rPr>
                  <w:rFonts w:ascii="Arial" w:eastAsia="Arial" w:hAnsi="Arial" w:cs="Arial"/>
                  <w:b/>
                  <w:strike/>
                  <w:sz w:val="18"/>
                </w:rPr>
                <w:t>https://doi.org/10.1016/j.supflu.2016.05.015,</w:t>
              </w:r>
            </w:hyperlink>
            <w:r w:rsidR="00C17533" w:rsidRPr="009300A6">
              <w:rPr>
                <w:rFonts w:ascii="Arial" w:eastAsia="Arial" w:hAnsi="Arial" w:cs="Arial"/>
                <w:b/>
                <w:strike/>
                <w:sz w:val="18"/>
              </w:rPr>
              <w:t xml:space="preserve"> </w:t>
            </w:r>
          </w:p>
        </w:tc>
        <w:tc>
          <w:tcPr>
            <w:tcW w:w="3751" w:type="dxa"/>
            <w:tcBorders>
              <w:top w:val="nil"/>
              <w:left w:val="nil"/>
              <w:bottom w:val="nil"/>
              <w:right w:val="nil"/>
            </w:tcBorders>
            <w:vAlign w:val="bottom"/>
          </w:tcPr>
          <w:p w14:paraId="69567304" w14:textId="77777777" w:rsidR="009073DB" w:rsidRPr="009300A6" w:rsidRDefault="00000000" w:rsidP="00845BED">
            <w:pPr>
              <w:spacing w:after="0"/>
              <w:ind w:left="0" w:firstLine="0"/>
              <w:jc w:val="left"/>
              <w:rPr>
                <w:strike/>
              </w:rPr>
            </w:pPr>
            <w:hyperlink r:id="rId12">
              <w:r w:rsidR="00C17533" w:rsidRPr="009300A6">
                <w:rPr>
                  <w:rFonts w:ascii="Arial" w:eastAsia="Arial" w:hAnsi="Arial" w:cs="Arial"/>
                  <w:b/>
                  <w:strike/>
                  <w:sz w:val="18"/>
                </w:rPr>
                <w:t>https://doi.org/10.1016/j.supflu.2017.04.007,</w:t>
              </w:r>
            </w:hyperlink>
            <w:r w:rsidR="00C17533" w:rsidRPr="009300A6">
              <w:rPr>
                <w:rFonts w:ascii="Arial" w:eastAsia="Arial" w:hAnsi="Arial" w:cs="Arial"/>
                <w:b/>
                <w:strike/>
                <w:sz w:val="18"/>
              </w:rPr>
              <w:t xml:space="preserve"> </w:t>
            </w:r>
          </w:p>
        </w:tc>
      </w:tr>
    </w:tbl>
    <w:p w14:paraId="451BA6AA" w14:textId="77777777" w:rsidR="009073DB" w:rsidRPr="009300A6" w:rsidRDefault="00000000" w:rsidP="00845BED">
      <w:pPr>
        <w:spacing w:after="90"/>
        <w:ind w:left="715"/>
        <w:jc w:val="left"/>
        <w:rPr>
          <w:strike/>
        </w:rPr>
      </w:pPr>
      <w:hyperlink r:id="rId13">
        <w:r w:rsidR="00C17533" w:rsidRPr="009300A6">
          <w:rPr>
            <w:rFonts w:ascii="Arial" w:eastAsia="Arial" w:hAnsi="Arial" w:cs="Arial"/>
            <w:b/>
            <w:strike/>
            <w:sz w:val="18"/>
          </w:rPr>
          <w:t>https://doi.org/10.1016/j.jtice.2015.11.003</w:t>
        </w:r>
      </w:hyperlink>
      <w:r w:rsidR="00C17533" w:rsidRPr="009300A6">
        <w:rPr>
          <w:rFonts w:ascii="Arial" w:eastAsia="Arial" w:hAnsi="Arial" w:cs="Arial"/>
          <w:b/>
          <w:strike/>
          <w:sz w:val="18"/>
        </w:rPr>
        <w:t xml:space="preserve">, ], </w:t>
      </w:r>
      <w:r w:rsidR="00C17533" w:rsidRPr="009300A6">
        <w:rPr>
          <w:rFonts w:ascii="Arial" w:eastAsia="Arial" w:hAnsi="Arial" w:cs="Arial"/>
          <w:b/>
          <w:strike/>
          <w:color w:val="00B050"/>
          <w:sz w:val="18"/>
        </w:rPr>
        <w:t xml:space="preserve">seed oil </w:t>
      </w:r>
      <w:r w:rsidR="00C17533" w:rsidRPr="009300A6">
        <w:rPr>
          <w:rFonts w:ascii="Arial" w:eastAsia="Arial" w:hAnsi="Arial" w:cs="Arial"/>
          <w:b/>
          <w:strike/>
          <w:sz w:val="18"/>
        </w:rPr>
        <w:t>[</w:t>
      </w:r>
      <w:hyperlink r:id="rId14">
        <w:r w:rsidR="00C17533" w:rsidRPr="009300A6">
          <w:rPr>
            <w:rFonts w:ascii="Arial" w:eastAsia="Arial" w:hAnsi="Arial" w:cs="Arial"/>
            <w:b/>
            <w:strike/>
            <w:sz w:val="18"/>
          </w:rPr>
          <w:t>https://doi.org/10.1016/j.supflu.2016.08.019,</w:t>
        </w:r>
      </w:hyperlink>
      <w:r w:rsidR="00C17533" w:rsidRPr="009300A6">
        <w:rPr>
          <w:rFonts w:ascii="Arial" w:eastAsia="Arial" w:hAnsi="Arial" w:cs="Arial"/>
          <w:b/>
          <w:strike/>
          <w:sz w:val="18"/>
        </w:rPr>
        <w:t xml:space="preserve"> </w:t>
      </w:r>
      <w:hyperlink r:id="rId15">
        <w:r w:rsidR="00C17533" w:rsidRPr="009300A6">
          <w:rPr>
            <w:rFonts w:ascii="Arial" w:eastAsia="Arial" w:hAnsi="Arial" w:cs="Arial"/>
            <w:b/>
            <w:strike/>
            <w:sz w:val="18"/>
          </w:rPr>
          <w:t>https://doi.org/10.1016/j.supflu.2015.12.004,</w:t>
        </w:r>
      </w:hyperlink>
      <w:r w:rsidR="00C17533" w:rsidRPr="009300A6">
        <w:rPr>
          <w:rFonts w:ascii="Arial" w:eastAsia="Arial" w:hAnsi="Arial" w:cs="Arial"/>
          <w:b/>
          <w:strike/>
          <w:sz w:val="18"/>
        </w:rPr>
        <w:t xml:space="preserve"> </w:t>
      </w:r>
      <w:hyperlink r:id="rId16">
        <w:r w:rsidR="00C17533" w:rsidRPr="009300A6">
          <w:rPr>
            <w:rFonts w:ascii="Arial" w:eastAsia="Arial" w:hAnsi="Arial" w:cs="Arial"/>
            <w:b/>
            <w:strike/>
            <w:sz w:val="18"/>
          </w:rPr>
          <w:t>https://doi.org/10.1016/j.supflu.2017.12.026]</w:t>
        </w:r>
      </w:hyperlink>
      <w:r w:rsidR="00C17533" w:rsidRPr="009300A6">
        <w:rPr>
          <w:rFonts w:ascii="Arial" w:eastAsia="Arial" w:hAnsi="Arial" w:cs="Arial"/>
          <w:b/>
          <w:strike/>
          <w:sz w:val="18"/>
        </w:rPr>
        <w:t xml:space="preserve">, </w:t>
      </w:r>
      <w:r w:rsidR="00C17533" w:rsidRPr="009300A6">
        <w:rPr>
          <w:rFonts w:ascii="Arial" w:eastAsia="Arial" w:hAnsi="Arial" w:cs="Arial"/>
          <w:b/>
          <w:strike/>
          <w:color w:val="00B050"/>
          <w:sz w:val="18"/>
        </w:rPr>
        <w:t>solubility</w:t>
      </w:r>
      <w:r w:rsidR="00C17533" w:rsidRPr="009300A6">
        <w:rPr>
          <w:rFonts w:ascii="Arial" w:eastAsia="Arial" w:hAnsi="Arial" w:cs="Arial"/>
          <w:b/>
          <w:strike/>
          <w:sz w:val="18"/>
        </w:rPr>
        <w:t xml:space="preserve"> [</w:t>
      </w:r>
      <w:hyperlink r:id="rId17">
        <w:r w:rsidR="00C17533" w:rsidRPr="009300A6">
          <w:rPr>
            <w:rFonts w:ascii="Arial" w:eastAsia="Arial" w:hAnsi="Arial" w:cs="Arial"/>
            <w:b/>
            <w:strike/>
            <w:sz w:val="18"/>
          </w:rPr>
          <w:t>https://doi.org/10.1002/cben.202200020,</w:t>
        </w:r>
      </w:hyperlink>
      <w:r w:rsidR="00C17533" w:rsidRPr="009300A6">
        <w:rPr>
          <w:rFonts w:ascii="Arial" w:eastAsia="Arial" w:hAnsi="Arial" w:cs="Arial"/>
          <w:b/>
          <w:strike/>
          <w:sz w:val="18"/>
        </w:rPr>
        <w:t xml:space="preserve"> https://doi.org/10.1007/s11814-018-0125-6], </w:t>
      </w:r>
    </w:p>
    <w:tbl>
      <w:tblPr>
        <w:tblStyle w:val="TableGrid"/>
        <w:tblW w:w="8356" w:type="dxa"/>
        <w:tblInd w:w="720" w:type="dxa"/>
        <w:tblLook w:val="04A0" w:firstRow="1" w:lastRow="0" w:firstColumn="1" w:lastColumn="0" w:noHBand="0" w:noVBand="1"/>
      </w:tblPr>
      <w:tblGrid>
        <w:gridCol w:w="4234"/>
        <w:gridCol w:w="4122"/>
      </w:tblGrid>
      <w:tr w:rsidR="009073DB" w:rsidRPr="009300A6" w14:paraId="2399DAD6" w14:textId="77777777">
        <w:trPr>
          <w:trHeight w:val="326"/>
        </w:trPr>
        <w:tc>
          <w:tcPr>
            <w:tcW w:w="4234" w:type="dxa"/>
            <w:tcBorders>
              <w:top w:val="nil"/>
              <w:left w:val="nil"/>
              <w:bottom w:val="nil"/>
              <w:right w:val="nil"/>
            </w:tcBorders>
          </w:tcPr>
          <w:p w14:paraId="50D5A891" w14:textId="77777777" w:rsidR="009073DB" w:rsidRPr="009300A6" w:rsidRDefault="00C17533" w:rsidP="00845BED">
            <w:pPr>
              <w:tabs>
                <w:tab w:val="center" w:pos="2808"/>
              </w:tabs>
              <w:spacing w:after="0"/>
              <w:ind w:left="0" w:firstLine="0"/>
              <w:jc w:val="left"/>
              <w:rPr>
                <w:strike/>
              </w:rPr>
            </w:pPr>
            <w:r w:rsidRPr="009300A6">
              <w:rPr>
                <w:rFonts w:ascii="Arial" w:eastAsia="Arial" w:hAnsi="Arial" w:cs="Arial"/>
                <w:b/>
                <w:strike/>
                <w:color w:val="00B050"/>
                <w:sz w:val="18"/>
              </w:rPr>
              <w:t xml:space="preserve">nanoparticle </w:t>
            </w:r>
            <w:r w:rsidRPr="009300A6">
              <w:rPr>
                <w:rFonts w:ascii="Arial" w:eastAsia="Arial" w:hAnsi="Arial" w:cs="Arial"/>
                <w:b/>
                <w:strike/>
                <w:color w:val="00B050"/>
                <w:sz w:val="18"/>
              </w:rPr>
              <w:tab/>
              <w:t>formation</w:t>
            </w:r>
            <w:r w:rsidRPr="009300A6">
              <w:rPr>
                <w:rFonts w:ascii="Arial" w:eastAsia="Arial" w:hAnsi="Arial" w:cs="Arial"/>
                <w:b/>
                <w:strike/>
                <w:sz w:val="18"/>
              </w:rPr>
              <w:t xml:space="preserve"> </w:t>
            </w:r>
          </w:p>
        </w:tc>
        <w:tc>
          <w:tcPr>
            <w:tcW w:w="4122" w:type="dxa"/>
            <w:tcBorders>
              <w:top w:val="nil"/>
              <w:left w:val="nil"/>
              <w:bottom w:val="nil"/>
              <w:right w:val="nil"/>
            </w:tcBorders>
          </w:tcPr>
          <w:p w14:paraId="2FB0903A" w14:textId="77777777" w:rsidR="009073DB" w:rsidRPr="009300A6" w:rsidRDefault="00C17533" w:rsidP="00845BED">
            <w:pPr>
              <w:spacing w:after="0"/>
              <w:ind w:left="0" w:right="50" w:firstLine="0"/>
              <w:jc w:val="left"/>
              <w:rPr>
                <w:strike/>
              </w:rPr>
            </w:pPr>
            <w:r w:rsidRPr="009300A6">
              <w:rPr>
                <w:rFonts w:ascii="Arial" w:eastAsia="Arial" w:hAnsi="Arial" w:cs="Arial"/>
                <w:b/>
                <w:strike/>
                <w:sz w:val="18"/>
              </w:rPr>
              <w:t>[</w:t>
            </w:r>
            <w:hyperlink r:id="rId18">
              <w:r w:rsidRPr="009300A6">
                <w:rPr>
                  <w:rFonts w:ascii="Arial" w:eastAsia="Arial" w:hAnsi="Arial" w:cs="Arial"/>
                  <w:b/>
                  <w:strike/>
                  <w:sz w:val="18"/>
                </w:rPr>
                <w:t>https://doi.org/10.1016/j.supflu.2017.10.015,</w:t>
              </w:r>
            </w:hyperlink>
            <w:r w:rsidRPr="009300A6">
              <w:rPr>
                <w:rFonts w:ascii="Arial" w:eastAsia="Arial" w:hAnsi="Arial" w:cs="Arial"/>
                <w:b/>
                <w:strike/>
                <w:sz w:val="18"/>
              </w:rPr>
              <w:t xml:space="preserve"> </w:t>
            </w:r>
          </w:p>
        </w:tc>
      </w:tr>
      <w:tr w:rsidR="009073DB" w:rsidRPr="009300A6" w14:paraId="11F339F4" w14:textId="77777777">
        <w:trPr>
          <w:trHeight w:val="445"/>
        </w:trPr>
        <w:tc>
          <w:tcPr>
            <w:tcW w:w="4234" w:type="dxa"/>
            <w:tcBorders>
              <w:top w:val="nil"/>
              <w:left w:val="nil"/>
              <w:bottom w:val="nil"/>
              <w:right w:val="nil"/>
            </w:tcBorders>
            <w:vAlign w:val="center"/>
          </w:tcPr>
          <w:p w14:paraId="606D0E72" w14:textId="77777777" w:rsidR="009073DB" w:rsidRPr="009300A6" w:rsidRDefault="00000000" w:rsidP="00845BED">
            <w:pPr>
              <w:spacing w:after="0"/>
              <w:ind w:left="0" w:firstLine="0"/>
              <w:jc w:val="left"/>
              <w:rPr>
                <w:strike/>
              </w:rPr>
            </w:pPr>
            <w:hyperlink r:id="rId19">
              <w:r w:rsidR="00C17533" w:rsidRPr="009300A6">
                <w:rPr>
                  <w:rFonts w:ascii="Arial" w:eastAsia="Arial" w:hAnsi="Arial" w:cs="Arial"/>
                  <w:b/>
                  <w:strike/>
                  <w:sz w:val="18"/>
                </w:rPr>
                <w:t>https://doi.org/10.1016/j.heliyon.2020.e04947,</w:t>
              </w:r>
            </w:hyperlink>
            <w:r w:rsidR="00C17533" w:rsidRPr="009300A6">
              <w:rPr>
                <w:rFonts w:ascii="Arial" w:eastAsia="Arial" w:hAnsi="Arial" w:cs="Arial"/>
                <w:b/>
                <w:strike/>
                <w:sz w:val="18"/>
              </w:rPr>
              <w:t xml:space="preserve"> </w:t>
            </w:r>
          </w:p>
        </w:tc>
        <w:tc>
          <w:tcPr>
            <w:tcW w:w="4122" w:type="dxa"/>
            <w:tcBorders>
              <w:top w:val="nil"/>
              <w:left w:val="nil"/>
              <w:bottom w:val="nil"/>
              <w:right w:val="nil"/>
            </w:tcBorders>
            <w:vAlign w:val="center"/>
          </w:tcPr>
          <w:p w14:paraId="52D008EC" w14:textId="77777777" w:rsidR="009073DB" w:rsidRPr="009300A6" w:rsidRDefault="00000000" w:rsidP="00845BED">
            <w:pPr>
              <w:spacing w:after="0"/>
              <w:ind w:left="0" w:right="50" w:firstLine="0"/>
              <w:jc w:val="left"/>
              <w:rPr>
                <w:strike/>
              </w:rPr>
            </w:pPr>
            <w:hyperlink r:id="rId20">
              <w:r w:rsidR="00C17533" w:rsidRPr="009300A6">
                <w:rPr>
                  <w:rFonts w:ascii="Arial" w:eastAsia="Arial" w:hAnsi="Arial" w:cs="Arial"/>
                  <w:b/>
                  <w:strike/>
                  <w:sz w:val="18"/>
                </w:rPr>
                <w:t>https://doi.org/10.1016/j.supflu.2021.105163,</w:t>
              </w:r>
            </w:hyperlink>
            <w:r w:rsidR="00C17533" w:rsidRPr="009300A6">
              <w:rPr>
                <w:rFonts w:ascii="Arial" w:eastAsia="Arial" w:hAnsi="Arial" w:cs="Arial"/>
                <w:b/>
                <w:strike/>
                <w:sz w:val="18"/>
              </w:rPr>
              <w:t xml:space="preserve"> </w:t>
            </w:r>
          </w:p>
        </w:tc>
      </w:tr>
      <w:tr w:rsidR="009073DB" w:rsidRPr="009300A6" w14:paraId="13AEF8D9" w14:textId="77777777">
        <w:trPr>
          <w:trHeight w:val="521"/>
        </w:trPr>
        <w:tc>
          <w:tcPr>
            <w:tcW w:w="4234" w:type="dxa"/>
            <w:tcBorders>
              <w:top w:val="nil"/>
              <w:left w:val="nil"/>
              <w:bottom w:val="nil"/>
              <w:right w:val="nil"/>
            </w:tcBorders>
            <w:vAlign w:val="center"/>
          </w:tcPr>
          <w:p w14:paraId="3B02EE8D" w14:textId="77777777" w:rsidR="009073DB" w:rsidRPr="009300A6" w:rsidRDefault="00000000" w:rsidP="00845BED">
            <w:pPr>
              <w:spacing w:after="0"/>
              <w:ind w:left="0" w:firstLine="0"/>
              <w:jc w:val="left"/>
              <w:rPr>
                <w:strike/>
              </w:rPr>
            </w:pPr>
            <w:hyperlink r:id="rId21">
              <w:r w:rsidR="00C17533" w:rsidRPr="009300A6">
                <w:rPr>
                  <w:rFonts w:ascii="Arial" w:eastAsia="Arial" w:hAnsi="Arial" w:cs="Arial"/>
                  <w:b/>
                  <w:strike/>
                  <w:sz w:val="18"/>
                </w:rPr>
                <w:t>https://doi.org/10.1016/j.jcou.2021.101799</w:t>
              </w:r>
            </w:hyperlink>
            <w:r w:rsidR="00C17533" w:rsidRPr="009300A6">
              <w:rPr>
                <w:rFonts w:ascii="Arial" w:eastAsia="Arial" w:hAnsi="Arial" w:cs="Arial"/>
                <w:b/>
                <w:strike/>
                <w:sz w:val="18"/>
              </w:rPr>
              <w:t>,</w:t>
            </w:r>
            <w:r w:rsidR="00C17533" w:rsidRPr="009300A6">
              <w:rPr>
                <w:strike/>
              </w:rPr>
              <w:t xml:space="preserve"> </w:t>
            </w:r>
          </w:p>
        </w:tc>
        <w:tc>
          <w:tcPr>
            <w:tcW w:w="4122" w:type="dxa"/>
            <w:tcBorders>
              <w:top w:val="nil"/>
              <w:left w:val="nil"/>
              <w:bottom w:val="nil"/>
              <w:right w:val="nil"/>
            </w:tcBorders>
            <w:vAlign w:val="center"/>
          </w:tcPr>
          <w:p w14:paraId="7A8677CD" w14:textId="77777777" w:rsidR="009073DB" w:rsidRPr="009300A6" w:rsidRDefault="00000000" w:rsidP="00845BED">
            <w:pPr>
              <w:spacing w:after="0"/>
              <w:ind w:left="0" w:right="50" w:firstLine="0"/>
              <w:jc w:val="left"/>
              <w:rPr>
                <w:strike/>
              </w:rPr>
            </w:pPr>
            <w:hyperlink r:id="rId22">
              <w:r w:rsidR="00C17533" w:rsidRPr="009300A6">
                <w:rPr>
                  <w:rFonts w:ascii="Arial" w:eastAsia="Arial" w:hAnsi="Arial" w:cs="Arial"/>
                  <w:b/>
                  <w:strike/>
                  <w:sz w:val="18"/>
                </w:rPr>
                <w:t xml:space="preserve">https://doi.org/10.1016/j.supflu.2018.11.007 </w:t>
              </w:r>
            </w:hyperlink>
          </w:p>
        </w:tc>
      </w:tr>
      <w:tr w:rsidR="009073DB" w:rsidRPr="009300A6" w14:paraId="3E1FC3F8" w14:textId="77777777">
        <w:trPr>
          <w:trHeight w:val="483"/>
        </w:trPr>
        <w:tc>
          <w:tcPr>
            <w:tcW w:w="4234" w:type="dxa"/>
            <w:tcBorders>
              <w:top w:val="nil"/>
              <w:left w:val="nil"/>
              <w:bottom w:val="nil"/>
              <w:right w:val="nil"/>
            </w:tcBorders>
            <w:vAlign w:val="center"/>
          </w:tcPr>
          <w:p w14:paraId="3A8D5C99" w14:textId="77777777" w:rsidR="009073DB" w:rsidRPr="009300A6" w:rsidRDefault="00000000" w:rsidP="00845BED">
            <w:pPr>
              <w:spacing w:after="0"/>
              <w:ind w:left="0" w:firstLine="0"/>
              <w:jc w:val="left"/>
              <w:rPr>
                <w:strike/>
              </w:rPr>
            </w:pPr>
            <w:hyperlink r:id="rId23">
              <w:r w:rsidR="00C17533" w:rsidRPr="009300A6">
                <w:rPr>
                  <w:rFonts w:ascii="Arial" w:eastAsia="Arial" w:hAnsi="Arial" w:cs="Arial"/>
                  <w:b/>
                  <w:strike/>
                  <w:sz w:val="18"/>
                </w:rPr>
                <w:t>https://doi.org/10.1016/j.cherd.2018.12.020</w:t>
              </w:r>
            </w:hyperlink>
            <w:r w:rsidR="00C17533" w:rsidRPr="009300A6">
              <w:rPr>
                <w:rFonts w:ascii="Arial" w:eastAsia="Arial" w:hAnsi="Arial" w:cs="Arial"/>
                <w:b/>
                <w:strike/>
                <w:sz w:val="18"/>
              </w:rPr>
              <w:t xml:space="preserve">, </w:t>
            </w:r>
          </w:p>
        </w:tc>
        <w:tc>
          <w:tcPr>
            <w:tcW w:w="4122" w:type="dxa"/>
            <w:tcBorders>
              <w:top w:val="nil"/>
              <w:left w:val="nil"/>
              <w:bottom w:val="nil"/>
              <w:right w:val="nil"/>
            </w:tcBorders>
            <w:vAlign w:val="center"/>
          </w:tcPr>
          <w:p w14:paraId="5C262329" w14:textId="77777777" w:rsidR="009073DB" w:rsidRPr="009300A6" w:rsidRDefault="00000000" w:rsidP="00845BED">
            <w:pPr>
              <w:spacing w:after="0"/>
              <w:ind w:left="0" w:right="50" w:firstLine="0"/>
              <w:jc w:val="left"/>
              <w:rPr>
                <w:strike/>
              </w:rPr>
            </w:pPr>
            <w:hyperlink r:id="rId24">
              <w:r w:rsidR="00C17533" w:rsidRPr="009300A6">
                <w:rPr>
                  <w:rFonts w:ascii="Arial" w:eastAsia="Arial" w:hAnsi="Arial" w:cs="Arial"/>
                  <w:b/>
                  <w:strike/>
                  <w:sz w:val="18"/>
                </w:rPr>
                <w:t>https://doi.org/10.1016/j.fluid.2018.11.006</w:t>
              </w:r>
            </w:hyperlink>
            <w:r w:rsidR="00C17533" w:rsidRPr="009300A6">
              <w:rPr>
                <w:rFonts w:ascii="Arial" w:eastAsia="Arial" w:hAnsi="Arial" w:cs="Arial"/>
                <w:b/>
                <w:strike/>
                <w:sz w:val="18"/>
              </w:rPr>
              <w:t xml:space="preserve">, </w:t>
            </w:r>
          </w:p>
        </w:tc>
      </w:tr>
      <w:tr w:rsidR="009073DB" w:rsidRPr="009300A6" w14:paraId="5F5E2ECC" w14:textId="77777777">
        <w:trPr>
          <w:trHeight w:val="483"/>
        </w:trPr>
        <w:tc>
          <w:tcPr>
            <w:tcW w:w="4234" w:type="dxa"/>
            <w:tcBorders>
              <w:top w:val="nil"/>
              <w:left w:val="nil"/>
              <w:bottom w:val="nil"/>
              <w:right w:val="nil"/>
            </w:tcBorders>
            <w:vAlign w:val="center"/>
          </w:tcPr>
          <w:p w14:paraId="63ADE665" w14:textId="77777777" w:rsidR="009073DB" w:rsidRPr="009300A6" w:rsidRDefault="00000000" w:rsidP="00845BED">
            <w:pPr>
              <w:spacing w:after="0"/>
              <w:ind w:left="0" w:firstLine="0"/>
              <w:jc w:val="left"/>
              <w:rPr>
                <w:strike/>
              </w:rPr>
            </w:pPr>
            <w:hyperlink r:id="rId25">
              <w:r w:rsidR="00C17533" w:rsidRPr="009300A6">
                <w:rPr>
                  <w:rFonts w:ascii="Arial" w:eastAsia="Arial" w:hAnsi="Arial" w:cs="Arial"/>
                  <w:b/>
                  <w:strike/>
                  <w:sz w:val="18"/>
                </w:rPr>
                <w:t>https://doi.org/10.1016/j.supflu.2018.06.009]</w:t>
              </w:r>
            </w:hyperlink>
            <w:r w:rsidR="00C17533" w:rsidRPr="009300A6">
              <w:rPr>
                <w:rFonts w:ascii="Arial" w:eastAsia="Arial" w:hAnsi="Arial" w:cs="Arial"/>
                <w:b/>
                <w:strike/>
                <w:sz w:val="18"/>
              </w:rPr>
              <w:t xml:space="preserve">, </w:t>
            </w:r>
          </w:p>
        </w:tc>
        <w:tc>
          <w:tcPr>
            <w:tcW w:w="4122" w:type="dxa"/>
            <w:tcBorders>
              <w:top w:val="nil"/>
              <w:left w:val="nil"/>
              <w:bottom w:val="nil"/>
              <w:right w:val="nil"/>
            </w:tcBorders>
            <w:vAlign w:val="center"/>
          </w:tcPr>
          <w:p w14:paraId="216CA0B6" w14:textId="77777777" w:rsidR="009073DB" w:rsidRPr="009300A6" w:rsidRDefault="00C17533" w:rsidP="00845BED">
            <w:pPr>
              <w:spacing w:after="0"/>
              <w:ind w:left="0" w:right="50" w:firstLine="0"/>
              <w:jc w:val="left"/>
              <w:rPr>
                <w:strike/>
              </w:rPr>
            </w:pPr>
            <w:r w:rsidRPr="009300A6">
              <w:rPr>
                <w:rFonts w:ascii="Arial" w:eastAsia="Arial" w:hAnsi="Arial" w:cs="Arial"/>
                <w:b/>
                <w:strike/>
                <w:color w:val="00B050"/>
                <w:sz w:val="18"/>
              </w:rPr>
              <w:t xml:space="preserve">impregnation </w:t>
            </w:r>
          </w:p>
        </w:tc>
      </w:tr>
      <w:tr w:rsidR="009073DB" w:rsidRPr="009300A6" w14:paraId="14A724F4" w14:textId="77777777">
        <w:trPr>
          <w:trHeight w:val="483"/>
        </w:trPr>
        <w:tc>
          <w:tcPr>
            <w:tcW w:w="4234" w:type="dxa"/>
            <w:tcBorders>
              <w:top w:val="nil"/>
              <w:left w:val="nil"/>
              <w:bottom w:val="nil"/>
              <w:right w:val="nil"/>
            </w:tcBorders>
            <w:vAlign w:val="center"/>
          </w:tcPr>
          <w:p w14:paraId="3B36294B" w14:textId="77777777" w:rsidR="009073DB" w:rsidRPr="009300A6" w:rsidRDefault="00C17533" w:rsidP="00845BED">
            <w:pPr>
              <w:spacing w:after="0"/>
              <w:ind w:left="0" w:firstLine="0"/>
              <w:jc w:val="left"/>
              <w:rPr>
                <w:strike/>
              </w:rPr>
            </w:pPr>
            <w:r w:rsidRPr="009300A6">
              <w:rPr>
                <w:rFonts w:ascii="Arial" w:eastAsia="Arial" w:hAnsi="Arial" w:cs="Arial"/>
                <w:b/>
                <w:strike/>
                <w:sz w:val="18"/>
              </w:rPr>
              <w:t>[</w:t>
            </w:r>
            <w:hyperlink r:id="rId26">
              <w:r w:rsidRPr="009300A6">
                <w:rPr>
                  <w:rFonts w:ascii="Arial" w:eastAsia="Arial" w:hAnsi="Arial" w:cs="Arial"/>
                  <w:b/>
                  <w:strike/>
                  <w:sz w:val="18"/>
                </w:rPr>
                <w:t>https://doi.org/10.1016/j.supflu.2020.104892,</w:t>
              </w:r>
            </w:hyperlink>
            <w:r w:rsidRPr="009300A6">
              <w:rPr>
                <w:rFonts w:ascii="Arial" w:eastAsia="Arial" w:hAnsi="Arial" w:cs="Arial"/>
                <w:b/>
                <w:strike/>
                <w:sz w:val="18"/>
              </w:rPr>
              <w:t xml:space="preserve"> </w:t>
            </w:r>
          </w:p>
        </w:tc>
        <w:tc>
          <w:tcPr>
            <w:tcW w:w="4122" w:type="dxa"/>
            <w:tcBorders>
              <w:top w:val="nil"/>
              <w:left w:val="nil"/>
              <w:bottom w:val="nil"/>
              <w:right w:val="nil"/>
            </w:tcBorders>
            <w:vAlign w:val="center"/>
          </w:tcPr>
          <w:p w14:paraId="27DAEC47" w14:textId="77777777" w:rsidR="009073DB" w:rsidRPr="009300A6" w:rsidRDefault="00000000" w:rsidP="00845BED">
            <w:pPr>
              <w:spacing w:after="0"/>
              <w:ind w:left="0" w:right="50" w:firstLine="0"/>
              <w:jc w:val="left"/>
              <w:rPr>
                <w:strike/>
              </w:rPr>
            </w:pPr>
            <w:hyperlink r:id="rId27">
              <w:r w:rsidR="00C17533" w:rsidRPr="009300A6">
                <w:rPr>
                  <w:rFonts w:ascii="Arial" w:eastAsia="Arial" w:hAnsi="Arial" w:cs="Arial"/>
                  <w:b/>
                  <w:strike/>
                  <w:sz w:val="18"/>
                </w:rPr>
                <w:t>https://doi.org/10.1016/j.supflu.2022.105674]</w:t>
              </w:r>
            </w:hyperlink>
            <w:r w:rsidR="00C17533" w:rsidRPr="009300A6">
              <w:rPr>
                <w:rFonts w:ascii="Arial" w:eastAsia="Arial" w:hAnsi="Arial" w:cs="Arial"/>
                <w:b/>
                <w:strike/>
                <w:sz w:val="18"/>
              </w:rPr>
              <w:t xml:space="preserve">, </w:t>
            </w:r>
          </w:p>
        </w:tc>
      </w:tr>
      <w:tr w:rsidR="009073DB" w:rsidRPr="009300A6" w14:paraId="6CB773E0" w14:textId="77777777">
        <w:trPr>
          <w:trHeight w:val="483"/>
        </w:trPr>
        <w:tc>
          <w:tcPr>
            <w:tcW w:w="4234" w:type="dxa"/>
            <w:tcBorders>
              <w:top w:val="nil"/>
              <w:left w:val="nil"/>
              <w:bottom w:val="nil"/>
              <w:right w:val="nil"/>
            </w:tcBorders>
            <w:vAlign w:val="center"/>
          </w:tcPr>
          <w:p w14:paraId="6B417137" w14:textId="77777777" w:rsidR="009073DB" w:rsidRPr="009300A6" w:rsidRDefault="00C17533" w:rsidP="00845BED">
            <w:pPr>
              <w:tabs>
                <w:tab w:val="center" w:pos="1446"/>
                <w:tab w:val="center" w:pos="2407"/>
                <w:tab w:val="center" w:pos="3608"/>
              </w:tabs>
              <w:spacing w:after="0"/>
              <w:ind w:left="0" w:firstLine="0"/>
              <w:jc w:val="left"/>
              <w:rPr>
                <w:strike/>
              </w:rPr>
            </w:pPr>
            <w:r w:rsidRPr="009300A6">
              <w:rPr>
                <w:rFonts w:ascii="Arial" w:eastAsia="Arial" w:hAnsi="Arial" w:cs="Arial"/>
                <w:b/>
                <w:strike/>
                <w:color w:val="00B050"/>
                <w:sz w:val="18"/>
              </w:rPr>
              <w:t xml:space="preserve">optimization </w:t>
            </w:r>
            <w:r w:rsidRPr="009300A6">
              <w:rPr>
                <w:rFonts w:ascii="Arial" w:eastAsia="Arial" w:hAnsi="Arial" w:cs="Arial"/>
                <w:b/>
                <w:strike/>
                <w:color w:val="00B050"/>
                <w:sz w:val="18"/>
              </w:rPr>
              <w:tab/>
              <w:t xml:space="preserve">and </w:t>
            </w:r>
            <w:r w:rsidRPr="009300A6">
              <w:rPr>
                <w:rFonts w:ascii="Arial" w:eastAsia="Arial" w:hAnsi="Arial" w:cs="Arial"/>
                <w:b/>
                <w:strike/>
                <w:color w:val="00B050"/>
                <w:sz w:val="18"/>
              </w:rPr>
              <w:tab/>
              <w:t xml:space="preserve">mathematical </w:t>
            </w:r>
            <w:r w:rsidRPr="009300A6">
              <w:rPr>
                <w:rFonts w:ascii="Arial" w:eastAsia="Arial" w:hAnsi="Arial" w:cs="Arial"/>
                <w:b/>
                <w:strike/>
                <w:color w:val="00B050"/>
                <w:sz w:val="18"/>
              </w:rPr>
              <w:tab/>
              <w:t xml:space="preserve">modeling </w:t>
            </w:r>
          </w:p>
        </w:tc>
        <w:tc>
          <w:tcPr>
            <w:tcW w:w="4122" w:type="dxa"/>
            <w:tcBorders>
              <w:top w:val="nil"/>
              <w:left w:val="nil"/>
              <w:bottom w:val="nil"/>
              <w:right w:val="nil"/>
            </w:tcBorders>
            <w:vAlign w:val="center"/>
          </w:tcPr>
          <w:p w14:paraId="48A13D3F" w14:textId="77777777" w:rsidR="009073DB" w:rsidRPr="009300A6" w:rsidRDefault="00000000" w:rsidP="00845BED">
            <w:pPr>
              <w:spacing w:after="0"/>
              <w:ind w:left="0" w:firstLine="0"/>
              <w:jc w:val="left"/>
              <w:rPr>
                <w:strike/>
              </w:rPr>
            </w:pPr>
            <w:hyperlink r:id="rId28">
              <w:r w:rsidR="00C17533" w:rsidRPr="009300A6">
                <w:rPr>
                  <w:rFonts w:ascii="Arial" w:eastAsia="Arial" w:hAnsi="Arial" w:cs="Arial"/>
                  <w:b/>
                  <w:strike/>
                  <w:sz w:val="18"/>
                </w:rPr>
                <w:t>[</w:t>
              </w:r>
            </w:hyperlink>
            <w:hyperlink r:id="rId29">
              <w:r w:rsidR="00C17533" w:rsidRPr="009300A6">
                <w:rPr>
                  <w:rFonts w:ascii="Arial" w:eastAsia="Arial" w:hAnsi="Arial" w:cs="Arial"/>
                  <w:b/>
                  <w:strike/>
                  <w:sz w:val="18"/>
                </w:rPr>
                <w:t>https://doi.org/10.1080/14786419.2017.1361954</w:t>
              </w:r>
            </w:hyperlink>
            <w:r w:rsidR="00C17533" w:rsidRPr="009300A6">
              <w:rPr>
                <w:rFonts w:ascii="Arial" w:eastAsia="Arial" w:hAnsi="Arial" w:cs="Arial"/>
                <w:b/>
                <w:strike/>
                <w:sz w:val="18"/>
              </w:rPr>
              <w:t xml:space="preserve">, </w:t>
            </w:r>
          </w:p>
        </w:tc>
      </w:tr>
      <w:tr w:rsidR="009073DB" w:rsidRPr="009300A6" w14:paraId="69126EA3" w14:textId="77777777">
        <w:trPr>
          <w:trHeight w:val="326"/>
        </w:trPr>
        <w:tc>
          <w:tcPr>
            <w:tcW w:w="4234" w:type="dxa"/>
            <w:tcBorders>
              <w:top w:val="nil"/>
              <w:left w:val="nil"/>
              <w:bottom w:val="nil"/>
              <w:right w:val="nil"/>
            </w:tcBorders>
            <w:vAlign w:val="bottom"/>
          </w:tcPr>
          <w:p w14:paraId="54E537FC" w14:textId="77777777" w:rsidR="009073DB" w:rsidRPr="009300A6" w:rsidRDefault="00000000" w:rsidP="00845BED">
            <w:pPr>
              <w:spacing w:after="0"/>
              <w:ind w:left="0" w:firstLine="0"/>
              <w:jc w:val="left"/>
              <w:rPr>
                <w:strike/>
              </w:rPr>
            </w:pPr>
            <w:hyperlink r:id="rId30">
              <w:r w:rsidR="00C17533" w:rsidRPr="009300A6">
                <w:rPr>
                  <w:rFonts w:ascii="Arial" w:eastAsia="Arial" w:hAnsi="Arial" w:cs="Arial"/>
                  <w:b/>
                  <w:strike/>
                  <w:sz w:val="18"/>
                </w:rPr>
                <w:t>https://doi.org/10.1016/j.supflu.2017.04.007]</w:t>
              </w:r>
            </w:hyperlink>
            <w:r w:rsidR="00C17533" w:rsidRPr="009300A6">
              <w:rPr>
                <w:rFonts w:ascii="Arial" w:eastAsia="Arial" w:hAnsi="Arial" w:cs="Arial"/>
                <w:b/>
                <w:strike/>
                <w:sz w:val="18"/>
              </w:rPr>
              <w:t xml:space="preserve">, </w:t>
            </w:r>
          </w:p>
        </w:tc>
        <w:tc>
          <w:tcPr>
            <w:tcW w:w="4122" w:type="dxa"/>
            <w:tcBorders>
              <w:top w:val="nil"/>
              <w:left w:val="nil"/>
              <w:bottom w:val="nil"/>
              <w:right w:val="nil"/>
            </w:tcBorders>
            <w:vAlign w:val="bottom"/>
          </w:tcPr>
          <w:p w14:paraId="78A18FB1" w14:textId="77777777" w:rsidR="009073DB" w:rsidRPr="009300A6" w:rsidRDefault="00C17533" w:rsidP="00845BED">
            <w:pPr>
              <w:tabs>
                <w:tab w:val="center" w:pos="1385"/>
                <w:tab w:val="right" w:pos="4122"/>
              </w:tabs>
              <w:spacing w:after="0"/>
              <w:ind w:left="0" w:firstLine="0"/>
              <w:jc w:val="left"/>
              <w:rPr>
                <w:strike/>
              </w:rPr>
            </w:pPr>
            <w:r w:rsidRPr="009300A6">
              <w:rPr>
                <w:strike/>
              </w:rPr>
              <w:tab/>
            </w:r>
            <w:r w:rsidRPr="009300A6">
              <w:rPr>
                <w:rFonts w:ascii="Arial" w:eastAsia="Arial" w:hAnsi="Arial" w:cs="Arial"/>
                <w:b/>
                <w:strike/>
                <w:color w:val="00B050"/>
                <w:sz w:val="18"/>
              </w:rPr>
              <w:t xml:space="preserve">polymer </w:t>
            </w:r>
            <w:r w:rsidRPr="009300A6">
              <w:rPr>
                <w:rFonts w:ascii="Arial" w:eastAsia="Arial" w:hAnsi="Arial" w:cs="Arial"/>
                <w:b/>
                <w:strike/>
                <w:color w:val="00B050"/>
                <w:sz w:val="18"/>
              </w:rPr>
              <w:tab/>
              <w:t xml:space="preserve">synthesis </w:t>
            </w:r>
          </w:p>
        </w:tc>
      </w:tr>
    </w:tbl>
    <w:p w14:paraId="032B4E71" w14:textId="77777777" w:rsidR="009073DB" w:rsidRPr="009300A6" w:rsidRDefault="00C17533" w:rsidP="00845BED">
      <w:pPr>
        <w:spacing w:after="179"/>
        <w:ind w:left="715"/>
        <w:jc w:val="left"/>
        <w:rPr>
          <w:strike/>
        </w:rPr>
      </w:pPr>
      <w:r w:rsidRPr="009300A6">
        <w:rPr>
          <w:rFonts w:ascii="Arial" w:eastAsia="Arial" w:hAnsi="Arial" w:cs="Arial"/>
          <w:b/>
          <w:strike/>
          <w:sz w:val="18"/>
        </w:rPr>
        <w:t>[</w:t>
      </w:r>
      <w:hyperlink r:id="rId31">
        <w:r w:rsidRPr="009300A6">
          <w:rPr>
            <w:rFonts w:ascii="Arial" w:eastAsia="Arial" w:hAnsi="Arial" w:cs="Arial"/>
            <w:b/>
            <w:strike/>
            <w:sz w:val="18"/>
          </w:rPr>
          <w:t>https://doi.org/10.1016/j.supflu.2022.105679]</w:t>
        </w:r>
      </w:hyperlink>
      <w:r w:rsidRPr="009300A6">
        <w:rPr>
          <w:rFonts w:ascii="Arial" w:eastAsia="Arial" w:hAnsi="Arial" w:cs="Arial"/>
          <w:b/>
          <w:strike/>
          <w:sz w:val="18"/>
        </w:rPr>
        <w:t>, etc.</w:t>
      </w:r>
    </w:p>
    <w:p w14:paraId="02658422" w14:textId="3B6E6E90" w:rsidR="009300A6" w:rsidRPr="009300A6" w:rsidRDefault="009300A6" w:rsidP="009300A6">
      <w:pPr>
        <w:ind w:left="705" w:firstLine="0"/>
        <w:jc w:val="left"/>
        <w:rPr>
          <w:b/>
          <w:bCs/>
          <w:i/>
          <w:iCs/>
        </w:rPr>
      </w:pPr>
      <w:r>
        <w:rPr>
          <w:b/>
          <w:bCs/>
          <w:i/>
          <w:iCs/>
        </w:rPr>
        <w:t xml:space="preserve">Done. See first four paragraphs of the Introduction </w:t>
      </w:r>
      <w:proofErr w:type="gramStart"/>
      <w:r>
        <w:rPr>
          <w:b/>
          <w:bCs/>
          <w:i/>
          <w:iCs/>
        </w:rPr>
        <w:t>chapter</w:t>
      </w:r>
      <w:proofErr w:type="gramEnd"/>
    </w:p>
    <w:p w14:paraId="2F6CF5C1" w14:textId="2DFA9CFE" w:rsidR="009073DB" w:rsidRPr="00024FAA" w:rsidRDefault="00C17533" w:rsidP="00845BED">
      <w:pPr>
        <w:numPr>
          <w:ilvl w:val="0"/>
          <w:numId w:val="1"/>
        </w:numPr>
        <w:ind w:hanging="360"/>
        <w:jc w:val="left"/>
        <w:rPr>
          <w:strike/>
        </w:rPr>
      </w:pPr>
      <w:r w:rsidRPr="00024FAA">
        <w:rPr>
          <w:strike/>
        </w:rPr>
        <w:t>Literature review on the available models could be completed in the introduction section.</w:t>
      </w:r>
    </w:p>
    <w:p w14:paraId="0878D79B" w14:textId="305288F6" w:rsidR="00BC5815" w:rsidRPr="00845BED" w:rsidRDefault="00BC5815" w:rsidP="00BC5815">
      <w:pPr>
        <w:ind w:left="705" w:firstLine="0"/>
        <w:jc w:val="left"/>
        <w:rPr>
          <w:b/>
          <w:bCs/>
          <w:i/>
          <w:iCs/>
        </w:rPr>
      </w:pPr>
      <w:r>
        <w:rPr>
          <w:b/>
          <w:bCs/>
          <w:i/>
          <w:iCs/>
        </w:rPr>
        <w:t xml:space="preserve">The literature review on the available models </w:t>
      </w:r>
      <w:r w:rsidR="00024FAA">
        <w:rPr>
          <w:b/>
          <w:bCs/>
          <w:i/>
          <w:iCs/>
        </w:rPr>
        <w:t>has been expanded. Check Section 1</w:t>
      </w:r>
    </w:p>
    <w:p w14:paraId="021CC982" w14:textId="77777777" w:rsidR="009073DB" w:rsidRPr="00B5631F" w:rsidRDefault="00C17533" w:rsidP="00845BED">
      <w:pPr>
        <w:numPr>
          <w:ilvl w:val="0"/>
          <w:numId w:val="1"/>
        </w:numPr>
        <w:ind w:hanging="360"/>
        <w:jc w:val="left"/>
        <w:rPr>
          <w:strike/>
        </w:rPr>
      </w:pPr>
      <w:r w:rsidRPr="00B5631F">
        <w:rPr>
          <w:strike/>
        </w:rPr>
        <w:t xml:space="preserve">As the authors did not conduct any experimental work by themselves, please remove </w:t>
      </w:r>
      <w:proofErr w:type="gramStart"/>
      <w:r w:rsidRPr="00B5631F">
        <w:rPr>
          <w:strike/>
        </w:rPr>
        <w:t>section</w:t>
      </w:r>
      <w:proofErr w:type="gramEnd"/>
      <w:r w:rsidRPr="00B5631F">
        <w:rPr>
          <w:strike/>
        </w:rPr>
        <w:t xml:space="preserve"> </w:t>
      </w:r>
    </w:p>
    <w:p w14:paraId="256B22EC" w14:textId="77777777" w:rsidR="009073DB" w:rsidRPr="00B5631F" w:rsidRDefault="00C17533" w:rsidP="00845BED">
      <w:pPr>
        <w:ind w:left="730"/>
        <w:jc w:val="left"/>
        <w:rPr>
          <w:strike/>
        </w:rPr>
      </w:pPr>
      <w:r w:rsidRPr="00B5631F">
        <w:rPr>
          <w:strike/>
        </w:rPr>
        <w:t>2.4.</w:t>
      </w:r>
    </w:p>
    <w:p w14:paraId="6600212D" w14:textId="62B5101F" w:rsidR="00B5631F" w:rsidRPr="00B5631F" w:rsidRDefault="004321CE" w:rsidP="00845BED">
      <w:pPr>
        <w:ind w:left="730"/>
        <w:jc w:val="left"/>
        <w:rPr>
          <w:b/>
          <w:bCs/>
          <w:i/>
          <w:iCs/>
        </w:rPr>
      </w:pPr>
      <w:r>
        <w:rPr>
          <w:b/>
          <w:bCs/>
          <w:i/>
          <w:iCs/>
        </w:rPr>
        <w:t xml:space="preserve">Done. </w:t>
      </w:r>
      <w:r w:rsidR="00B5631F">
        <w:rPr>
          <w:b/>
          <w:bCs/>
          <w:i/>
          <w:iCs/>
        </w:rPr>
        <w:t xml:space="preserve">The reference to the dataset is </w:t>
      </w:r>
      <w:r>
        <w:rPr>
          <w:b/>
          <w:bCs/>
          <w:i/>
          <w:iCs/>
        </w:rPr>
        <w:t xml:space="preserve">moved to </w:t>
      </w:r>
      <w:r w:rsidR="00B5631F">
        <w:rPr>
          <w:b/>
          <w:bCs/>
          <w:i/>
          <w:iCs/>
        </w:rPr>
        <w:t>the very beginning of the Results section.</w:t>
      </w:r>
    </w:p>
    <w:p w14:paraId="1A276F09" w14:textId="6F250E71" w:rsidR="009073DB" w:rsidRDefault="00C17533" w:rsidP="00845BED">
      <w:pPr>
        <w:numPr>
          <w:ilvl w:val="0"/>
          <w:numId w:val="1"/>
        </w:numPr>
        <w:ind w:hanging="360"/>
        <w:jc w:val="left"/>
      </w:pPr>
      <w:r w:rsidRPr="00753D27">
        <w:rPr>
          <w:strike/>
        </w:rPr>
        <w:lastRenderedPageBreak/>
        <w:t>Please explain the superiority of the applied model over the similar models in the literature.</w:t>
      </w:r>
      <w:r w:rsidR="00753D27">
        <w:br/>
      </w:r>
      <w:r w:rsidR="00753D27">
        <w:rPr>
          <w:b/>
          <w:bCs/>
          <w:i/>
          <w:iCs/>
        </w:rPr>
        <w:t xml:space="preserve">Done. See second last paragraph of the Results </w:t>
      </w:r>
      <w:proofErr w:type="gramStart"/>
      <w:r w:rsidR="00753D27">
        <w:rPr>
          <w:b/>
          <w:bCs/>
          <w:i/>
          <w:iCs/>
        </w:rPr>
        <w:t>chapter</w:t>
      </w:r>
      <w:proofErr w:type="gramEnd"/>
    </w:p>
    <w:p w14:paraId="04996540" w14:textId="7CD43E47" w:rsidR="00024FAA" w:rsidRPr="00024FAA" w:rsidRDefault="00C17533" w:rsidP="00024FAA">
      <w:pPr>
        <w:numPr>
          <w:ilvl w:val="0"/>
          <w:numId w:val="1"/>
        </w:numPr>
        <w:spacing w:after="15" w:line="480" w:lineRule="auto"/>
        <w:ind w:hanging="360"/>
        <w:jc w:val="left"/>
        <w:rPr>
          <w:strike/>
        </w:rPr>
      </w:pPr>
      <w:r w:rsidRPr="00024FAA">
        <w:rPr>
          <w:strike/>
        </w:rPr>
        <w:t>Could you report the error between experimental data and model predictions by statistical metrics including AARD%?</w:t>
      </w:r>
      <w:r w:rsidR="00024FAA">
        <w:rPr>
          <w:strike/>
        </w:rPr>
        <w:br/>
      </w:r>
      <w:r w:rsidR="00024FAA">
        <w:rPr>
          <w:b/>
          <w:bCs/>
          <w:i/>
          <w:iCs/>
        </w:rPr>
        <w:t xml:space="preserve">Done. See table </w:t>
      </w:r>
      <w:proofErr w:type="gramStart"/>
      <w:r w:rsidR="00024FAA">
        <w:rPr>
          <w:b/>
          <w:bCs/>
          <w:i/>
          <w:iCs/>
        </w:rPr>
        <w:t>2</w:t>
      </w:r>
      <w:proofErr w:type="gramEnd"/>
    </w:p>
    <w:p w14:paraId="7FB228FD" w14:textId="5E2668F2" w:rsidR="009073DB" w:rsidRDefault="00C17533" w:rsidP="00845BED">
      <w:pPr>
        <w:numPr>
          <w:ilvl w:val="0"/>
          <w:numId w:val="1"/>
        </w:numPr>
        <w:ind w:hanging="360"/>
        <w:jc w:val="left"/>
      </w:pPr>
      <w:r>
        <w:t>In the material section, please insert the name of material.</w:t>
      </w:r>
      <w:r w:rsidR="002C7274">
        <w:br/>
      </w:r>
      <w:r w:rsidR="002C7274">
        <w:rPr>
          <w:b/>
          <w:bCs/>
          <w:i/>
          <w:iCs/>
        </w:rPr>
        <w:t>I don’t understand this comment</w:t>
      </w:r>
      <w:r w:rsidR="00024FAA">
        <w:rPr>
          <w:b/>
          <w:bCs/>
          <w:i/>
          <w:iCs/>
        </w:rPr>
        <w:t xml:space="preserve">. The name of the biomass and details of experiments were mentioned in the section 2.4, which was removed as suggested in the Comment 10. The detailed of the biomass material has been moved to the first paragraph of section </w:t>
      </w:r>
      <w:proofErr w:type="gramStart"/>
      <w:r w:rsidR="00024FAA">
        <w:rPr>
          <w:b/>
          <w:bCs/>
          <w:i/>
          <w:iCs/>
        </w:rPr>
        <w:t>3</w:t>
      </w:r>
      <w:proofErr w:type="gramEnd"/>
    </w:p>
    <w:p w14:paraId="685CF31F" w14:textId="735AF667" w:rsidR="00B5631F" w:rsidRDefault="00C17533" w:rsidP="00845BED">
      <w:pPr>
        <w:numPr>
          <w:ilvl w:val="0"/>
          <w:numId w:val="1"/>
        </w:numPr>
        <w:spacing w:after="278" w:line="244" w:lineRule="auto"/>
        <w:ind w:hanging="360"/>
        <w:jc w:val="left"/>
      </w:pPr>
      <w:r>
        <w:t xml:space="preserve">The results and discussion section must be strengthening by comparing the similar works and researches such </w:t>
      </w:r>
      <w:proofErr w:type="gramStart"/>
      <w:r>
        <w:t xml:space="preserve">as  </w:t>
      </w:r>
      <w:r w:rsidRPr="00B5631F">
        <w:rPr>
          <w:rFonts w:ascii="Arial" w:hAnsi="Arial" w:cs="Arial"/>
          <w:b/>
          <w:bCs/>
          <w:sz w:val="18"/>
          <w:szCs w:val="18"/>
        </w:rPr>
        <w:t>[</w:t>
      </w:r>
      <w:proofErr w:type="gramEnd"/>
      <w:r w:rsidR="00000000">
        <w:fldChar w:fldCharType="begin"/>
      </w:r>
      <w:r w:rsidR="00000000">
        <w:instrText>HYPERLINK "https://doi.org/10.1016/j.supflu.2017.04.007" \h</w:instrText>
      </w:r>
      <w:r w:rsidR="00000000">
        <w:fldChar w:fldCharType="separate"/>
      </w:r>
      <w:r w:rsidRPr="00B5631F">
        <w:rPr>
          <w:rFonts w:ascii="Arial" w:hAnsi="Arial" w:cs="Arial"/>
          <w:b/>
          <w:bCs/>
          <w:sz w:val="18"/>
          <w:szCs w:val="18"/>
        </w:rPr>
        <w:t>https://doi.org/10.1016/j.supflu.2017.04.007</w:t>
      </w:r>
      <w:r w:rsidR="00000000">
        <w:rPr>
          <w:rFonts w:ascii="Arial" w:hAnsi="Arial" w:cs="Arial"/>
          <w:b/>
          <w:bCs/>
          <w:sz w:val="18"/>
          <w:szCs w:val="18"/>
        </w:rPr>
        <w:fldChar w:fldCharType="end"/>
      </w:r>
      <w:r w:rsidRPr="00B5631F">
        <w:rPr>
          <w:rFonts w:ascii="Arial" w:hAnsi="Arial" w:cs="Arial"/>
          <w:b/>
          <w:bCs/>
          <w:sz w:val="18"/>
          <w:szCs w:val="18"/>
        </w:rPr>
        <w:t>,</w:t>
      </w:r>
      <w:r w:rsidR="00845BED">
        <w:rPr>
          <w:rFonts w:ascii="Arial" w:hAnsi="Arial" w:cs="Arial"/>
          <w:b/>
          <w:bCs/>
          <w:sz w:val="18"/>
          <w:szCs w:val="18"/>
        </w:rPr>
        <w:t xml:space="preserve"> </w:t>
      </w:r>
      <w:r w:rsidR="00845BED" w:rsidRPr="00845BED">
        <w:rPr>
          <w:rFonts w:ascii="Arial" w:hAnsi="Arial" w:cs="Arial"/>
          <w:b/>
          <w:bCs/>
          <w:sz w:val="18"/>
          <w:szCs w:val="18"/>
        </w:rPr>
        <w:t>https://doi.org/10.1080/14786419.2017.1361954</w:t>
      </w:r>
      <w:r w:rsidRPr="00B5631F">
        <w:rPr>
          <w:rFonts w:ascii="Arial" w:hAnsi="Arial" w:cs="Arial"/>
          <w:b/>
          <w:bCs/>
          <w:sz w:val="18"/>
          <w:szCs w:val="18"/>
        </w:rPr>
        <w:t>].</w:t>
      </w:r>
      <w:r>
        <w:t xml:space="preserve"> </w:t>
      </w:r>
    </w:p>
    <w:p w14:paraId="787DFCC4" w14:textId="471280BE" w:rsidR="00B5631F" w:rsidRPr="00B5631F" w:rsidRDefault="00B5631F" w:rsidP="00845BED">
      <w:pPr>
        <w:spacing w:after="278" w:line="244" w:lineRule="auto"/>
        <w:ind w:left="705" w:firstLine="0"/>
        <w:jc w:val="left"/>
        <w:rPr>
          <w:b/>
          <w:bCs/>
          <w:i/>
          <w:iCs/>
        </w:rPr>
      </w:pPr>
      <w:r w:rsidRPr="00B5631F">
        <w:rPr>
          <w:b/>
          <w:bCs/>
          <w:i/>
          <w:iCs/>
        </w:rPr>
        <w:t xml:space="preserve">What does it mean ‘discussion section must be strengthening by comparing the similar works and </w:t>
      </w:r>
      <w:proofErr w:type="gramStart"/>
      <w:r w:rsidRPr="00B5631F">
        <w:rPr>
          <w:b/>
          <w:bCs/>
          <w:i/>
          <w:iCs/>
        </w:rPr>
        <w:t>researches</w:t>
      </w:r>
      <w:r w:rsidR="00845BED">
        <w:rPr>
          <w:b/>
          <w:bCs/>
          <w:i/>
          <w:iCs/>
        </w:rPr>
        <w:t>’</w:t>
      </w:r>
      <w:proofErr w:type="gramEnd"/>
      <w:r w:rsidRPr="00B5631F">
        <w:rPr>
          <w:b/>
          <w:bCs/>
          <w:i/>
          <w:iCs/>
        </w:rPr>
        <w:t xml:space="preserve">? The suggested </w:t>
      </w:r>
      <w:r w:rsidR="00845BED">
        <w:rPr>
          <w:b/>
          <w:bCs/>
          <w:i/>
          <w:iCs/>
        </w:rPr>
        <w:t>articles</w:t>
      </w:r>
      <w:r w:rsidRPr="00B5631F">
        <w:rPr>
          <w:b/>
          <w:bCs/>
          <w:i/>
          <w:iCs/>
        </w:rPr>
        <w:t xml:space="preserve"> </w:t>
      </w:r>
      <w:r w:rsidR="00845BED">
        <w:rPr>
          <w:b/>
          <w:bCs/>
          <w:i/>
          <w:iCs/>
        </w:rPr>
        <w:t>refer</w:t>
      </w:r>
      <w:r w:rsidRPr="00B5631F">
        <w:rPr>
          <w:b/>
          <w:bCs/>
          <w:i/>
          <w:iCs/>
        </w:rPr>
        <w:t xml:space="preserve"> </w:t>
      </w:r>
      <w:r w:rsidR="00845BED">
        <w:rPr>
          <w:b/>
          <w:bCs/>
          <w:i/>
          <w:iCs/>
        </w:rPr>
        <w:t xml:space="preserve">to </w:t>
      </w:r>
      <w:r w:rsidRPr="00B5631F">
        <w:rPr>
          <w:b/>
          <w:bCs/>
          <w:i/>
          <w:iCs/>
        </w:rPr>
        <w:t>different models and different datasets</w:t>
      </w:r>
      <w:r w:rsidR="00845BED">
        <w:rPr>
          <w:b/>
          <w:bCs/>
          <w:i/>
          <w:iCs/>
        </w:rPr>
        <w:t>.</w:t>
      </w:r>
      <w:r w:rsidR="00845BED">
        <w:rPr>
          <w:b/>
          <w:bCs/>
          <w:i/>
          <w:iCs/>
        </w:rPr>
        <w:br/>
        <w:t xml:space="preserve">The Results section </w:t>
      </w:r>
      <w:r w:rsidR="00024FAA">
        <w:rPr>
          <w:b/>
          <w:bCs/>
          <w:i/>
          <w:iCs/>
        </w:rPr>
        <w:t xml:space="preserve">has already </w:t>
      </w:r>
      <w:proofErr w:type="gramStart"/>
      <w:r w:rsidR="00024FAA">
        <w:rPr>
          <w:b/>
          <w:bCs/>
          <w:i/>
          <w:iCs/>
        </w:rPr>
        <w:t>an</w:t>
      </w:r>
      <w:proofErr w:type="gramEnd"/>
      <w:r w:rsidR="00024FAA">
        <w:rPr>
          <w:b/>
          <w:bCs/>
          <w:i/>
          <w:iCs/>
        </w:rPr>
        <w:t xml:space="preserve"> comparison between</w:t>
      </w:r>
      <w:r w:rsidR="00845BED">
        <w:rPr>
          <w:b/>
          <w:bCs/>
          <w:i/>
          <w:iCs/>
        </w:rPr>
        <w:t xml:space="preserve"> the obtained results </w:t>
      </w:r>
      <w:r w:rsidR="00024FAA">
        <w:rPr>
          <w:b/>
          <w:bCs/>
          <w:i/>
          <w:iCs/>
        </w:rPr>
        <w:t xml:space="preserve">and </w:t>
      </w:r>
      <w:r w:rsidR="00845BED">
        <w:rPr>
          <w:b/>
          <w:bCs/>
          <w:i/>
          <w:iCs/>
        </w:rPr>
        <w:t xml:space="preserve">the </w:t>
      </w:r>
      <w:r w:rsidR="00024FAA">
        <w:rPr>
          <w:b/>
          <w:bCs/>
          <w:i/>
          <w:iCs/>
        </w:rPr>
        <w:t>articles</w:t>
      </w:r>
      <w:r w:rsidR="00845BED">
        <w:rPr>
          <w:b/>
          <w:bCs/>
          <w:i/>
          <w:iCs/>
        </w:rPr>
        <w:t xml:space="preserve"> of </w:t>
      </w:r>
      <w:proofErr w:type="spellStart"/>
      <w:r w:rsidR="00845BED">
        <w:rPr>
          <w:b/>
          <w:bCs/>
          <w:i/>
          <w:iCs/>
        </w:rPr>
        <w:t>Povh</w:t>
      </w:r>
      <w:proofErr w:type="spellEnd"/>
      <w:r w:rsidR="00845BED">
        <w:rPr>
          <w:b/>
          <w:bCs/>
          <w:i/>
          <w:iCs/>
        </w:rPr>
        <w:t xml:space="preserve"> et al. and Rahimi et al., who used the same dataset</w:t>
      </w:r>
    </w:p>
    <w:p w14:paraId="70DB7A80" w14:textId="24D31360" w:rsidR="009073DB" w:rsidRPr="00753D27" w:rsidRDefault="00C17533" w:rsidP="00845BED">
      <w:pPr>
        <w:numPr>
          <w:ilvl w:val="0"/>
          <w:numId w:val="1"/>
        </w:numPr>
        <w:spacing w:after="278" w:line="244" w:lineRule="auto"/>
        <w:ind w:hanging="360"/>
        <w:jc w:val="left"/>
        <w:rPr>
          <w:strike/>
        </w:rPr>
      </w:pPr>
      <w:proofErr w:type="gramStart"/>
      <w:r w:rsidRPr="00753D27">
        <w:rPr>
          <w:strike/>
        </w:rPr>
        <w:t>Explain clearly</w:t>
      </w:r>
      <w:proofErr w:type="gramEnd"/>
      <w:r w:rsidRPr="00753D27">
        <w:rPr>
          <w:strike/>
        </w:rPr>
        <w:t xml:space="preserve"> the limitations of this study?</w:t>
      </w:r>
      <w:r w:rsidR="00753D27">
        <w:rPr>
          <w:strike/>
        </w:rPr>
        <w:br/>
      </w:r>
      <w:r w:rsidR="00753D27">
        <w:rPr>
          <w:b/>
          <w:bCs/>
          <w:i/>
          <w:iCs/>
        </w:rPr>
        <w:t xml:space="preserve">Done. See second last paragraph of the Results </w:t>
      </w:r>
      <w:proofErr w:type="gramStart"/>
      <w:r w:rsidR="00753D27">
        <w:rPr>
          <w:b/>
          <w:bCs/>
          <w:i/>
          <w:iCs/>
        </w:rPr>
        <w:t>chapter</w:t>
      </w:r>
      <w:proofErr w:type="gramEnd"/>
    </w:p>
    <w:p w14:paraId="7B0C2386" w14:textId="3178D113" w:rsidR="00024FAA" w:rsidRPr="00024FAA" w:rsidRDefault="00C17533" w:rsidP="00024FAA">
      <w:pPr>
        <w:numPr>
          <w:ilvl w:val="0"/>
          <w:numId w:val="2"/>
        </w:numPr>
        <w:spacing w:after="155" w:line="360" w:lineRule="auto"/>
        <w:ind w:hanging="360"/>
        <w:jc w:val="left"/>
        <w:rPr>
          <w:strike/>
        </w:rPr>
      </w:pPr>
      <w:r w:rsidRPr="00024FAA">
        <w:rPr>
          <w:strike/>
        </w:rPr>
        <w:t xml:space="preserve">Could you correlate the experimental data to two empirical models for solubility determination of components in supercritical carbon dioxide, proposed in these references </w:t>
      </w:r>
      <w:hyperlink r:id="rId32" w:history="1">
        <w:r w:rsidR="00024FAA" w:rsidRPr="00B0254B">
          <w:rPr>
            <w:rStyle w:val="Hyperlink"/>
            <w:strike/>
          </w:rPr>
          <w:t>[</w:t>
        </w:r>
      </w:hyperlink>
      <w:hyperlink r:id="rId33">
        <w:r w:rsidRPr="00024FAA">
          <w:rPr>
            <w:rFonts w:ascii="Arial" w:eastAsia="Arial" w:hAnsi="Arial" w:cs="Arial"/>
            <w:b/>
            <w:strike/>
            <w:sz w:val="18"/>
          </w:rPr>
          <w:t>https://doi.org/10.1016/j.s</w:t>
        </w:r>
        <w:r w:rsidRPr="00024FAA">
          <w:rPr>
            <w:rFonts w:ascii="Arial" w:eastAsia="Arial" w:hAnsi="Arial" w:cs="Arial"/>
            <w:b/>
            <w:strike/>
            <w:sz w:val="18"/>
          </w:rPr>
          <w:t>u</w:t>
        </w:r>
        <w:r w:rsidRPr="00024FAA">
          <w:rPr>
            <w:rFonts w:ascii="Arial" w:eastAsia="Arial" w:hAnsi="Arial" w:cs="Arial"/>
            <w:b/>
            <w:strike/>
            <w:sz w:val="18"/>
          </w:rPr>
          <w:t>pflu.2019.01.006,</w:t>
        </w:r>
      </w:hyperlink>
      <w:hyperlink r:id="rId34">
        <w:r w:rsidRPr="00024FAA">
          <w:rPr>
            <w:rFonts w:ascii="Arial" w:eastAsia="Arial" w:hAnsi="Arial" w:cs="Arial"/>
            <w:b/>
            <w:strike/>
            <w:sz w:val="18"/>
          </w:rPr>
          <w:t xml:space="preserve"> https://doi.org/10.1016/j.jcou.2024.102687</w:t>
        </w:r>
      </w:hyperlink>
      <w:r w:rsidRPr="00024FAA">
        <w:rPr>
          <w:rFonts w:ascii="Arial" w:eastAsia="Arial" w:hAnsi="Arial" w:cs="Arial"/>
          <w:b/>
          <w:strike/>
          <w:sz w:val="18"/>
        </w:rPr>
        <w:t>]</w:t>
      </w:r>
      <w:r w:rsidRPr="00024FAA">
        <w:rPr>
          <w:strike/>
        </w:rPr>
        <w:t>?</w:t>
      </w:r>
    </w:p>
    <w:p w14:paraId="7273432A" w14:textId="2AD2A05A" w:rsidR="00024FAA" w:rsidRPr="00024FAA" w:rsidRDefault="00024FAA" w:rsidP="00024FAA">
      <w:pPr>
        <w:pStyle w:val="ListParagraph"/>
        <w:numPr>
          <w:ilvl w:val="0"/>
          <w:numId w:val="4"/>
        </w:numPr>
        <w:spacing w:after="127"/>
        <w:jc w:val="left"/>
        <w:rPr>
          <w:b/>
          <w:bCs/>
          <w:i/>
          <w:iCs/>
        </w:rPr>
      </w:pPr>
      <w:r w:rsidRPr="00024FAA">
        <w:rPr>
          <w:b/>
          <w:bCs/>
          <w:i/>
          <w:iCs/>
        </w:rPr>
        <w:t xml:space="preserve">The suggested empirical correlations have been prepared for pure Imatinib Mesylate and Dapagliflozin </w:t>
      </w:r>
      <w:proofErr w:type="spellStart"/>
      <w:r w:rsidRPr="00024FAA">
        <w:rPr>
          <w:b/>
          <w:bCs/>
          <w:i/>
          <w:iCs/>
        </w:rPr>
        <w:t>Propandiol</w:t>
      </w:r>
      <w:proofErr w:type="spellEnd"/>
      <w:r w:rsidRPr="00024FAA">
        <w:rPr>
          <w:b/>
          <w:bCs/>
          <w:i/>
          <w:iCs/>
        </w:rPr>
        <w:t xml:space="preserve"> Monohydrate, which do not appear in this work. Considering that suggested correlations </w:t>
      </w:r>
      <w:proofErr w:type="spellStart"/>
      <w:r w:rsidRPr="00024FAA">
        <w:rPr>
          <w:b/>
          <w:bCs/>
          <w:i/>
          <w:iCs/>
        </w:rPr>
        <w:t>can not</w:t>
      </w:r>
      <w:proofErr w:type="spellEnd"/>
      <w:r w:rsidRPr="00024FAA">
        <w:rPr>
          <w:b/>
          <w:bCs/>
          <w:i/>
          <w:iCs/>
        </w:rPr>
        <w:t xml:space="preserve"> be used directly in this work</w:t>
      </w:r>
      <w:r w:rsidR="00EA4010">
        <w:rPr>
          <w:b/>
          <w:bCs/>
          <w:i/>
          <w:iCs/>
        </w:rPr>
        <w:t>.</w:t>
      </w:r>
    </w:p>
    <w:p w14:paraId="4AE4A7EE" w14:textId="305E4039" w:rsidR="00024FAA" w:rsidRPr="00024FAA" w:rsidRDefault="00024FAA" w:rsidP="00024FAA">
      <w:pPr>
        <w:pStyle w:val="ListParagraph"/>
        <w:numPr>
          <w:ilvl w:val="0"/>
          <w:numId w:val="4"/>
        </w:numPr>
        <w:spacing w:after="127"/>
        <w:jc w:val="left"/>
        <w:rPr>
          <w:b/>
          <w:bCs/>
          <w:i/>
          <w:iCs/>
        </w:rPr>
      </w:pPr>
      <w:r w:rsidRPr="00024FAA">
        <w:rPr>
          <w:b/>
          <w:bCs/>
          <w:i/>
          <w:iCs/>
        </w:rPr>
        <w:t>The presented model does not utilize solubility directly</w:t>
      </w:r>
      <w:r w:rsidR="00EA4010">
        <w:rPr>
          <w:b/>
          <w:bCs/>
          <w:i/>
          <w:iCs/>
        </w:rPr>
        <w:t>.</w:t>
      </w:r>
    </w:p>
    <w:p w14:paraId="410B3119" w14:textId="6FC69565" w:rsidR="00024FAA" w:rsidRPr="00024FAA" w:rsidRDefault="00024FAA" w:rsidP="00024FAA">
      <w:pPr>
        <w:pStyle w:val="ListParagraph"/>
        <w:numPr>
          <w:ilvl w:val="0"/>
          <w:numId w:val="4"/>
        </w:numPr>
        <w:spacing w:after="127"/>
        <w:jc w:val="left"/>
        <w:rPr>
          <w:b/>
          <w:bCs/>
          <w:i/>
          <w:iCs/>
        </w:rPr>
      </w:pPr>
      <w:r w:rsidRPr="00024FAA">
        <w:rPr>
          <w:b/>
          <w:bCs/>
          <w:i/>
          <w:iCs/>
        </w:rPr>
        <w:t>As it was discussed in the manuscript, it is assumed that the system did not reach saturation. As a result, the maximum mass of solid dissolved in the solvent or solute concentration in the fluid phase is unknown. If such information is present, the solubility could be used to impose an upper boundary on the state space. As such information is missing, the estimation of solubility might take an arbitrary value which improves the model fitness but not necessarily have physical interpretation</w:t>
      </w:r>
      <w:r w:rsidR="00EA4010">
        <w:rPr>
          <w:b/>
          <w:bCs/>
          <w:i/>
          <w:iCs/>
        </w:rPr>
        <w:t>.</w:t>
      </w:r>
    </w:p>
    <w:p w14:paraId="65676B8A" w14:textId="602E6ADD" w:rsidR="00024FAA" w:rsidRPr="00024FAA" w:rsidRDefault="00024FAA" w:rsidP="00EA4010">
      <w:pPr>
        <w:pStyle w:val="ListParagraph"/>
        <w:numPr>
          <w:ilvl w:val="0"/>
          <w:numId w:val="4"/>
        </w:numPr>
        <w:spacing w:after="127"/>
        <w:jc w:val="left"/>
        <w:rPr>
          <w:b/>
          <w:bCs/>
          <w:i/>
          <w:iCs/>
        </w:rPr>
      </w:pPr>
      <w:r w:rsidRPr="00024FAA">
        <w:rPr>
          <w:b/>
          <w:bCs/>
          <w:i/>
          <w:iCs/>
        </w:rPr>
        <w:t>Correlating the estimated parameters with solubility model</w:t>
      </w:r>
      <w:r>
        <w:rPr>
          <w:b/>
          <w:bCs/>
          <w:i/>
          <w:iCs/>
        </w:rPr>
        <w:t>s</w:t>
      </w:r>
      <w:r w:rsidRPr="00024FAA">
        <w:rPr>
          <w:b/>
          <w:bCs/>
          <w:i/>
          <w:iCs/>
        </w:rPr>
        <w:t xml:space="preserve">, would increase the number of parameters in the empirical correlations for </w:t>
      </w:r>
      <w:proofErr w:type="spellStart"/>
      <w:r w:rsidRPr="00024FAA">
        <w:rPr>
          <w:b/>
          <w:bCs/>
          <w:i/>
          <w:iCs/>
        </w:rPr>
        <w:t>D</w:t>
      </w:r>
      <w:r w:rsidRPr="00024FAA">
        <w:rPr>
          <w:b/>
          <w:bCs/>
          <w:i/>
          <w:iCs/>
          <w:vertAlign w:val="subscript"/>
        </w:rPr>
        <w:t>i</w:t>
      </w:r>
      <w:r w:rsidRPr="00024FAA">
        <w:rPr>
          <w:b/>
          <w:bCs/>
          <w:i/>
          <w:iCs/>
          <w:vertAlign w:val="superscript"/>
        </w:rPr>
        <w:t>R</w:t>
      </w:r>
      <w:proofErr w:type="spellEnd"/>
      <w:r w:rsidRPr="00024FAA">
        <w:rPr>
          <w:b/>
          <w:bCs/>
          <w:i/>
          <w:iCs/>
        </w:rPr>
        <w:t xml:space="preserve"> and ϒ</w:t>
      </w:r>
      <w:r>
        <w:rPr>
          <w:b/>
          <w:bCs/>
          <w:i/>
          <w:iCs/>
        </w:rPr>
        <w:t xml:space="preserve">. </w:t>
      </w:r>
      <w:proofErr w:type="gramStart"/>
      <w:r>
        <w:rPr>
          <w:b/>
          <w:bCs/>
          <w:i/>
          <w:iCs/>
        </w:rPr>
        <w:t>T</w:t>
      </w:r>
      <w:r w:rsidRPr="00024FAA">
        <w:rPr>
          <w:b/>
          <w:bCs/>
          <w:i/>
          <w:iCs/>
        </w:rPr>
        <w:t>aking into account</w:t>
      </w:r>
      <w:proofErr w:type="gramEnd"/>
      <w:r w:rsidRPr="00024FAA">
        <w:rPr>
          <w:b/>
          <w:bCs/>
          <w:i/>
          <w:iCs/>
        </w:rPr>
        <w:t xml:space="preserve"> the limited dataset </w:t>
      </w:r>
      <w:r>
        <w:rPr>
          <w:b/>
          <w:bCs/>
          <w:i/>
          <w:iCs/>
        </w:rPr>
        <w:t xml:space="preserve">that </w:t>
      </w:r>
      <w:r w:rsidRPr="00024FAA">
        <w:rPr>
          <w:b/>
          <w:bCs/>
          <w:i/>
          <w:iCs/>
        </w:rPr>
        <w:t>would lead to overfitting</w:t>
      </w:r>
      <w:r w:rsidR="00EA4010">
        <w:rPr>
          <w:b/>
          <w:bCs/>
          <w:i/>
          <w:iCs/>
        </w:rPr>
        <w:t>.</w:t>
      </w:r>
    </w:p>
    <w:p w14:paraId="0B6055EC" w14:textId="6D5E67C5" w:rsidR="00024FAA" w:rsidRPr="00024FAA" w:rsidRDefault="00024FAA" w:rsidP="00024FAA">
      <w:pPr>
        <w:pStyle w:val="ListParagraph"/>
        <w:numPr>
          <w:ilvl w:val="0"/>
          <w:numId w:val="4"/>
        </w:numPr>
        <w:spacing w:after="127"/>
        <w:jc w:val="left"/>
        <w:rPr>
          <w:strike/>
        </w:rPr>
      </w:pPr>
      <w:r w:rsidRPr="00024FAA">
        <w:rPr>
          <w:b/>
          <w:bCs/>
          <w:i/>
          <w:iCs/>
        </w:rPr>
        <w:lastRenderedPageBreak/>
        <w:t>To provide an accurate estimation of the solubility, one should analyze the oil composition and perform a set of experiments focused solely on solubility</w:t>
      </w:r>
      <w:r w:rsidR="00EA4010">
        <w:rPr>
          <w:b/>
          <w:bCs/>
          <w:i/>
          <w:iCs/>
        </w:rPr>
        <w:t>.</w:t>
      </w:r>
    </w:p>
    <w:p w14:paraId="45307EA3" w14:textId="0BC478F0" w:rsidR="009073DB" w:rsidRPr="00BC5815" w:rsidRDefault="00C17533" w:rsidP="00024FAA">
      <w:pPr>
        <w:numPr>
          <w:ilvl w:val="0"/>
          <w:numId w:val="2"/>
        </w:numPr>
        <w:spacing w:after="127"/>
        <w:ind w:hanging="360"/>
        <w:jc w:val="left"/>
        <w:rPr>
          <w:strike/>
        </w:rPr>
      </w:pPr>
      <w:r w:rsidRPr="00BC5815">
        <w:rPr>
          <w:strike/>
        </w:rPr>
        <w:t>Please provide abbreviations and symbol lists.</w:t>
      </w:r>
      <w:r w:rsidR="002C7274">
        <w:rPr>
          <w:strike/>
        </w:rPr>
        <w:br/>
      </w:r>
      <w:r w:rsidR="002C7274">
        <w:rPr>
          <w:b/>
          <w:bCs/>
          <w:i/>
          <w:iCs/>
        </w:rPr>
        <w:t xml:space="preserve">Done. See second last page of the </w:t>
      </w:r>
      <w:proofErr w:type="gramStart"/>
      <w:r w:rsidR="002C7274">
        <w:rPr>
          <w:b/>
          <w:bCs/>
          <w:i/>
          <w:iCs/>
        </w:rPr>
        <w:t>manuscript</w:t>
      </w:r>
      <w:proofErr w:type="gramEnd"/>
    </w:p>
    <w:p w14:paraId="707716CB" w14:textId="7BF07EA3" w:rsidR="009073DB" w:rsidRPr="00B5631F" w:rsidRDefault="00C17533" w:rsidP="00845BED">
      <w:pPr>
        <w:numPr>
          <w:ilvl w:val="0"/>
          <w:numId w:val="2"/>
        </w:numPr>
        <w:spacing w:after="127"/>
        <w:ind w:hanging="360"/>
        <w:jc w:val="left"/>
        <w:rPr>
          <w:strike/>
        </w:rPr>
      </w:pPr>
      <w:r w:rsidRPr="00B5631F">
        <w:rPr>
          <w:strike/>
        </w:rPr>
        <w:t>It is recommended removing the last paragraph of conclusion section.</w:t>
      </w:r>
      <w:r w:rsidR="002C7274">
        <w:rPr>
          <w:strike/>
        </w:rPr>
        <w:br/>
      </w:r>
      <w:proofErr w:type="gramStart"/>
      <w:r w:rsidR="002C7274">
        <w:rPr>
          <w:b/>
          <w:bCs/>
          <w:i/>
          <w:iCs/>
        </w:rPr>
        <w:t>Done</w:t>
      </w:r>
      <w:proofErr w:type="gramEnd"/>
    </w:p>
    <w:p w14:paraId="478180CA" w14:textId="32509F25" w:rsidR="00845BED" w:rsidRPr="00F940FA" w:rsidRDefault="00C17533" w:rsidP="00F940FA">
      <w:pPr>
        <w:numPr>
          <w:ilvl w:val="0"/>
          <w:numId w:val="2"/>
        </w:numPr>
        <w:ind w:hanging="360"/>
        <w:jc w:val="left"/>
      </w:pPr>
      <w:r>
        <w:t>Please provide consistency between the abstract and conclusion sections.</w:t>
      </w:r>
      <w:r w:rsidR="00F940FA">
        <w:br/>
      </w:r>
      <w:r w:rsidR="00845BED" w:rsidRPr="00F940FA">
        <w:rPr>
          <w:b/>
          <w:bCs/>
          <w:i/>
          <w:iCs/>
        </w:rPr>
        <w:t>Consistency in what sense?</w:t>
      </w:r>
    </w:p>
    <w:p w14:paraId="0B24E8A8" w14:textId="207D11CB" w:rsidR="009073DB" w:rsidRDefault="00C17533" w:rsidP="00845BED">
      <w:pPr>
        <w:numPr>
          <w:ilvl w:val="0"/>
          <w:numId w:val="2"/>
        </w:numPr>
        <w:ind w:hanging="360"/>
        <w:jc w:val="left"/>
      </w:pPr>
      <w:r w:rsidRPr="009300A6">
        <w:rPr>
          <w:strike/>
        </w:rPr>
        <w:t>The number of references could be increased for this type of research work.</w:t>
      </w:r>
      <w:r w:rsidR="009300A6">
        <w:br/>
      </w:r>
      <w:r w:rsidR="009300A6">
        <w:rPr>
          <w:b/>
          <w:bCs/>
          <w:i/>
          <w:iCs/>
        </w:rPr>
        <w:t xml:space="preserve">Done. As a result of comment 8, the number of references </w:t>
      </w:r>
      <w:proofErr w:type="gramStart"/>
      <w:r w:rsidR="009300A6">
        <w:rPr>
          <w:b/>
          <w:bCs/>
          <w:i/>
          <w:iCs/>
        </w:rPr>
        <w:t>increased</w:t>
      </w:r>
      <w:proofErr w:type="gramEnd"/>
      <w:r w:rsidR="009300A6">
        <w:rPr>
          <w:b/>
          <w:bCs/>
          <w:i/>
          <w:iCs/>
        </w:rPr>
        <w:t xml:space="preserve"> </w:t>
      </w:r>
    </w:p>
    <w:p w14:paraId="1E6AD577" w14:textId="274D233F" w:rsidR="00845BED" w:rsidRPr="00845BED" w:rsidRDefault="00C17533" w:rsidP="00845BED">
      <w:pPr>
        <w:numPr>
          <w:ilvl w:val="0"/>
          <w:numId w:val="2"/>
        </w:numPr>
        <w:ind w:hanging="360"/>
        <w:jc w:val="left"/>
        <w:rPr>
          <w:strike/>
        </w:rPr>
      </w:pPr>
      <w:r w:rsidRPr="00845BED">
        <w:rPr>
          <w:strike/>
        </w:rPr>
        <w:t xml:space="preserve">Please set the reference style as per the Journal guidelines. </w:t>
      </w:r>
    </w:p>
    <w:p w14:paraId="2C4ED220" w14:textId="2F29EF23" w:rsidR="00845BED" w:rsidRPr="00845BED" w:rsidRDefault="00845BED" w:rsidP="00845BED">
      <w:pPr>
        <w:ind w:left="705" w:firstLine="0"/>
        <w:jc w:val="left"/>
        <w:rPr>
          <w:b/>
          <w:bCs/>
          <w:i/>
          <w:iCs/>
        </w:rPr>
      </w:pPr>
      <w:r>
        <w:rPr>
          <w:b/>
          <w:bCs/>
          <w:i/>
          <w:iCs/>
        </w:rPr>
        <w:t xml:space="preserve">The citations are </w:t>
      </w:r>
      <w:r w:rsidRPr="00845BED">
        <w:rPr>
          <w:b/>
          <w:bCs/>
          <w:i/>
          <w:iCs/>
        </w:rPr>
        <w:t>superscripted</w:t>
      </w:r>
      <w:r>
        <w:rPr>
          <w:b/>
          <w:bCs/>
          <w:i/>
          <w:iCs/>
        </w:rPr>
        <w:t xml:space="preserve"> as </w:t>
      </w:r>
      <w:proofErr w:type="gramStart"/>
      <w:r>
        <w:rPr>
          <w:b/>
          <w:bCs/>
          <w:i/>
          <w:iCs/>
        </w:rPr>
        <w:t>required</w:t>
      </w:r>
      <w:proofErr w:type="gramEnd"/>
    </w:p>
    <w:sectPr w:rsidR="00845BED" w:rsidRPr="00845BED">
      <w:footerReference w:type="even" r:id="rId35"/>
      <w:footerReference w:type="default" r:id="rId36"/>
      <w:footerReference w:type="first" r:id="rId37"/>
      <w:pgSz w:w="11906" w:h="16838"/>
      <w:pgMar w:top="1484" w:right="1440" w:bottom="2079" w:left="1440" w:header="720"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A3B1F" w14:textId="77777777" w:rsidR="00E05097" w:rsidRDefault="00E05097">
      <w:pPr>
        <w:spacing w:after="0" w:line="240" w:lineRule="auto"/>
      </w:pPr>
      <w:r>
        <w:separator/>
      </w:r>
    </w:p>
  </w:endnote>
  <w:endnote w:type="continuationSeparator" w:id="0">
    <w:p w14:paraId="54481B6A" w14:textId="77777777" w:rsidR="00E05097" w:rsidRDefault="00E05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597F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F9DB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7AEA1" w14:textId="77777777" w:rsidR="009073DB" w:rsidRDefault="00C17533">
    <w:pPr>
      <w:spacing w:after="0"/>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CCDBC" w14:textId="77777777" w:rsidR="00E05097" w:rsidRDefault="00E05097">
      <w:pPr>
        <w:spacing w:after="0" w:line="240" w:lineRule="auto"/>
      </w:pPr>
      <w:r>
        <w:separator/>
      </w:r>
    </w:p>
  </w:footnote>
  <w:footnote w:type="continuationSeparator" w:id="0">
    <w:p w14:paraId="3DE64305" w14:textId="77777777" w:rsidR="00E05097" w:rsidRDefault="00E050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95BE1"/>
    <w:multiLevelType w:val="hybridMultilevel"/>
    <w:tmpl w:val="2B9E9C6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57BA3E09"/>
    <w:multiLevelType w:val="hybridMultilevel"/>
    <w:tmpl w:val="6042409C"/>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58993721"/>
    <w:multiLevelType w:val="hybridMultilevel"/>
    <w:tmpl w:val="76366B5C"/>
    <w:lvl w:ilvl="0" w:tplc="3DFC7986">
      <w:start w:val="16"/>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AEA330">
      <w:start w:val="1"/>
      <w:numFmt w:val="lowerLetter"/>
      <w:lvlText w:val="%2"/>
      <w:lvlJc w:val="left"/>
      <w:pPr>
        <w:ind w:left="10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DAA07A">
      <w:start w:val="1"/>
      <w:numFmt w:val="lowerRoman"/>
      <w:lvlText w:val="%3"/>
      <w:lvlJc w:val="left"/>
      <w:pPr>
        <w:ind w:left="18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004EBE8">
      <w:start w:val="1"/>
      <w:numFmt w:val="decimal"/>
      <w:lvlText w:val="%4"/>
      <w:lvlJc w:val="left"/>
      <w:pPr>
        <w:ind w:left="25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A61192">
      <w:start w:val="1"/>
      <w:numFmt w:val="lowerLetter"/>
      <w:lvlText w:val="%5"/>
      <w:lvlJc w:val="left"/>
      <w:pPr>
        <w:ind w:left="32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B922782">
      <w:start w:val="1"/>
      <w:numFmt w:val="lowerRoman"/>
      <w:lvlText w:val="%6"/>
      <w:lvlJc w:val="left"/>
      <w:pPr>
        <w:ind w:left="39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4DAE670">
      <w:start w:val="1"/>
      <w:numFmt w:val="decimal"/>
      <w:lvlText w:val="%7"/>
      <w:lvlJc w:val="left"/>
      <w:pPr>
        <w:ind w:left="46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462530">
      <w:start w:val="1"/>
      <w:numFmt w:val="lowerLetter"/>
      <w:lvlText w:val="%8"/>
      <w:lvlJc w:val="left"/>
      <w:pPr>
        <w:ind w:left="54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202A74">
      <w:start w:val="1"/>
      <w:numFmt w:val="lowerRoman"/>
      <w:lvlText w:val="%9"/>
      <w:lvlJc w:val="left"/>
      <w:pPr>
        <w:ind w:left="61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8E775D7"/>
    <w:multiLevelType w:val="hybridMultilevel"/>
    <w:tmpl w:val="113A40EA"/>
    <w:lvl w:ilvl="0" w:tplc="BDFE6A5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FAA1D4">
      <w:start w:val="1"/>
      <w:numFmt w:val="lowerLetter"/>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FE537C">
      <w:start w:val="1"/>
      <w:numFmt w:val="lowerRoman"/>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6CA05A">
      <w:start w:val="1"/>
      <w:numFmt w:val="decimal"/>
      <w:lvlText w:val="%4"/>
      <w:lvlJc w:val="left"/>
      <w:pPr>
        <w:ind w:left="2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885862">
      <w:start w:val="1"/>
      <w:numFmt w:val="lowerLetter"/>
      <w:lvlText w:val="%5"/>
      <w:lvlJc w:val="left"/>
      <w:pPr>
        <w:ind w:left="3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842A5E">
      <w:start w:val="1"/>
      <w:numFmt w:val="lowerRoman"/>
      <w:lvlText w:val="%6"/>
      <w:lvlJc w:val="left"/>
      <w:pPr>
        <w:ind w:left="41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5C342C">
      <w:start w:val="1"/>
      <w:numFmt w:val="decimal"/>
      <w:lvlText w:val="%7"/>
      <w:lvlJc w:val="left"/>
      <w:pPr>
        <w:ind w:left="48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B6C5C3E">
      <w:start w:val="1"/>
      <w:numFmt w:val="lowerLetter"/>
      <w:lvlText w:val="%8"/>
      <w:lvlJc w:val="left"/>
      <w:pPr>
        <w:ind w:left="55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60DA7A">
      <w:start w:val="1"/>
      <w:numFmt w:val="lowerRoman"/>
      <w:lvlText w:val="%9"/>
      <w:lvlJc w:val="left"/>
      <w:pPr>
        <w:ind w:left="6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10479795">
    <w:abstractNumId w:val="3"/>
  </w:num>
  <w:num w:numId="2" w16cid:durableId="1148942120">
    <w:abstractNumId w:val="2"/>
  </w:num>
  <w:num w:numId="3" w16cid:durableId="1382900771">
    <w:abstractNumId w:val="1"/>
  </w:num>
  <w:num w:numId="4" w16cid:durableId="1730348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exsDA1sLA0NrI0NzVR0lEKTi0uzszPAykwrgUAlPAcfywAAAA="/>
  </w:docVars>
  <w:rsids>
    <w:rsidRoot w:val="009073DB"/>
    <w:rsid w:val="000150E9"/>
    <w:rsid w:val="00024FAA"/>
    <w:rsid w:val="002C7274"/>
    <w:rsid w:val="002E1CA2"/>
    <w:rsid w:val="00425CB0"/>
    <w:rsid w:val="004321CE"/>
    <w:rsid w:val="004A5C13"/>
    <w:rsid w:val="006874E9"/>
    <w:rsid w:val="00753D27"/>
    <w:rsid w:val="00781AFD"/>
    <w:rsid w:val="00845BED"/>
    <w:rsid w:val="008A6FC4"/>
    <w:rsid w:val="009073DB"/>
    <w:rsid w:val="009300A6"/>
    <w:rsid w:val="00A37A92"/>
    <w:rsid w:val="00B5631F"/>
    <w:rsid w:val="00BC5815"/>
    <w:rsid w:val="00C17533"/>
    <w:rsid w:val="00C97828"/>
    <w:rsid w:val="00E05097"/>
    <w:rsid w:val="00EA4010"/>
    <w:rsid w:val="00F9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92FE"/>
  <w15:docId w15:val="{250C9294-E225-4186-9CB9-7AF888A73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9"/>
      <w:ind w:left="10" w:hanging="10"/>
      <w:jc w:val="both"/>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631F"/>
    <w:pPr>
      <w:ind w:left="720"/>
      <w:contextualSpacing/>
    </w:pPr>
  </w:style>
  <w:style w:type="character" w:styleId="Hyperlink">
    <w:name w:val="Hyperlink"/>
    <w:basedOn w:val="DefaultParagraphFont"/>
    <w:uiPriority w:val="99"/>
    <w:unhideWhenUsed/>
    <w:rsid w:val="00845BED"/>
    <w:rPr>
      <w:color w:val="0563C1" w:themeColor="hyperlink"/>
      <w:u w:val="single"/>
    </w:rPr>
  </w:style>
  <w:style w:type="character" w:styleId="UnresolvedMention">
    <w:name w:val="Unresolved Mention"/>
    <w:basedOn w:val="DefaultParagraphFont"/>
    <w:uiPriority w:val="99"/>
    <w:semiHidden/>
    <w:unhideWhenUsed/>
    <w:rsid w:val="00845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tice.2015.11.003" TargetMode="External"/><Relationship Id="rId18" Type="http://schemas.openxmlformats.org/officeDocument/2006/relationships/hyperlink" Target="https://doi.org/10.1016/j.supflu.2017.10.015" TargetMode="External"/><Relationship Id="rId26" Type="http://schemas.openxmlformats.org/officeDocument/2006/relationships/hyperlink" Target="https://doi.org/10.1016/j.supflu.2020.104892" TargetMode="External"/><Relationship Id="rId39" Type="http://schemas.openxmlformats.org/officeDocument/2006/relationships/theme" Target="theme/theme1.xml"/><Relationship Id="rId21" Type="http://schemas.openxmlformats.org/officeDocument/2006/relationships/hyperlink" Target="https://doi.org/10.1016/j.jcou.2021.101799" TargetMode="External"/><Relationship Id="rId34" Type="http://schemas.openxmlformats.org/officeDocument/2006/relationships/hyperlink" Target="https://doi.org/10.1016/j.jcou.2024.102687" TargetMode="External"/><Relationship Id="rId7" Type="http://schemas.openxmlformats.org/officeDocument/2006/relationships/hyperlink" Target="https://doi.org/10.1016/j.supflu.2016.11.014" TargetMode="External"/><Relationship Id="rId12" Type="http://schemas.openxmlformats.org/officeDocument/2006/relationships/hyperlink" Target="https://doi.org/10.1016/j.supflu.2017.04.007" TargetMode="External"/><Relationship Id="rId17" Type="http://schemas.openxmlformats.org/officeDocument/2006/relationships/hyperlink" Target="https://doi.org/10.1002/cben.202200020" TargetMode="External"/><Relationship Id="rId25" Type="http://schemas.openxmlformats.org/officeDocument/2006/relationships/hyperlink" Target="https://doi.org/10.1016/j.supflu.2018.06.009" TargetMode="External"/><Relationship Id="rId33" Type="http://schemas.openxmlformats.org/officeDocument/2006/relationships/hyperlink" Target="https://doi.org/10.1016/j.supflu.2019.01.006"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supflu.2017.12.026" TargetMode="External"/><Relationship Id="rId20" Type="http://schemas.openxmlformats.org/officeDocument/2006/relationships/hyperlink" Target="https://doi.org/10.1016/j.supflu.2021.105163" TargetMode="External"/><Relationship Id="rId29" Type="http://schemas.openxmlformats.org/officeDocument/2006/relationships/hyperlink" Target="https://doi.org/10.1080/14786419.2017.13619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supflu.2016.05.015" TargetMode="External"/><Relationship Id="rId24" Type="http://schemas.openxmlformats.org/officeDocument/2006/relationships/hyperlink" Target="https://doi.org/10.1016/j.fluid.2018.11.006" TargetMode="External"/><Relationship Id="rId32" Type="http://schemas.openxmlformats.org/officeDocument/2006/relationships/hyperlink" Target="%5b" TargetMode="Externa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doi.org/10.1016/j.supflu.2015.12.004" TargetMode="External"/><Relationship Id="rId23" Type="http://schemas.openxmlformats.org/officeDocument/2006/relationships/hyperlink" Target="https://doi.org/10.1016/j.cherd.2018.12.020" TargetMode="External"/><Relationship Id="rId28" Type="http://schemas.openxmlformats.org/officeDocument/2006/relationships/hyperlink" Target="https://doi.org/10.1080/14786419.2017.1361954" TargetMode="External"/><Relationship Id="rId36" Type="http://schemas.openxmlformats.org/officeDocument/2006/relationships/footer" Target="footer2.xml"/><Relationship Id="rId10" Type="http://schemas.openxmlformats.org/officeDocument/2006/relationships/hyperlink" Target="https://doi.org/10.1016/j.supflu.2011.02.002" TargetMode="External"/><Relationship Id="rId19" Type="http://schemas.openxmlformats.org/officeDocument/2006/relationships/hyperlink" Target="https://doi.org/10.1016/j.heliyon.2020.e04947" TargetMode="External"/><Relationship Id="rId31" Type="http://schemas.openxmlformats.org/officeDocument/2006/relationships/hyperlink" Target="https://doi.org/10.1016/j.supflu.2022.105679" TargetMode="External"/><Relationship Id="rId4" Type="http://schemas.openxmlformats.org/officeDocument/2006/relationships/webSettings" Target="webSettings.xml"/><Relationship Id="rId9" Type="http://schemas.openxmlformats.org/officeDocument/2006/relationships/hyperlink" Target="https://doi.org/10.1016/j.supflu.2016.04.006," TargetMode="External"/><Relationship Id="rId14" Type="http://schemas.openxmlformats.org/officeDocument/2006/relationships/hyperlink" Target="https://doi.org/10.1016/j.supflu.2016.08.019" TargetMode="External"/><Relationship Id="rId22" Type="http://schemas.openxmlformats.org/officeDocument/2006/relationships/hyperlink" Target="https://doi.org/10.1016/j.supflu.2018.11.007" TargetMode="External"/><Relationship Id="rId27" Type="http://schemas.openxmlformats.org/officeDocument/2006/relationships/hyperlink" Target="https://doi.org/10.1016/j.supflu.2022.105674" TargetMode="External"/><Relationship Id="rId30" Type="http://schemas.openxmlformats.org/officeDocument/2006/relationships/hyperlink" Target="https://doi.org/10.1016/j.supflu.2017.04.007" TargetMode="External"/><Relationship Id="rId35" Type="http://schemas.openxmlformats.org/officeDocument/2006/relationships/footer" Target="footer1.xml"/><Relationship Id="rId8" Type="http://schemas.openxmlformats.org/officeDocument/2006/relationships/hyperlink" Target="https://doi.org/10.1016/j.supflu.2014.07.023"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12320</TotalTime>
  <Pages>1</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Sliczniuk Oliwer</dc:creator>
  <cp:keywords/>
  <cp:lastModifiedBy>Sliczniuk Oliwer</cp:lastModifiedBy>
  <cp:revision>13</cp:revision>
  <cp:lastPrinted>2024-08-09T08:08:00Z</cp:lastPrinted>
  <dcterms:created xsi:type="dcterms:W3CDTF">2024-08-07T07:15:00Z</dcterms:created>
  <dcterms:modified xsi:type="dcterms:W3CDTF">2024-09-06T14:11:00Z</dcterms:modified>
</cp:coreProperties>
</file>