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1E5C4" w14:textId="77777777" w:rsidR="00A1B2C3" w:rsidRDefault="00A1B2C3">
      <w:pPr>
        <w:spacing w:before="120" w:after="12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t>OBJETIVO</w:t>
      </w:r>
      <w:r>
        <w:rPr>
          <w:rFonts w:ascii="Arial" w:hAnsi="Arial" w:cs="Arial"/>
          <w:b/>
          <w:bCs/>
        </w:rPr>
        <w:t>:</w:t>
      </w:r>
    </w:p>
    <w:p w14:paraId="2C2A54ED" w14:textId="77777777" w:rsidR="00A1B2C3" w:rsidRDefault="00A1B2C3">
      <w:pPr>
        <w:rPr>
          <w:rFonts w:ascii="Arial" w:hAnsi="Arial" w:cs="Arial"/>
        </w:rPr>
      </w:pPr>
      <w:r>
        <w:rPr>
          <w:rFonts w:ascii="Arial" w:hAnsi="Arial" w:cs="Arial"/>
        </w:rPr>
        <w:t>Establecer la metodología para identificar, registrar, investigar y gestionar las no conformidades e incidentes del SG-SST de MAXIMIA S.A., asegurando la implementación de acciones correctivas efectivas que eliminen las causas raíz y prevengan su recurrencia.</w:t>
      </w:r>
    </w:p>
    <w:p w14:paraId="32CECF16" w14:textId="77777777" w:rsidR="00A1B2C3" w:rsidRDefault="00A1B2C3">
      <w:pPr>
        <w:spacing w:before="120" w:after="12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t>ALCANCE</w:t>
      </w:r>
      <w:r>
        <w:rPr>
          <w:rFonts w:ascii="Arial" w:hAnsi="Arial" w:cs="Arial"/>
          <w:b/>
          <w:bCs/>
        </w:rPr>
        <w:t>:</w:t>
      </w:r>
    </w:p>
    <w:p w14:paraId="61806B70" w14:textId="77777777" w:rsidR="00A1B2C3" w:rsidRDefault="00A1B2C3">
      <w:pPr>
        <w:rPr>
          <w:rFonts w:ascii="Arial" w:hAnsi="Arial" w:cs="Arial"/>
        </w:rPr>
      </w:pPr>
      <w:r>
        <w:rPr>
          <w:rFonts w:ascii="Arial" w:hAnsi="Arial" w:cs="Arial"/>
        </w:rPr>
        <w:t>Aplica a todas las no conformidades del SG-SST, incidentes, cuasi-accidentes y situaciones de riesgo registradas en cualquier operación o contrato de MAXIMIA S.A., involucrando a todo el personal propio y tercerizado bajo su control operativo.</w:t>
      </w:r>
    </w:p>
    <w:p w14:paraId="2AD76CD5" w14:textId="77777777" w:rsidR="00A1B2C3" w:rsidRDefault="00A1B2C3">
      <w:pPr>
        <w:spacing w:before="120" w:after="12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t xml:space="preserve">DESARROLLO: </w:t>
      </w:r>
    </w:p>
    <w:p w14:paraId="3A7D3500" w14:textId="77777777" w:rsidR="00A1B2C3" w:rsidRDefault="00A1B2C3">
      <w:pPr>
        <w:rPr>
          <w:b/>
          <w:rFonts w:ascii="Arial" w:hAnsi="Arial" w:cs="Arial"/>
          <w:sz w:val="24"/>
          <w:szCs w:val="24"/>
        </w:rPr>
      </w:pPr>
      <w:r>
        <w:rPr>
          <w:b/>
          <w:rFonts w:ascii="Arial" w:hAnsi="Arial" w:cs="Arial"/>
          <w:sz w:val="24"/>
          <w:szCs w:val="24"/>
        </w:rPr>
        <w:t>7.1 Identificación de No Conformidades e Incidentes</w:t>
      </w:r>
    </w:p>
    <w:p w14:paraId="493F3F6F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Todo el personal está obligado a reportar inmediatamente cualquier incidente, accidente, cuasi-accidente o situación de riesgo al Responsable SST o supervisor.</w:t>
      </w:r>
    </w:p>
    <w:p w14:paraId="2A154A58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Se considera No Conformidad (NC) toda desviación respecto a los requisitos del SGI-SST, requisitos legales o procedimientos establecidos.</w:t>
      </w:r>
    </w:p>
    <w:p w14:paraId="2D06C891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Los accidentes con lesiones y los cuasi-accidentes de alto potencial tienen carácter prioritario y requieren investigación inmediata.</w:t>
      </w:r>
    </w:p>
    <w:p w14:paraId="1F99E91B" w14:textId="77777777" w:rsidR="00A1B2C3" w:rsidRDefault="00A1B2C3">
      <w:pPr>
        <w:rPr>
          <w:b/>
          <w:rFonts w:ascii="Arial" w:hAnsi="Arial" w:cs="Arial"/>
          <w:sz w:val="24"/>
          <w:szCs w:val="24"/>
        </w:rPr>
      </w:pPr>
      <w:r>
        <w:rPr>
          <w:b/>
          <w:rFonts w:ascii="Arial" w:hAnsi="Arial" w:cs="Arial"/>
          <w:sz w:val="24"/>
          <w:szCs w:val="24"/>
        </w:rPr>
        <w:t>7.2 Investigación de Incidentes</w:t>
      </w:r>
    </w:p>
    <w:p w14:paraId="4617D72D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Responsable SST liderará la investigación de todos los incidentes con lesión y cuasi-accidentes de mayor potencial, confeccionando el Informe Técnico de Investigación de Accidentes e Incidentes (FR-109-01) dentro de las 24 horas del incidente. Los resultados alimentarán la IPERC (PR-04) si se identificaron peligros no contemplados.</w:t>
      </w:r>
    </w:p>
    <w:p w14:paraId="144D11DB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/>
      </w:r>
    </w:p>
    <w:p w14:paraId="6CA5D5D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7.3 Acciones correctivas</w:t>
      </w:r>
    </w:p>
    <w:p w14:paraId="310A040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Paso</w:t>
      </w:r>
    </w:p>
    <w:p w14:paraId="6848854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Descripción</w:t>
      </w:r>
    </w:p>
    <w:p w14:paraId="412E231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Responsable</w:t>
      </w:r>
    </w:p>
    <w:p w14:paraId="22047CC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Plazo</w:t>
      </w:r>
    </w:p>
    <w:p w14:paraId="21338ED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Definición</w:t>
      </w:r>
    </w:p>
    <w:p w14:paraId="51FBE94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Definir acciones para eliminar causas raíz y prevenir recurrencia.</w:t>
      </w:r>
    </w:p>
    <w:p w14:paraId="48314FD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26CFC48B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10 días hábiles post-incidente</w:t>
      </w:r>
    </w:p>
    <w:p w14:paraId="0BB3C42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Asignación</w:t>
      </w:r>
    </w:p>
    <w:p w14:paraId="0A78630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Asignar responsable y plazo de implementación para cada acción.</w:t>
      </w:r>
    </w:p>
    <w:p w14:paraId="477C0E7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7D43959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Al definir la acción</w:t>
      </w:r>
    </w:p>
    <w:p w14:paraId="24CDA73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Implementación</w:t>
      </w:r>
    </w:p>
    <w:p w14:paraId="0094535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Ejecutar las acciones en los plazos acordados.</w:t>
      </w:r>
    </w:p>
    <w:p w14:paraId="554D846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designado</w:t>
      </w:r>
    </w:p>
    <w:p w14:paraId="19DD107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Según plan</w:t>
      </w:r>
    </w:p>
    <w:p w14:paraId="50CCF773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Verificación</w:t>
      </w:r>
    </w:p>
    <w:p w14:paraId="623DD14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Verificar que las acciones fueron implementadas y son efectivas.</w:t>
      </w:r>
    </w:p>
    <w:p w14:paraId="7892EDE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37BDB7F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Hasta 60 días post-implementación</w:t>
      </w:r>
    </w:p>
    <w:p w14:paraId="044690A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Cierre</w:t>
      </w:r>
    </w:p>
    <w:p w14:paraId="222883C1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Registrar el cierre de la acción correctiva en FR-109-01 o sistema de registro.</w:t>
      </w:r>
    </w:p>
    <w:p w14:paraId="07534D3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21C6297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Al verificar efectividad</w:t>
      </w:r>
    </w:p>
    <w:p w14:paraId="4A31CF6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7.4 Análisis de tendencias y mejora continua</w:t>
      </w:r>
    </w:p>
    <w:p w14:paraId="73EEE1C8" w14:textId="77777777" w:rsidR="004F7AE2" w:rsidRPr="00ED1143" w:rsidRDefault="00000000">
      <w:pPr>
        <w:ind w:left="283"/>
        <w:rPr>
          <w:rFonts w:ascii="Arial" w:hAnsi="Arial" w:cs="Arial"/>
        </w:rPr>
      </w:pPr>
      <w:r>
        <w:rPr>
          <w:rFonts w:ascii="Arial" w:hAnsi="Arial" w:cs="Arial"/>
        </w:rPr>
        <w:t>• El Responsable SST analizará trimestralmente las no conformidades e incidentes para identificar patrones y tendencias.</w:t>
      </w:r>
    </w:p>
    <w:p w14:paraId="2E58B26A" w14:textId="77777777" w:rsidR="004F7AE2" w:rsidRPr="00ED1143" w:rsidRDefault="00000000">
      <w:pPr>
        <w:ind w:left="283"/>
        <w:rPr>
          <w:rFonts w:ascii="Arial" w:hAnsi="Arial" w:cs="Arial"/>
        </w:rPr>
      </w:pPr>
      <w:r>
        <w:rPr>
          <w:rFonts w:ascii="Arial" w:hAnsi="Arial" w:cs="Arial"/>
        </w:rPr>
        <w:t>• Las tendencias detectadas se presentarán en la Revisión por la Dirección (PR-14).</w:t>
      </w:r>
    </w:p>
    <w:p w14:paraId="1BC1509F" w14:textId="77777777" w:rsidR="004F7AE2" w:rsidRPr="00ED1143" w:rsidRDefault="00000000">
      <w:pPr>
        <w:ind w:left="283"/>
        <w:rPr>
          <w:rFonts w:ascii="Arial" w:hAnsi="Arial" w:cs="Arial"/>
        </w:rPr>
      </w:pPr>
      <w:r>
        <w:rPr>
          <w:rFonts w:ascii="Arial" w:hAnsi="Arial" w:cs="Arial"/>
        </w:rPr>
        <w:t>• La información alimentará la actualización de la IPERC, los objetivos SST y el plan de capacitación anual.</w:t>
      </w:r>
    </w:p>
    <w:p w14:paraId="623E9B8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8. REGISTROS</w:t>
      </w:r>
    </w:p>
    <w:p w14:paraId="16E0A97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lastRenderedPageBreak/>
        <w:t>Código</w:t>
      </w:r>
    </w:p>
    <w:p w14:paraId="43D1E88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Registro</w:t>
      </w:r>
    </w:p>
    <w:p w14:paraId="66D2B35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Responsable</w:t>
      </w:r>
    </w:p>
    <w:p w14:paraId="3C37468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Retención</w:t>
      </w:r>
    </w:p>
    <w:p w14:paraId="2F99AA2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FR-109-01</w:t>
      </w:r>
    </w:p>
    <w:p w14:paraId="3521260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Registro e Investigación de Incidentes</w:t>
      </w:r>
    </w:p>
    <w:p w14:paraId="53BBE90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6AE78443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4EC9EC8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FR-109-01</w:t>
      </w:r>
    </w:p>
    <w:p w14:paraId="33850B4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Informe de investigación de incidente</w:t>
      </w:r>
    </w:p>
    <w:p w14:paraId="120EA12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5648058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240972D3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FR-85-02</w:t>
      </w:r>
    </w:p>
    <w:p w14:paraId="1986CD8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Plan de acciones correctivas</w:t>
      </w:r>
    </w:p>
    <w:p w14:paraId="6386F1A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4AF1966B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31245F4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—</w:t>
      </w:r>
    </w:p>
    <w:p w14:paraId="5B685A3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Notificación a ART</w:t>
      </w:r>
    </w:p>
    <w:p w14:paraId="4D5AFDD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36C95B4E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65C0814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FR-9.1-01</w:t>
      </w:r>
    </w:p>
    <w:p w14:paraId="252C2E4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Indicadores SST (seguimiento de AC)</w:t>
      </w:r>
    </w:p>
    <w:p w14:paraId="2AF8171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0A9A70CD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61E618B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9. HISTORIAL DE REVISIONES</w:t>
      </w:r>
    </w:p>
    <w:p w14:paraId="534F708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Versión</w:t>
      </w:r>
    </w:p>
    <w:p w14:paraId="299C1C5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Fecha</w:t>
      </w:r>
    </w:p>
    <w:p w14:paraId="64F926A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Descripción</w:t>
      </w:r>
    </w:p>
    <w:p w14:paraId="454BB83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Autor</w:t>
      </w:r>
    </w:p>
    <w:p w14:paraId="04E70BF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01</w:t>
      </w:r>
    </w:p>
    <w:p w14:paraId="2EC3EC5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Marzo 2026</w:t>
      </w:r>
    </w:p>
    <w:p w14:paraId="2D4E69A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Emisión inicial — Consolida: Investigación incidentes + No Conformidades + Acciones Correctivas + Mejora</w:t>
      </w:r>
    </w:p>
    <w:p w14:paraId="3437C6F1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5AD7E9E2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277517F8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834773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FCF4DD3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EE9A2B8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4144B7A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9A070F8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B1AB86E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3B2221BD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689FA561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225436F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7A98D7F5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4A1BBA7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BA8D400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6D9F823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3114563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50215673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4F985FD7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23A1A0A3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A9C456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81FAFD4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2A913F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0B6F83D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FE4BFA" w14:textId="77777777" w:rsidR="4D9F759E" w:rsidRDefault="4D9F759E"/>
    <w:p w14:paraId="1BB57344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1B13A915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5C4A5901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6C751B69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2B45550E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1DDCBDD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386B02EC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7C5BE535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60015DB0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63A98068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78AFF9F5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12152697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507628A0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F74016E" w14:textId="77777777" w:rsidR="4D9F759E" w:rsidRDefault="4D9F759E"/>
    <w:p w14:paraId="1067A04C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727D3416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0D540844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8441DD6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78397FAB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50E3B6A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4AE34ED4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23362885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BCDC5BC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50279D81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1AD24066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0EFD3710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0BC0104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FBD49A2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4BBECB74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719007DD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3D8AAA9D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4907ED95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23DDD1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7A58B9DC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8DF37B1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668440F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03249D1" w14:textId="77777777" w:rsidR="00E3521B" w:rsidRDefault="00E3521B" w:rsidP="00E3521B"/>
    <w:p w14:paraId="3446A4DA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43A6" w14:textId="77777777" w:rsidR="00CD764D" w:rsidRDefault="00CD764D">
      <w:r>
        <w:separator/>
      </w:r>
    </w:p>
  </w:endnote>
  <w:endnote w:type="continuationSeparator" w:id="0">
    <w:p w14:paraId="69093F82" w14:textId="77777777" w:rsidR="00CD764D" w:rsidRDefault="00CD764D">
      <w:r>
        <w:continuationSeparator/>
      </w:r>
    </w:p>
  </w:endnote>
  <w:endnote w:type="continuationNotice" w:id="1">
    <w:p w14:paraId="103A29F4" w14:textId="77777777" w:rsidR="00CD764D" w:rsidRDefault="00CD764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69620E2D" w14:textId="77777777" w:rsidTr="00081B0D">
      <w:tc>
        <w:tcPr>
          <w:tcW w:w="6309" w:type="dxa"/>
          <w:vAlign w:val="center"/>
        </w:tcPr>
        <w:p w14:paraId="399BE2C3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2C572D94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277C5F55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71C6CD6E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76361" w14:textId="77777777" w:rsidR="00CD764D" w:rsidRDefault="00CD764D">
      <w:r>
        <w:separator/>
      </w:r>
    </w:p>
  </w:footnote>
  <w:footnote w:type="continuationSeparator" w:id="0">
    <w:p w14:paraId="52B2005A" w14:textId="77777777" w:rsidR="00CD764D" w:rsidRDefault="00CD764D">
      <w:r>
        <w:continuationSeparator/>
      </w:r>
    </w:p>
  </w:footnote>
  <w:footnote w:type="continuationNotice" w:id="1">
    <w:p w14:paraId="334CE20C" w14:textId="77777777" w:rsidR="00CD764D" w:rsidRDefault="00CD764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701D73D7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C529E59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2891791A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6FDF99D5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PR-15</w:t>
          </w:r>
        </w:p>
      </w:tc>
    </w:tr>
    <w:tr w:rsidR="003C3D7E" w14:paraId="6709F0B4" w14:textId="77777777" w:rsidTr="3EBEE504">
      <w:trPr>
        <w:cantSplit/>
        <w:trHeight w:val="625"/>
      </w:trPr>
      <w:tc>
        <w:tcPr>
          <w:tcW w:w="1118" w:type="pct"/>
          <w:vMerge/>
        </w:tcPr>
        <w:p w14:paraId="34F1FBDD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42581165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No Conformidades y Acciones Correctivas</w:t>
          </w:r>
        </w:p>
      </w:tc>
      <w:tc>
        <w:tcPr>
          <w:tcW w:w="1045" w:type="pct"/>
          <w:vAlign w:val="center"/>
        </w:tcPr>
        <w:p w14:paraId="47A02DCD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</w:t>
          </w:r>
        </w:p>
      </w:tc>
    </w:tr>
  </w:tbl>
  <w:p w14:paraId="0364246D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1F3E68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4D6D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280B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4F7AE2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D764D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76E90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1143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E5EE85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A4207E-6EA0-422D-B287-48616365F3DE}"/>
</file>

<file path=customXml/itemProps2.xml><?xml version="1.0" encoding="utf-8"?>
<ds:datastoreItem xmlns:ds="http://schemas.openxmlformats.org/officeDocument/2006/customXml" ds:itemID="{1D5A5511-A808-4F55-A841-215525F8B2CE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3.xml><?xml version="1.0" encoding="utf-8"?>
<ds:datastoreItem xmlns:ds="http://schemas.openxmlformats.org/officeDocument/2006/customXml" ds:itemID="{775AB183-8C25-44ED-9E03-1B582C387F4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A06B5D4-745E-4183-AEA8-B044B1AF7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793</Words>
  <Characters>4832</Characters>
  <Application>Microsoft Office Word</Application>
  <DocSecurity>0</DocSecurity>
  <Lines>228</Lines>
  <Paragraphs>176</Paragraphs>
  <ScaleCrop>false</ScaleCrop>
  <Company/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vidal</cp:lastModifiedBy>
  <cp:revision>2</cp:revision>
  <dcterms:created xsi:type="dcterms:W3CDTF">2026-04-27T17:23:00Z</dcterms:created>
  <dcterms:modified xsi:type="dcterms:W3CDTF">2026-04-27T17:24:00Z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