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7368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26F41FC5" w14:textId="77777777" w:rsidR="00DB6D2B" w:rsidRPr="00931AF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>OBJETIVO</w:t>
      </w:r>
      <w:r w:rsidRPr="00931AFB">
        <w:rPr>
          <w:rFonts w:ascii="Arial" w:hAnsi="Arial" w:cs="Arial"/>
          <w:b/>
          <w:bCs/>
          <w:lang w:val="es"/>
        </w:rPr>
        <w:t>:</w:t>
      </w:r>
    </w:p>
    <w:p w14:paraId="7E738AE0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Establecer la metodología para identificar peligros, evaluar riesgos y determinar los controles necesarios en todas las actividades y servicios de MAXIMIA S.A.</w:t>
      </w:r>
    </w:p>
    <w:p w14:paraId="31A3C111" w14:textId="77777777" w:rsidR="00671C1A" w:rsidRPr="00931AF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>ALCANCE</w:t>
      </w:r>
      <w:r w:rsidRPr="00931AFB">
        <w:rPr>
          <w:rFonts w:ascii="Arial" w:hAnsi="Arial" w:cs="Arial"/>
          <w:b/>
          <w:bCs/>
          <w:lang w:val="es"/>
        </w:rPr>
        <w:t>:</w:t>
      </w:r>
      <w:r w:rsidRPr="00931AFB">
        <w:rPr>
          <w:rFonts w:ascii="Arial" w:eastAsia="Arial" w:hAnsi="Arial" w:cs="Arial"/>
          <w:b/>
          <w:bCs/>
          <w:lang w:val="es"/>
        </w:rPr>
        <w:t xml:space="preserve"> </w:t>
      </w:r>
    </w:p>
    <w:p w14:paraId="72326F3B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Todas las actividades, procesos y servicios de MAXIMIA S.A. Todo el personal propio y tercerizado bajo su control operativo.</w:t>
      </w:r>
    </w:p>
    <w:p w14:paraId="13E22445" w14:textId="77777777" w:rsidR="00671C1A" w:rsidRPr="00931AFB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931AFB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5962C07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 METODOLOGÍA – MATRIZ IPERC</w:t>
      </w:r>
    </w:p>
    <w:p w14:paraId="0914420B" w14:textId="77777777" w:rsidR="00931AFB" w:rsidRPr="00931AFB" w:rsidRDefault="00931AFB">
      <w:pPr>
        <w:rPr>
          <w:rFonts w:ascii="Arial" w:hAnsi="Arial" w:cs="Arial"/>
        </w:rPr>
      </w:pPr>
    </w:p>
    <w:p w14:paraId="4D23F4E4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MAXIMIA utiliza la Matriz IPERC (Identificación de Peligros, Evaluación de Riesgos y Controles) como herramienta principal. Complementariamente se utilizan ART/AST (Análisis de Riesgo de Tarea) para tareas críticas puntuales.</w:t>
      </w:r>
    </w:p>
    <w:p w14:paraId="279BC71E" w14:textId="77777777" w:rsidR="00931AFB" w:rsidRPr="00931AFB" w:rsidRDefault="00931AFB">
      <w:pPr>
        <w:rPr>
          <w:rFonts w:ascii="Arial" w:hAnsi="Arial" w:cs="Arial"/>
        </w:rPr>
      </w:pPr>
    </w:p>
    <w:p w14:paraId="77769B54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3.1 Identificación de Peligros</w:t>
      </w:r>
    </w:p>
    <w:p w14:paraId="18C6E651" w14:textId="77777777" w:rsidR="00931AFB" w:rsidRPr="00931AFB" w:rsidRDefault="00931AFB">
      <w:pPr>
        <w:rPr>
          <w:rFonts w:ascii="Arial" w:hAnsi="Arial" w:cs="Arial"/>
        </w:rPr>
      </w:pPr>
    </w:p>
    <w:p w14:paraId="1C31D0D1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Se identifican todos los peligros presentes en cada puesto y tarea, considerando: condiciones normales de operación, situaciones de emergencia, actividades rutinarias y no rutinarias, trabajo de contratistas y personal nuevo.</w:t>
      </w:r>
    </w:p>
    <w:p w14:paraId="3E249999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físicos: ruido, temperatura, iluminación, trabajo en altura.</w:t>
      </w:r>
    </w:p>
    <w:p w14:paraId="1D255AD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químicos: productos de limpieza, desinfectantes, vapores de cocina.</w:t>
      </w:r>
    </w:p>
    <w:p w14:paraId="3D1B0F9F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ergonómicos: posturas forzadas, manejo manual de cargas, movimientos repetitivos.</w:t>
      </w:r>
    </w:p>
    <w:p w14:paraId="523329F7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mecánicos: equipos de cocina, herramientas, superficies calientes.</w:t>
      </w:r>
    </w:p>
    <w:p w14:paraId="0FDDD574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eléctricos: instalaciones, equipos enchufados en ambientes húmedos.</w:t>
      </w:r>
    </w:p>
    <w:p w14:paraId="4C528C1F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Peligros biológicos: manipulación de alimentos, residuos, vectores.</w:t>
      </w:r>
    </w:p>
    <w:p w14:paraId="62726E8B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15D657F5" w14:textId="77777777" w:rsidR="00504172" w:rsidRPr="00931AFB" w:rsidRDefault="00000000">
      <w:pPr>
        <w:rPr>
          <w:rFonts w:ascii="Arial" w:hAnsi="Arial" w:cs="Arial"/>
          <w:b/>
        </w:rPr>
      </w:pPr>
      <w:r w:rsidRPr="00931AFB">
        <w:rPr>
          <w:rFonts w:ascii="Arial" w:hAnsi="Arial" w:cs="Arial"/>
          <w:b/>
        </w:rPr>
        <w:t>3.2 Evaluación del Riesgo</w:t>
      </w:r>
    </w:p>
    <w:p w14:paraId="524625BD" w14:textId="77777777" w:rsidR="00931AFB" w:rsidRPr="00931AFB" w:rsidRDefault="00931AFB">
      <w:pPr>
        <w:rPr>
          <w:rFonts w:ascii="Arial" w:hAnsi="Arial" w:cs="Arial"/>
        </w:rPr>
      </w:pPr>
    </w:p>
    <w:p w14:paraId="5AF90B8C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Para cada peligro identificado se evalúa: Probabilidad (P) × Consecuencia (C) = Nivel de Riesgo (NR)</w:t>
      </w:r>
    </w:p>
    <w:p w14:paraId="1F3CE6E2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Bajo (1-4): Aceptable. Mantener controles existentes.</w:t>
      </w:r>
    </w:p>
    <w:p w14:paraId="7E722A97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Medio (5-9): Tolerable. Establecer controles adicionales con plazo definido.</w:t>
      </w:r>
    </w:p>
    <w:p w14:paraId="7CD8CF6C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Alto (10-16): No aceptable. Acción inmediata. No iniciar tarea sin controles.</w:t>
      </w:r>
    </w:p>
    <w:p w14:paraId="249A6A15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NR Crítico (17-25): Detener actividad. Control inmediato obligatorio.</w:t>
      </w:r>
    </w:p>
    <w:p w14:paraId="11ADD86F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2E4673E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3.3 Determinación de Controles – Jerarquía</w:t>
      </w:r>
    </w:p>
    <w:p w14:paraId="1F599788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1° Eliminación del peligro.</w:t>
      </w:r>
    </w:p>
    <w:p w14:paraId="4B17065C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2° Sustitución por alternativa menos peligrosa.</w:t>
      </w:r>
    </w:p>
    <w:p w14:paraId="4D5BDBF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3° Controles de ingeniería.</w:t>
      </w:r>
    </w:p>
    <w:p w14:paraId="5812D684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4° Controles administrativos (procedimientos, capacitación, señalización).</w:t>
      </w:r>
    </w:p>
    <w:p w14:paraId="65BC77D8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5° Elementos de Protección Personal (EPP) – último recurso.</w:t>
      </w:r>
    </w:p>
    <w:p w14:paraId="3539572D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EEEED8B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0A4E76E8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3.4 Análisis de Riesgo de Tarea (ART/AST)</w:t>
      </w:r>
    </w:p>
    <w:p w14:paraId="7F346929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Para tareas críticas o no rutinarias se completa el FR-34-01 (ART/AST) antes de iniciar. Participan el supervisor y los trabajadores involucrados.</w:t>
      </w:r>
    </w:p>
    <w:p w14:paraId="3A27E3FB" w14:textId="77777777" w:rsidR="00931AFB" w:rsidRPr="00931AFB" w:rsidRDefault="00931AFB">
      <w:pPr>
        <w:rPr>
          <w:rFonts w:ascii="Arial" w:hAnsi="Arial" w:cs="Arial"/>
        </w:rPr>
      </w:pPr>
    </w:p>
    <w:p w14:paraId="18B343A8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4. ACTUALIZACIÓN DE LA IPER</w:t>
      </w:r>
    </w:p>
    <w:p w14:paraId="30373DF4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</w:rPr>
        <w:t>La IPER se revisa: al menos una vez al año, ante cambios en procesos o equipos (PR-08 Gestión del Cambio</w:t>
      </w:r>
      <w:r w:rsidRPr="00931AFB">
        <w:rPr>
          <w:rFonts w:ascii="Arial" w:hAnsi="Arial" w:cs="Arial"/>
          <w:highlight w:val="yellow"/>
        </w:rPr>
        <w:t>), después de un accidente o incidente (PR-15),</w:t>
      </w:r>
      <w:r w:rsidRPr="00931AFB">
        <w:rPr>
          <w:rFonts w:ascii="Arial" w:hAnsi="Arial" w:cs="Arial"/>
        </w:rPr>
        <w:t xml:space="preserve"> al incorporar nuevas actividades o servicios.</w:t>
      </w:r>
    </w:p>
    <w:p w14:paraId="71B8FC13" w14:textId="77777777" w:rsidR="00931AFB" w:rsidRPr="00931AFB" w:rsidRDefault="00931AFB">
      <w:pPr>
        <w:rPr>
          <w:rFonts w:ascii="Arial" w:hAnsi="Arial" w:cs="Arial"/>
        </w:rPr>
      </w:pPr>
    </w:p>
    <w:p w14:paraId="52507CC7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5. REGISTROS</w:t>
      </w:r>
    </w:p>
    <w:p w14:paraId="74CFAE8A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FR-35-01 – Matriz IPER (actualizada y firmada)</w:t>
      </w:r>
    </w:p>
    <w:p w14:paraId="5E67D293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FR-34-01 – ART/AST por tarea crítica</w:t>
      </w:r>
    </w:p>
    <w:p w14:paraId="29331B7D" w14:textId="77777777" w:rsidR="00931AFB" w:rsidRPr="00931AFB" w:rsidRDefault="00931AFB">
      <w:pPr>
        <w:ind w:left="283"/>
        <w:rPr>
          <w:rFonts w:ascii="Arial" w:hAnsi="Arial" w:cs="Arial"/>
        </w:rPr>
      </w:pPr>
    </w:p>
    <w:p w14:paraId="500647B7" w14:textId="77777777" w:rsidR="00504172" w:rsidRPr="00931AFB" w:rsidRDefault="00000000">
      <w:pPr>
        <w:rPr>
          <w:rFonts w:ascii="Arial" w:hAnsi="Arial" w:cs="Arial"/>
        </w:rPr>
      </w:pPr>
      <w:r w:rsidRPr="00931AFB">
        <w:rPr>
          <w:rFonts w:ascii="Arial" w:hAnsi="Arial" w:cs="Arial"/>
          <w:b/>
        </w:rPr>
        <w:t>6. DOCUMENTOS RELACIONADOS</w:t>
      </w:r>
    </w:p>
    <w:p w14:paraId="1BFA0A0E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PR-01 – Política SST</w:t>
      </w:r>
    </w:p>
    <w:p w14:paraId="62607501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PR-10 – Control Operacional</w:t>
      </w:r>
    </w:p>
    <w:p w14:paraId="297590DD" w14:textId="77777777" w:rsidR="00504172" w:rsidRPr="00931AFB" w:rsidRDefault="00000000">
      <w:pPr>
        <w:ind w:left="283"/>
        <w:rPr>
          <w:rFonts w:ascii="Arial" w:hAnsi="Arial" w:cs="Arial"/>
        </w:rPr>
      </w:pPr>
      <w:r w:rsidRPr="00931AFB">
        <w:rPr>
          <w:rFonts w:ascii="Arial" w:hAnsi="Arial" w:cs="Arial"/>
        </w:rPr>
        <w:t>• PR-15 – No Conformidades</w:t>
      </w:r>
    </w:p>
    <w:p w14:paraId="1E433E89" w14:textId="43BC74F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FE33A6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4C2D5D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192DBF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A0E8A45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ADB619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D3BC69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93EFF9A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40E081E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02E64EE2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B454F73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D05BF53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089B71C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E426C7C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548BD8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29C57EF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38BDB62D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86CEC8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BAA1E7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3E207D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154872B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2D26D5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DB87718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02A9BF" w14:textId="77777777" w:rsidR="4D9F759E" w:rsidRDefault="4D9F759E"/>
    <w:p w14:paraId="3E36F69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5D9E5EB6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FA448E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4EAD653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7C8CB4A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3CFA7CF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7099394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4137CE1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7B82A060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102CF2F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770B14A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94E1E0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34E2CA96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D4F7271" w14:textId="77777777" w:rsidR="4D9F759E" w:rsidRDefault="4D9F759E"/>
    <w:p w14:paraId="4BE644B9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BE747B8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2C65E54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2B747DE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5C4CEA4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0DC5D0A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78E2B5D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417ECB2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C1979E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865A99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F27110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28C5A605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565C7B1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8459AD9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1524954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CD3F4D5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6456A2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231CA86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4EAECF6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3391576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9D319E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295AD0D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D759213" w14:textId="77777777" w:rsidR="00E3521B" w:rsidRDefault="00E3521B" w:rsidP="00E3521B"/>
    <w:p w14:paraId="427192C8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57068" w14:textId="77777777" w:rsidR="00CF2078" w:rsidRDefault="00CF2078">
      <w:r>
        <w:separator/>
      </w:r>
    </w:p>
  </w:endnote>
  <w:endnote w:type="continuationSeparator" w:id="0">
    <w:p w14:paraId="25E243A7" w14:textId="77777777" w:rsidR="00CF2078" w:rsidRDefault="00CF2078">
      <w:r>
        <w:continuationSeparator/>
      </w:r>
    </w:p>
  </w:endnote>
  <w:endnote w:type="continuationNotice" w:id="1">
    <w:p w14:paraId="5894A935" w14:textId="77777777" w:rsidR="00CF2078" w:rsidRDefault="00CF2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CC83567" w14:textId="77777777" w:rsidTr="00081B0D">
      <w:tc>
        <w:tcPr>
          <w:tcW w:w="6309" w:type="dxa"/>
          <w:vAlign w:val="center"/>
        </w:tcPr>
        <w:p w14:paraId="41137A0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33CE510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722C6915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7B5841E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5021" w14:textId="77777777" w:rsidR="00CF2078" w:rsidRDefault="00CF2078">
      <w:r>
        <w:separator/>
      </w:r>
    </w:p>
  </w:footnote>
  <w:footnote w:type="continuationSeparator" w:id="0">
    <w:p w14:paraId="453128D9" w14:textId="77777777" w:rsidR="00CF2078" w:rsidRDefault="00CF2078">
      <w:r>
        <w:continuationSeparator/>
      </w:r>
    </w:p>
  </w:footnote>
  <w:footnote w:type="continuationNotice" w:id="1">
    <w:p w14:paraId="2CE703F6" w14:textId="77777777" w:rsidR="00CF2078" w:rsidRDefault="00CF20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54F3E5D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2295107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56162D51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2BD569F9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PR-04</w:t>
          </w:r>
        </w:p>
      </w:tc>
    </w:tr>
    <w:tr w:rsidR="003C3D7E" w14:paraId="647D7E5A" w14:textId="77777777" w:rsidTr="3EBEE504">
      <w:trPr>
        <w:cantSplit/>
        <w:trHeight w:val="625"/>
      </w:trPr>
      <w:tc>
        <w:tcPr>
          <w:tcW w:w="1118" w:type="pct"/>
          <w:vMerge/>
        </w:tcPr>
        <w:p w14:paraId="3C184582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0A2F7042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Identificación de Peligros y Evaluación de Riesgos (IPER)</w:t>
          </w:r>
        </w:p>
      </w:tc>
      <w:tc>
        <w:tcPr>
          <w:tcW w:w="1045" w:type="pct"/>
          <w:vAlign w:val="center"/>
        </w:tcPr>
        <w:p w14:paraId="58F25A42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  <w:proofErr w:type="gramStart"/>
          <w:r w:rsidRPr="3EBEE504">
            <w:rPr>
              <w:rFonts w:ascii="Arial" w:hAnsi="Arial" w:cs="Arial"/>
              <w:sz w:val="20"/>
              <w:szCs w:val="20"/>
            </w:rPr>
            <w:t>Marzo</w:t>
          </w:r>
          <w:proofErr w:type="gramEnd"/>
          <w:r w:rsidRPr="3EBEE504">
            <w:rPr>
              <w:rFonts w:ascii="Arial" w:hAnsi="Arial" w:cs="Arial"/>
              <w:sz w:val="20"/>
              <w:szCs w:val="20"/>
            </w:rPr>
            <w:t xml:space="preserve"> 2026</w:t>
          </w:r>
        </w:p>
      </w:tc>
    </w:tr>
  </w:tbl>
  <w:p w14:paraId="3D651D82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01EF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04172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1AFB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207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5C052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B8DB6A50-076D-496E-8A42-3019C638EE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385</Words>
  <Characters>2541</Characters>
  <Application>Microsoft Office Word</Application>
  <DocSecurity>0</DocSecurity>
  <Lines>110</Lines>
  <Paragraphs>69</Paragraphs>
  <ScaleCrop>false</ScaleCrop>
  <Company>FCP Consulting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