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docProps/custom1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1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A182" w14:textId="77777777" w:rsidR="00671C1A" w:rsidRPr="004B000C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es"/>
        </w:rPr>
      </w:pPr>
    </w:p>
    <w:p w14:paraId="1628E493" w14:textId="77777777" w:rsidR="00DB6D2B" w:rsidRPr="004B000C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4B000C">
        <w:rPr>
          <w:rFonts w:ascii="Arial" w:hAnsi="Arial" w:cs="Arial"/>
          <w:b/>
          <w:bCs/>
          <w:u w:val="single"/>
          <w:lang w:val="es"/>
        </w:rPr>
        <w:t>OBJETIVO</w:t>
      </w:r>
      <w:r w:rsidRPr="004B000C">
        <w:rPr>
          <w:rFonts w:ascii="Arial" w:hAnsi="Arial" w:cs="Arial"/>
          <w:b/>
          <w:bCs/>
          <w:lang w:val="es"/>
        </w:rPr>
        <w:t>:</w:t>
      </w:r>
    </w:p>
    <w:p w14:paraId="39D5A80E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Establecer la metodología para el seguimiento, medición, análisis y evaluación del desempeño del Sistema de Gestión de SST de Maximia S.A., a través de indicadores que permitan verificar el logro de los objetivos y tomar decisiones basadas en evidencia.</w:t>
      </w:r>
    </w:p>
    <w:p w14:paraId="549CF3F5" w14:textId="77777777" w:rsidR="00671C1A" w:rsidRPr="004B000C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4B000C">
        <w:rPr>
          <w:rFonts w:ascii="Arial" w:hAnsi="Arial" w:cs="Arial"/>
          <w:b/>
          <w:bCs/>
          <w:u w:val="single"/>
          <w:lang w:val="es"/>
        </w:rPr>
        <w:t>ALCANCE</w:t>
      </w:r>
      <w:r w:rsidRPr="004B000C">
        <w:rPr>
          <w:rFonts w:ascii="Arial" w:hAnsi="Arial" w:cs="Arial"/>
          <w:b/>
          <w:bCs/>
          <w:lang w:val="es"/>
        </w:rPr>
        <w:t>:</w:t>
      </w:r>
      <w:r w:rsidRPr="004B000C">
        <w:rPr>
          <w:rFonts w:ascii="Arial" w:eastAsia="Arial" w:hAnsi="Arial" w:cs="Arial"/>
          <w:b/>
          <w:bCs/>
          <w:lang w:val="es"/>
        </w:rPr>
        <w:t xml:space="preserve"> </w:t>
      </w:r>
    </w:p>
    <w:p w14:paraId="2447D3CC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Aplica a todos los procesos, actividades y controles del SG-SST de Maximia S.A. Los indicadores son de seguimiento mensual, trimestral o anual según se especifique.</w:t>
      </w:r>
    </w:p>
    <w:p w14:paraId="7295121F" w14:textId="77777777" w:rsidR="00671C1A" w:rsidRPr="004B000C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4B000C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5BE5275F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3. REFERENCIAS</w:t>
      </w:r>
    </w:p>
    <w:p w14:paraId="012447F3" w14:textId="77777777" w:rsidR="00474495" w:rsidRPr="004B000C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>• ISO 45001:2018 — Cláusulas 9.1, 9.1.1, 9.1.2</w:t>
      </w:r>
    </w:p>
    <w:p w14:paraId="67E8DFFC" w14:textId="77777777" w:rsidR="00474495" w:rsidRPr="004B000C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>• PR-06 Objetivos, Metas e Indicadores SST</w:t>
      </w:r>
    </w:p>
    <w:p w14:paraId="6BE5B4EA" w14:textId="77777777" w:rsidR="00474495" w:rsidRPr="004B000C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>• PR-04 Identificación de Peligros y Evaluación de Riesgos</w:t>
      </w:r>
    </w:p>
    <w:p w14:paraId="665A6FAA" w14:textId="77777777" w:rsidR="00474495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 xml:space="preserve">• Resolución SRT </w:t>
      </w:r>
      <w:proofErr w:type="spellStart"/>
      <w:r w:rsidRPr="004B000C">
        <w:rPr>
          <w:rFonts w:ascii="Arial" w:hAnsi="Arial" w:cs="Arial"/>
        </w:rPr>
        <w:t>N°</w:t>
      </w:r>
      <w:proofErr w:type="spellEnd"/>
      <w:r w:rsidRPr="004B000C">
        <w:rPr>
          <w:rFonts w:ascii="Arial" w:hAnsi="Arial" w:cs="Arial"/>
        </w:rPr>
        <w:t xml:space="preserve"> 463/09 — Siniestralidad</w:t>
      </w:r>
    </w:p>
    <w:p w14:paraId="1121CF77" w14:textId="77777777" w:rsidR="004B000C" w:rsidRPr="004B000C" w:rsidRDefault="004B000C">
      <w:pPr>
        <w:ind w:left="283"/>
        <w:rPr>
          <w:rFonts w:ascii="Arial" w:hAnsi="Arial" w:cs="Arial"/>
        </w:rPr>
      </w:pPr>
    </w:p>
    <w:p w14:paraId="367AB3EF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4. INDICADORES DE DESEMPEÑO SST</w:t>
      </w:r>
    </w:p>
    <w:p w14:paraId="1C55B63D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4.1 Indicadores Reactivos (resultados negativos)</w:t>
      </w:r>
    </w:p>
    <w:p w14:paraId="1F3CF08B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Indicador</w:t>
      </w:r>
    </w:p>
    <w:p w14:paraId="7FE4C8AD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Fórmula</w:t>
      </w:r>
    </w:p>
    <w:p w14:paraId="06F3A04B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Meta</w:t>
      </w:r>
    </w:p>
    <w:p w14:paraId="4B591212" w14:textId="77777777" w:rsidR="00474495" w:rsidRDefault="00000000">
      <w:pPr>
        <w:rPr>
          <w:rFonts w:ascii="Arial" w:hAnsi="Arial" w:cs="Arial"/>
          <w:b/>
        </w:rPr>
      </w:pPr>
      <w:r w:rsidRPr="004B000C">
        <w:rPr>
          <w:rFonts w:ascii="Arial" w:hAnsi="Arial" w:cs="Arial"/>
          <w:b/>
        </w:rPr>
        <w:t>Frecuencia</w:t>
      </w:r>
    </w:p>
    <w:p w14:paraId="59353042" w14:textId="77777777" w:rsidR="004B000C" w:rsidRPr="004B000C" w:rsidRDefault="004B000C">
      <w:pPr>
        <w:rPr>
          <w:rFonts w:ascii="Arial" w:hAnsi="Arial" w:cs="Arial"/>
        </w:rPr>
      </w:pPr>
    </w:p>
    <w:p w14:paraId="3317188D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Índice de Frecuencia de Accidentes (IF)</w:t>
      </w:r>
    </w:p>
    <w:p w14:paraId="1815B52A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(N° accidentes con baja × 1.000.000) / Horas trabajadas</w:t>
      </w:r>
    </w:p>
    <w:p w14:paraId="13D3BADE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&lt; 5</w:t>
      </w:r>
    </w:p>
    <w:p w14:paraId="3CB48960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Mensual</w:t>
      </w:r>
    </w:p>
    <w:p w14:paraId="75070096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Índice de Gravedad (IG)</w:t>
      </w:r>
    </w:p>
    <w:p w14:paraId="28AE7D18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(Días perdidos por accidentes × 1.000.000) / Horas trabajadas</w:t>
      </w:r>
    </w:p>
    <w:p w14:paraId="4901CC46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&lt; 50</w:t>
      </w:r>
    </w:p>
    <w:p w14:paraId="65066900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Mensual</w:t>
      </w:r>
    </w:p>
    <w:p w14:paraId="41F72175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Índice de Incidentalidad</w:t>
      </w:r>
    </w:p>
    <w:p w14:paraId="40CB5407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(N° incidentes sin baja × 1.000) / N° trabajadores</w:t>
      </w:r>
    </w:p>
    <w:p w14:paraId="5363782B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&lt; 10</w:t>
      </w:r>
    </w:p>
    <w:p w14:paraId="2A05EB7B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Mensual</w:t>
      </w:r>
    </w:p>
    <w:p w14:paraId="402789B4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Tasa de Ausentismo por causas SST</w:t>
      </w:r>
    </w:p>
    <w:p w14:paraId="47DA84D3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(Días perdidos SST / Días laborables) × 100</w:t>
      </w:r>
    </w:p>
    <w:p w14:paraId="2526629A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&lt; 2%</w:t>
      </w:r>
    </w:p>
    <w:p w14:paraId="4CA18084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Mensual</w:t>
      </w:r>
    </w:p>
    <w:p w14:paraId="6ACC283C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Enfermedades profesionales detectadas</w:t>
      </w:r>
    </w:p>
    <w:p w14:paraId="35306F4C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N° de enfermedades profesionales confirmadas en el período</w:t>
      </w:r>
    </w:p>
    <w:p w14:paraId="1E2A86DC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0</w:t>
      </w:r>
    </w:p>
    <w:p w14:paraId="60846E00" w14:textId="77777777" w:rsidR="00474495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Trimestral</w:t>
      </w:r>
    </w:p>
    <w:p w14:paraId="43917D92" w14:textId="77777777" w:rsidR="004B000C" w:rsidRDefault="004B000C">
      <w:pPr>
        <w:rPr>
          <w:rFonts w:ascii="Arial" w:hAnsi="Arial" w:cs="Arial"/>
        </w:rPr>
      </w:pPr>
    </w:p>
    <w:p w14:paraId="59BDEB75" w14:textId="77777777" w:rsidR="004B000C" w:rsidRPr="004B000C" w:rsidRDefault="004B000C">
      <w:pPr>
        <w:rPr>
          <w:rFonts w:ascii="Arial" w:hAnsi="Arial" w:cs="Arial"/>
        </w:rPr>
      </w:pPr>
    </w:p>
    <w:p w14:paraId="537CEC29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4.2 Indicadores Proactivos (desempeño preventivo)</w:t>
      </w:r>
    </w:p>
    <w:p w14:paraId="7A7CCBE4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Indicador</w:t>
      </w:r>
    </w:p>
    <w:p w14:paraId="20A6D25B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Fórmula</w:t>
      </w:r>
    </w:p>
    <w:p w14:paraId="3AE0AF85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Meta</w:t>
      </w:r>
    </w:p>
    <w:p w14:paraId="58BA5F93" w14:textId="77777777" w:rsidR="00474495" w:rsidRDefault="00000000">
      <w:pPr>
        <w:rPr>
          <w:rFonts w:ascii="Arial" w:hAnsi="Arial" w:cs="Arial"/>
          <w:b/>
        </w:rPr>
      </w:pPr>
      <w:r w:rsidRPr="004B000C">
        <w:rPr>
          <w:rFonts w:ascii="Arial" w:hAnsi="Arial" w:cs="Arial"/>
          <w:b/>
        </w:rPr>
        <w:t>Frecuencia</w:t>
      </w:r>
    </w:p>
    <w:p w14:paraId="7CAA77D7" w14:textId="77777777" w:rsidR="004B000C" w:rsidRPr="004B000C" w:rsidRDefault="004B000C">
      <w:pPr>
        <w:rPr>
          <w:rFonts w:ascii="Arial" w:hAnsi="Arial" w:cs="Arial"/>
        </w:rPr>
      </w:pPr>
    </w:p>
    <w:p w14:paraId="00F17794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Capacitaciones realizadas</w:t>
      </w:r>
    </w:p>
    <w:p w14:paraId="4A850ED4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(Capacitaciones realizadas / Planificadas) × 100</w:t>
      </w:r>
    </w:p>
    <w:p w14:paraId="6D96BF58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≥ 90%</w:t>
      </w:r>
    </w:p>
    <w:p w14:paraId="4B378097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Mensual</w:t>
      </w:r>
    </w:p>
    <w:p w14:paraId="2B4CF0CE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Inspecciones de seguridad</w:t>
      </w:r>
    </w:p>
    <w:p w14:paraId="41BEE168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(Inspecciones realizadas / Planificadas) × 100</w:t>
      </w:r>
    </w:p>
    <w:p w14:paraId="52DA3310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100%</w:t>
      </w:r>
    </w:p>
    <w:p w14:paraId="17E5D650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Mensual</w:t>
      </w:r>
    </w:p>
    <w:p w14:paraId="675B8B4F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IPERC actualizadas</w:t>
      </w:r>
    </w:p>
    <w:p w14:paraId="3DFC4425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% de IPERC actualizadas en el año</w:t>
      </w:r>
    </w:p>
    <w:p w14:paraId="11CF0F3E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100%</w:t>
      </w:r>
    </w:p>
    <w:p w14:paraId="4F888228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Anual</w:t>
      </w:r>
    </w:p>
    <w:p w14:paraId="42F6210E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Uso correcto de EPP</w:t>
      </w:r>
    </w:p>
    <w:p w14:paraId="775EFED5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% trabajadores con EPP adecuado en inspección sorpresa</w:t>
      </w:r>
    </w:p>
    <w:p w14:paraId="12632F09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≥ 95%</w:t>
      </w:r>
    </w:p>
    <w:p w14:paraId="02103747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Mensual</w:t>
      </w:r>
    </w:p>
    <w:p w14:paraId="43254B73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Observaciones de seguridad resueltas</w:t>
      </w:r>
    </w:p>
    <w:p w14:paraId="08CC5E83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(Obs. resueltas / Obs. detectadas) × 100 en 30 días</w:t>
      </w:r>
    </w:p>
    <w:p w14:paraId="23528901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≥ 80%</w:t>
      </w:r>
    </w:p>
    <w:p w14:paraId="305EB4CB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Mensual</w:t>
      </w:r>
    </w:p>
    <w:p w14:paraId="3C4AA9E3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Simulacros realizados</w:t>
      </w:r>
    </w:p>
    <w:p w14:paraId="176430A6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N° de simulacros ejecutados vs planificados</w:t>
      </w:r>
    </w:p>
    <w:p w14:paraId="79AB1935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1 mínimo/año</w:t>
      </w:r>
    </w:p>
    <w:p w14:paraId="33F2FC58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Anual</w:t>
      </w:r>
    </w:p>
    <w:p w14:paraId="0BC779A3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Acciones correctivas cerradas en plazo</w:t>
      </w:r>
    </w:p>
    <w:p w14:paraId="7E92287E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(AC cerradas / AC abiertas) × 100</w:t>
      </w:r>
    </w:p>
    <w:p w14:paraId="48287883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≥ 85%</w:t>
      </w:r>
    </w:p>
    <w:p w14:paraId="53A4147A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Trimestral</w:t>
      </w:r>
    </w:p>
    <w:p w14:paraId="58B272D2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Cumplimiento legal</w:t>
      </w:r>
    </w:p>
    <w:p w14:paraId="50EBCEB6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% de requisitos legales cumplidos</w:t>
      </w:r>
    </w:p>
    <w:p w14:paraId="0165EF97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100%</w:t>
      </w:r>
    </w:p>
    <w:p w14:paraId="3EA534AB" w14:textId="77777777" w:rsidR="00474495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Semestral</w:t>
      </w:r>
    </w:p>
    <w:p w14:paraId="3429BF3A" w14:textId="77777777" w:rsidR="004B000C" w:rsidRPr="004B000C" w:rsidRDefault="004B000C">
      <w:pPr>
        <w:rPr>
          <w:rFonts w:ascii="Arial" w:hAnsi="Arial" w:cs="Arial"/>
        </w:rPr>
      </w:pPr>
    </w:p>
    <w:p w14:paraId="62E26288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4.3 Indicadores de Salud Ocupacional</w:t>
      </w:r>
    </w:p>
    <w:p w14:paraId="21EADB9E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Indicador</w:t>
      </w:r>
    </w:p>
    <w:p w14:paraId="49F7F891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Fórmula</w:t>
      </w:r>
    </w:p>
    <w:p w14:paraId="4907A70B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Meta</w:t>
      </w:r>
    </w:p>
    <w:p w14:paraId="45A03F11" w14:textId="77777777" w:rsidR="00474495" w:rsidRDefault="00000000">
      <w:pPr>
        <w:rPr>
          <w:rFonts w:ascii="Arial" w:hAnsi="Arial" w:cs="Arial"/>
          <w:b/>
        </w:rPr>
      </w:pPr>
      <w:r w:rsidRPr="004B000C">
        <w:rPr>
          <w:rFonts w:ascii="Arial" w:hAnsi="Arial" w:cs="Arial"/>
          <w:b/>
        </w:rPr>
        <w:t>Frecuencia</w:t>
      </w:r>
    </w:p>
    <w:p w14:paraId="681E654B" w14:textId="77777777" w:rsidR="004B000C" w:rsidRPr="004B000C" w:rsidRDefault="004B000C">
      <w:pPr>
        <w:rPr>
          <w:rFonts w:ascii="Arial" w:hAnsi="Arial" w:cs="Arial"/>
        </w:rPr>
      </w:pPr>
    </w:p>
    <w:p w14:paraId="2FA0427F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Exámenes médicos al día</w:t>
      </w:r>
    </w:p>
    <w:p w14:paraId="3223DB61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(Trabajadores con examen vigente / Total) × 100</w:t>
      </w:r>
    </w:p>
    <w:p w14:paraId="24A3D887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lastRenderedPageBreak/>
        <w:t>100%</w:t>
      </w:r>
    </w:p>
    <w:p w14:paraId="3CB6870A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Anual</w:t>
      </w:r>
    </w:p>
    <w:p w14:paraId="416755DC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Cobertura plan de vacunación</w:t>
      </w:r>
    </w:p>
    <w:p w14:paraId="3455C0D9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% trabajadores vacunados del programa vigente</w:t>
      </w:r>
    </w:p>
    <w:p w14:paraId="58D41C32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≥ 90%</w:t>
      </w:r>
    </w:p>
    <w:p w14:paraId="5C4AA26C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Anual</w:t>
      </w:r>
    </w:p>
    <w:p w14:paraId="3645F788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Consultas al servicio médico</w:t>
      </w:r>
    </w:p>
    <w:p w14:paraId="3535DE45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N° consultas por enfermedades laborales vs período anterior</w:t>
      </w:r>
    </w:p>
    <w:p w14:paraId="6E9CC9F1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Tendencia ↓</w:t>
      </w:r>
    </w:p>
    <w:p w14:paraId="0FFC0A54" w14:textId="77777777" w:rsidR="00474495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Trimestral</w:t>
      </w:r>
    </w:p>
    <w:p w14:paraId="167FADED" w14:textId="77777777" w:rsidR="004B000C" w:rsidRPr="004B000C" w:rsidRDefault="004B000C">
      <w:pPr>
        <w:rPr>
          <w:rFonts w:ascii="Arial" w:hAnsi="Arial" w:cs="Arial"/>
        </w:rPr>
      </w:pPr>
    </w:p>
    <w:p w14:paraId="53250205" w14:textId="77777777" w:rsidR="00474495" w:rsidRDefault="00000000">
      <w:pPr>
        <w:rPr>
          <w:rFonts w:ascii="Arial" w:hAnsi="Arial" w:cs="Arial"/>
          <w:b/>
        </w:rPr>
      </w:pPr>
      <w:r w:rsidRPr="004B000C">
        <w:rPr>
          <w:rFonts w:ascii="Arial" w:hAnsi="Arial" w:cs="Arial"/>
          <w:b/>
        </w:rPr>
        <w:t>5. METODOLOGÍA DE SEGUIMIENTO</w:t>
      </w:r>
    </w:p>
    <w:p w14:paraId="27C23B4B" w14:textId="77777777" w:rsidR="004B000C" w:rsidRPr="004B000C" w:rsidRDefault="004B000C">
      <w:pPr>
        <w:rPr>
          <w:rFonts w:ascii="Arial" w:hAnsi="Arial" w:cs="Arial"/>
        </w:rPr>
      </w:pPr>
    </w:p>
    <w:p w14:paraId="4DCB5AEC" w14:textId="77777777" w:rsidR="00474495" w:rsidRPr="004B000C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 xml:space="preserve">• El </w:t>
      </w:r>
      <w:proofErr w:type="gramStart"/>
      <w:r w:rsidRPr="004B000C">
        <w:rPr>
          <w:rFonts w:ascii="Arial" w:hAnsi="Arial" w:cs="Arial"/>
        </w:rPr>
        <w:t>Responsable</w:t>
      </w:r>
      <w:proofErr w:type="gramEnd"/>
      <w:r w:rsidRPr="004B000C">
        <w:rPr>
          <w:rFonts w:ascii="Arial" w:hAnsi="Arial" w:cs="Arial"/>
        </w:rPr>
        <w:t xml:space="preserve"> SST recopilará mensualmente los datos necesarios para calcular los indicadores.</w:t>
      </w:r>
    </w:p>
    <w:p w14:paraId="0D6BF929" w14:textId="77777777" w:rsidR="00474495" w:rsidRPr="004B000C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>• Los indicadores se registrarán en el FR-9.1-01 Tablero de Indicadores SST y se informarán a la Gerencia.</w:t>
      </w:r>
    </w:p>
    <w:p w14:paraId="0242632E" w14:textId="77777777" w:rsidR="00474495" w:rsidRPr="004B000C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 xml:space="preserve">• Cuando un indicador supere el límite de alerta (75% de la meta), el </w:t>
      </w:r>
      <w:proofErr w:type="gramStart"/>
      <w:r w:rsidRPr="004B000C">
        <w:rPr>
          <w:rFonts w:ascii="Arial" w:hAnsi="Arial" w:cs="Arial"/>
        </w:rPr>
        <w:t>Responsable</w:t>
      </w:r>
      <w:proofErr w:type="gramEnd"/>
      <w:r w:rsidRPr="004B000C">
        <w:rPr>
          <w:rFonts w:ascii="Arial" w:hAnsi="Arial" w:cs="Arial"/>
        </w:rPr>
        <w:t xml:space="preserve"> SST iniciará una investigación de causa y definirá acciones (PR-15).</w:t>
      </w:r>
    </w:p>
    <w:p w14:paraId="47E3818D" w14:textId="77777777" w:rsidR="00474495" w:rsidRPr="004B000C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>• Los datos se presentarán en reuniones de revisión por la Dirección (PR-14) con tendencia histórica y análisis de causas.</w:t>
      </w:r>
    </w:p>
    <w:p w14:paraId="7DEDCDA5" w14:textId="77777777" w:rsidR="00474495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>• Los indicadores anuales se utilizarán para actualizar los objetivos del siguiente ciclo (PR-06).</w:t>
      </w:r>
    </w:p>
    <w:p w14:paraId="28104E41" w14:textId="77777777" w:rsidR="004B000C" w:rsidRPr="004B000C" w:rsidRDefault="004B000C">
      <w:pPr>
        <w:ind w:left="283"/>
        <w:rPr>
          <w:rFonts w:ascii="Arial" w:hAnsi="Arial" w:cs="Arial"/>
        </w:rPr>
      </w:pPr>
    </w:p>
    <w:p w14:paraId="26F73877" w14:textId="77777777" w:rsidR="00474495" w:rsidRDefault="00000000">
      <w:pPr>
        <w:rPr>
          <w:rFonts w:ascii="Arial" w:hAnsi="Arial" w:cs="Arial"/>
          <w:b/>
        </w:rPr>
      </w:pPr>
      <w:r w:rsidRPr="004B000C">
        <w:rPr>
          <w:rFonts w:ascii="Arial" w:hAnsi="Arial" w:cs="Arial"/>
          <w:b/>
        </w:rPr>
        <w:t>6. EVALUACIÓN DEL CUMPLIMIENTO LEGAL</w:t>
      </w:r>
    </w:p>
    <w:p w14:paraId="7829C5F9" w14:textId="77777777" w:rsidR="004B000C" w:rsidRPr="004B000C" w:rsidRDefault="004B000C">
      <w:pPr>
        <w:rPr>
          <w:rFonts w:ascii="Arial" w:hAnsi="Arial" w:cs="Arial"/>
        </w:rPr>
      </w:pPr>
    </w:p>
    <w:p w14:paraId="753DFB14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 xml:space="preserve">Al menos semestralmente, el </w:t>
      </w:r>
      <w:proofErr w:type="gramStart"/>
      <w:r w:rsidRPr="004B000C">
        <w:rPr>
          <w:rFonts w:ascii="Arial" w:hAnsi="Arial" w:cs="Arial"/>
        </w:rPr>
        <w:t>Responsable</w:t>
      </w:r>
      <w:proofErr w:type="gramEnd"/>
      <w:r w:rsidRPr="004B000C">
        <w:rPr>
          <w:rFonts w:ascii="Arial" w:hAnsi="Arial" w:cs="Arial"/>
        </w:rPr>
        <w:t xml:space="preserve"> SST evaluará el grado de cumplimiento de los requisitos legales identificados en PR-05. El resultado se registrará en la Matriz de Requisitos Legales (FR-36-01) indicando:</w:t>
      </w:r>
    </w:p>
    <w:p w14:paraId="65D623E7" w14:textId="77777777" w:rsidR="00474495" w:rsidRPr="004B000C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>• Requisito evaluado y norma de referencia.</w:t>
      </w:r>
    </w:p>
    <w:p w14:paraId="632C35A6" w14:textId="77777777" w:rsidR="00474495" w:rsidRPr="004B000C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>• Criterio de cumplimiento.</w:t>
      </w:r>
    </w:p>
    <w:p w14:paraId="32130E40" w14:textId="77777777" w:rsidR="00474495" w:rsidRPr="004B000C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>• Estado: Cumple / No cumple / Cumple parcialmente.</w:t>
      </w:r>
    </w:p>
    <w:p w14:paraId="20168B23" w14:textId="77777777" w:rsidR="00474495" w:rsidRDefault="00000000">
      <w:pPr>
        <w:ind w:left="283"/>
        <w:rPr>
          <w:rFonts w:ascii="Arial" w:hAnsi="Arial" w:cs="Arial"/>
        </w:rPr>
      </w:pPr>
      <w:r w:rsidRPr="004B000C">
        <w:rPr>
          <w:rFonts w:ascii="Arial" w:hAnsi="Arial" w:cs="Arial"/>
        </w:rPr>
        <w:t>• Acción correctiva o de mejora si aplica (PR-15).</w:t>
      </w:r>
    </w:p>
    <w:p w14:paraId="1B7C0552" w14:textId="77777777" w:rsidR="004B000C" w:rsidRPr="004B000C" w:rsidRDefault="004B000C">
      <w:pPr>
        <w:ind w:left="283"/>
        <w:rPr>
          <w:rFonts w:ascii="Arial" w:hAnsi="Arial" w:cs="Arial"/>
        </w:rPr>
      </w:pPr>
    </w:p>
    <w:p w14:paraId="1BE4880C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7. REGISTROS</w:t>
      </w:r>
    </w:p>
    <w:p w14:paraId="2943EF08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Código</w:t>
      </w:r>
    </w:p>
    <w:p w14:paraId="2E35C200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Registro</w:t>
      </w:r>
    </w:p>
    <w:p w14:paraId="5F604766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Responsable</w:t>
      </w:r>
    </w:p>
    <w:p w14:paraId="0BA00640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Retención</w:t>
      </w:r>
    </w:p>
    <w:p w14:paraId="151C71D6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FR-9.1-01</w:t>
      </w:r>
    </w:p>
    <w:p w14:paraId="7F47D523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Tablero de Indicadores SST</w:t>
      </w:r>
    </w:p>
    <w:p w14:paraId="01C89AFA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Responsable SST</w:t>
      </w:r>
    </w:p>
    <w:p w14:paraId="07EE14A8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5 años</w:t>
      </w:r>
    </w:p>
    <w:p w14:paraId="539B2E79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FR-36-01</w:t>
      </w:r>
    </w:p>
    <w:p w14:paraId="0352C6B2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Matriz de Requisitos Legales</w:t>
      </w:r>
    </w:p>
    <w:p w14:paraId="199D50B1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Responsable SST</w:t>
      </w:r>
    </w:p>
    <w:p w14:paraId="432D485B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Permanente</w:t>
      </w:r>
    </w:p>
    <w:p w14:paraId="3B3DA26D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—</w:t>
      </w:r>
    </w:p>
    <w:p w14:paraId="468D017F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lastRenderedPageBreak/>
        <w:t>Informes mensuales de desempeño SST</w:t>
      </w:r>
    </w:p>
    <w:p w14:paraId="2A7F2D12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Responsable SST</w:t>
      </w:r>
    </w:p>
    <w:p w14:paraId="6BF0CD66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5 años</w:t>
      </w:r>
    </w:p>
    <w:p w14:paraId="1004B54C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FR-38-01</w:t>
      </w:r>
    </w:p>
    <w:p w14:paraId="1FABE62D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Actas de revisión por la Dirección</w:t>
      </w:r>
    </w:p>
    <w:p w14:paraId="20A9FD5A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Gerencia / SST</w:t>
      </w:r>
    </w:p>
    <w:p w14:paraId="34693798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5 años</w:t>
      </w:r>
    </w:p>
    <w:p w14:paraId="43868A26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8. HISTORIAL DE REVISIONES</w:t>
      </w:r>
    </w:p>
    <w:p w14:paraId="1B6EBC08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Versión</w:t>
      </w:r>
    </w:p>
    <w:p w14:paraId="02304BC9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Fecha</w:t>
      </w:r>
    </w:p>
    <w:p w14:paraId="11D81F6F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Descripción</w:t>
      </w:r>
    </w:p>
    <w:p w14:paraId="2B3AAEC2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  <w:b/>
        </w:rPr>
        <w:t>Autor</w:t>
      </w:r>
    </w:p>
    <w:p w14:paraId="054F1342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01</w:t>
      </w:r>
    </w:p>
    <w:p w14:paraId="45A28918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Marzo 2026</w:t>
      </w:r>
    </w:p>
    <w:p w14:paraId="07722774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Emisión inicial</w:t>
      </w:r>
    </w:p>
    <w:p w14:paraId="4160366D" w14:textId="77777777" w:rsidR="00474495" w:rsidRPr="004B000C" w:rsidRDefault="00000000">
      <w:pPr>
        <w:rPr>
          <w:rFonts w:ascii="Arial" w:hAnsi="Arial" w:cs="Arial"/>
        </w:rPr>
      </w:pPr>
      <w:r w:rsidRPr="004B000C">
        <w:rPr>
          <w:rFonts w:ascii="Arial" w:hAnsi="Arial" w:cs="Arial"/>
        </w:rPr>
        <w:t>Responsable SST</w:t>
      </w:r>
    </w:p>
    <w:p w14:paraId="2314D0A9" w14:textId="77777777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 w:rsidRPr="004B000C">
        <w:rPr>
          <w:rFonts w:ascii="Arial" w:hAnsi="Arial" w:cs="Arial"/>
          <w:b/>
          <w:bCs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1F01112C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095ADCC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939531C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7363781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5FC4401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9C9A2AB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7725ED4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69ACA349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7C5C34B9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06FC7CCF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1F4CD10A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60FC3D2E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47C3F1AA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31AEC70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7AED4AD1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7DAFE4ED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785FA6B3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088B06DC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892D3B4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13D0798F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FD41C45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474D5B2F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FEE438B" w14:textId="77777777" w:rsidR="4D9F759E" w:rsidRDefault="4D9F759E"/>
    <w:p w14:paraId="52A2179E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2F70E65C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194228B9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1CD6B871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1A20F7C2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7DCD89F1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5131D2CB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7F70937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1D6E7899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746E8A1C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4FB543D0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77F77546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6B5B0227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321544BF" w14:textId="77777777" w:rsidR="4D9F759E" w:rsidRDefault="4D9F759E"/>
    <w:p w14:paraId="74FB31F1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63B7F398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34F7B429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2308F09A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29030A61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74B1FB2F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6AFE3302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7D73F760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1DC75A0B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03D626F9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49A1E32A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294B1C0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0932E37A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4E61BE7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6AC95AD6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49AEAF7D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4D8F300B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7B57EDBA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004D6BC2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352B99F0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64BD6953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17E74E9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7747E5AA" w14:textId="77777777" w:rsidR="00E3521B" w:rsidRDefault="00E3521B" w:rsidP="00E3521B"/>
    <w:p w14:paraId="1C429695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0C007" w14:textId="77777777" w:rsidR="009F3C1C" w:rsidRDefault="009F3C1C">
      <w:r>
        <w:separator/>
      </w:r>
    </w:p>
  </w:endnote>
  <w:endnote w:type="continuationSeparator" w:id="0">
    <w:p w14:paraId="6A61A6C0" w14:textId="77777777" w:rsidR="009F3C1C" w:rsidRDefault="009F3C1C">
      <w:r>
        <w:continuationSeparator/>
      </w:r>
    </w:p>
  </w:endnote>
  <w:endnote w:type="continuationNotice" w:id="1">
    <w:p w14:paraId="253FA488" w14:textId="77777777" w:rsidR="009F3C1C" w:rsidRDefault="009F3C1C"/>
  </w:endnote>
</w:endnote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5326E8B7" w14:textId="77777777" w:rsidTr="00081B0D">
      <w:tc>
        <w:tcPr>
          <w:tcW w:w="6309" w:type="dxa"/>
          <w:vAlign w:val="center"/>
        </w:tcPr>
        <w:p w14:paraId="2634144C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36FB64FA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655D9B97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16BA8DCC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08107" w14:textId="77777777" w:rsidR="009F3C1C" w:rsidRDefault="009F3C1C">
      <w:r>
        <w:separator/>
      </w:r>
    </w:p>
  </w:footnote>
  <w:footnote w:type="continuationSeparator" w:id="0">
    <w:p w14:paraId="3D6DB063" w14:textId="77777777" w:rsidR="009F3C1C" w:rsidRDefault="009F3C1C">
      <w:r>
        <w:continuationSeparator/>
      </w:r>
    </w:p>
  </w:footnote>
  <w:footnote w:type="continuationNotice" w:id="1">
    <w:p w14:paraId="1304B8E3" w14:textId="77777777" w:rsidR="009F3C1C" w:rsidRDefault="009F3C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5D06044D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1CEEBF27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0E280EF1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31D1E9E0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PR-12</w:t>
          </w:r>
        </w:p>
      </w:tc>
    </w:tr>
    <w:tr w:rsidR="003C3D7E" w14:paraId="2F47E8EE" w14:textId="77777777" w:rsidTr="3EBEE504">
      <w:trPr>
        <w:cantSplit/>
        <w:trHeight w:val="625"/>
      </w:trPr>
      <w:tc>
        <w:tcPr>
          <w:tcW w:w="1118" w:type="pct"/>
          <w:vMerge/>
        </w:tcPr>
        <w:p w14:paraId="4ADFD437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07DD1E72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Seguimiento, Medición e Indicadores</w:t>
          </w:r>
        </w:p>
      </w:tc>
      <w:tc>
        <w:tcPr>
          <w:tcW w:w="1045" w:type="pct"/>
          <w:vAlign w:val="center"/>
        </w:tcPr>
        <w:p w14:paraId="48E5B46F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74BFCDCC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495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000C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3C1C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247B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F9A10"/>
  <w15:docId w15:val="{3B676D11-5B4F-4B29-9AC7-DDBF5AD74D3A}"/>
</w: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299CB8B6-DAFB-4C56-8F20-1CE7B541D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6af3c6-6506-406f-906a-363a197505cb"/>
    <ds:schemaRef ds:uri="bb2b36ed-bee3-4b57-9f16-23d26e905e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F5A8E8A-3EF2-4D10-A965-887756C91E40}"/>
</file>

<file path=customXml/itemProps6.xml><?xml version="1.0" encoding="utf-8"?>
<ds:datastoreItem xmlns:ds="http://schemas.openxmlformats.org/officeDocument/2006/customXml" ds:itemID="{5C9F4F0C-0B93-4BF5-8900-5C2C0D778DEC}"/>
</file>

<file path=customXml/itemProps7.xml><?xml version="1.0" encoding="utf-8"?>
<ds:datastoreItem xmlns:ds="http://schemas.openxmlformats.org/officeDocument/2006/customXml" ds:itemID="{503A83A4-8529-489D-A94C-70AC44373192}"/>
</file>

<file path=customXml/itemProps8.xml><?xml version="1.0" encoding="utf-8"?>
<ds:datastoreItem xmlns:ds="http://schemas.openxmlformats.org/officeDocument/2006/customXml" ds:itemID="{2DD89FFF-969A-478F-8D5D-50ADBA8EF1CB}"/>
</file>

<file path=docProps/custo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</Properties>
</file>