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39C8" w14:textId="047655FC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689B8F56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>
      <w:r>
        <w:rPr>
          <w:sz w:val="20"/>
        </w:rPr>
        <w:t>Establecer la Política de Seguridad y Salud en el Trabajo de MAXIMIA S.A., el compromiso de la Alta Dirección y la estructura de roles y responsabilidades del SG-SST.</w:t>
      </w:r>
    </w:p>
    <w:p w14:paraId="342FBE75" w14:textId="32D6B614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  <w:r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>
      <w:r>
        <w:rPr>
          <w:sz w:val="20"/>
        </w:rPr>
        <w:t>Aplica a todo el personal propio, eventual y tercerizado bajo control operativo de MAXIMIA S.A., en todos sus servicios y contratos activos.</w:t>
      </w:r>
    </w:p>
    <w:p w14:paraId="7B853A99" w14:textId="6D5B7CB0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>
      <w:r>
        <w:rPr>
          <w:b/>
          <w:color w:val="0D3D6B"/>
          <w:sz w:val="22"/>
        </w:rPr>
        <w:t>3. POLÍTICA DE HIGIENE Y SEGURIDAD EN EL TRABAJO</w:t>
      </w:r>
    </w:p>
    <w:p>
      <w:r>
        <w:rPr>
          <w:sz w:val="20"/>
        </w:rPr>
        <w:t>MAXIMIA S.A. declara su compromiso con la protección de la vida, la salud y la integridad física de todos sus trabajadores y terceros bajo su control. La dirección asume que:</w:t>
      </w:r>
    </w:p>
    <w:p>
      <w:pPr>
        <w:ind w:left="283"/>
      </w:pPr>
      <w:r>
        <w:rPr>
          <w:sz w:val="20"/>
        </w:rPr>
        <w:t>• Ningún trabajo es tan urgente que justifique realizarlo de manera insegura.</w:t>
      </w:r>
    </w:p>
    <w:p>
      <w:pPr>
        <w:ind w:left="283"/>
      </w:pPr>
      <w:r>
        <w:rPr>
          <w:sz w:val="20"/>
        </w:rPr>
        <w:t>• Todos los accidentes son evitables y deben ser prevenidos.</w:t>
      </w:r>
    </w:p>
    <w:p>
      <w:pPr>
        <w:ind w:left="283"/>
      </w:pPr>
      <w:r>
        <w:rPr>
          <w:sz w:val="20"/>
        </w:rPr>
        <w:t>• La prevención es una obligación de todos, en todos los niveles de la organización.</w:t>
      </w:r>
    </w:p>
    <w:p>
      <w:pPr>
        <w:ind w:left="283"/>
      </w:pPr>
      <w:r>
        <w:rPr>
          <w:sz w:val="20"/>
        </w:rPr>
        <w:t>• Se cumplirán o superarán las disposiciones de la legislación vigente (Ley 19.587, Decreto 351/79, Ley 24.557 y normativa SRT aplicable).</w:t>
      </w:r>
    </w:p>
    <w:p>
      <w:pPr>
        <w:ind w:left="283"/>
      </w:pPr>
      <w:r>
        <w:rPr>
          <w:sz w:val="20"/>
        </w:rPr>
        <w:t>• Se identificarán peligros, evaluarán riesgos y establecerán controles adecuados en todas las actividades.</w:t>
      </w:r>
    </w:p>
    <w:p>
      <w:pPr>
        <w:ind w:left="283"/>
      </w:pPr>
      <w:r>
        <w:rPr>
          <w:sz w:val="20"/>
        </w:rPr>
        <w:t>• Se garantizará la participación y consulta de los trabajadores en materia de SST.</w:t>
      </w:r>
    </w:p>
    <w:p>
      <w:pPr>
        <w:ind w:left="283"/>
      </w:pPr>
      <w:r>
        <w:rPr>
          <w:sz w:val="20"/>
        </w:rPr>
        <w:t>• Se asignarán los recursos necesarios para la implementación y mejora continua del SG-SST.</w:t>
      </w:r>
    </w:p>
    <w:p>
      <w:pPr>
        <w:ind w:left="283"/>
      </w:pPr>
      <w:r>
        <w:rPr>
          <w:sz w:val="20"/>
        </w:rPr>
        <w:t>• Se promoverá una cultura preventiva basada en liderazgo visible y responsabilidad compartida.</w:t>
      </w:r>
    </w:p>
    <w:p>
      <w:r>
        <w:rPr>
          <w:b/>
          <w:color w:val="0D3D6B"/>
          <w:sz w:val="22"/>
        </w:rPr>
        <w:t>4. POLÍTICA DE SUSPENSIÓN DE TAREAS</w:t>
      </w:r>
    </w:p>
    <w:p>
      <w:r>
        <w:rPr>
          <w:sz w:val="20"/>
        </w:rPr>
        <w:t>Todo trabajador de MAXIMIA S.A. tiene el DERECHO y el DEBER de detener cualquier tarea cuando identifique condiciones o actos inseguros que pongan en riesgo su integridad o la de sus compañeros. La suspensión de tareas no tendrá consecuencias negativas para quien la ejerza de buena fe. La tarea solo podrá reanudarse cuando la condición insegura haya sido corregida y autorizada por el Responsable de SST.</w:t>
      </w:r>
    </w:p>
    <w:p>
      <w:r>
        <w:rPr>
          <w:b/>
          <w:color w:val="0D3D6B"/>
          <w:sz w:val="22"/>
        </w:rPr>
        <w:t>5. DECLARACIÓN DE COMPROMISO DE LA ALTA DIRECCIÓN</w:t>
      </w:r>
    </w:p>
    <w:p>
      <w:r>
        <w:rPr>
          <w:sz w:val="20"/>
        </w:rPr>
        <w:t>La Dirección General de MAXIMIA S.A. se compromete formalmente a:</w:t>
      </w:r>
    </w:p>
    <w:p>
      <w:pPr>
        <w:ind w:left="283"/>
      </w:pPr>
      <w:r>
        <w:rPr>
          <w:sz w:val="20"/>
        </w:rPr>
        <w:t>• Liderar el SG-SST con presencia visible en campo (Visitas Gerenciales – PR-14).</w:t>
      </w:r>
    </w:p>
    <w:p>
      <w:pPr>
        <w:ind w:left="283"/>
      </w:pPr>
      <w:r>
        <w:rPr>
          <w:sz w:val="20"/>
        </w:rPr>
        <w:t>• Revisar el sistema al menos una vez al año (Revisión por la Dirección – PR-14).</w:t>
      </w:r>
    </w:p>
    <w:p>
      <w:pPr>
        <w:ind w:left="283"/>
      </w:pPr>
      <w:r>
        <w:rPr>
          <w:sz w:val="20"/>
        </w:rPr>
        <w:t>• Asegurar los recursos humanos, técnicos y económicos para el funcionamiento del sistema.</w:t>
      </w:r>
    </w:p>
    <w:p>
      <w:pPr>
        <w:ind w:left="283"/>
      </w:pPr>
      <w:r>
        <w:rPr>
          <w:sz w:val="20"/>
        </w:rPr>
        <w:t>• Comunicar la política a todo el personal y partes interesadas.</w:t>
      </w:r>
    </w:p>
    <w:p>
      <w:pPr>
        <w:ind w:left="283"/>
      </w:pPr>
      <w:r>
        <w:rPr>
          <w:sz w:val="20"/>
        </w:rPr>
        <w:t>• Establecer objetivos medibles y hacer seguimiento de su cumplimiento (PR-06).</w:t>
      </w:r>
    </w:p>
    <w:p>
      <w:r>
        <w:rPr>
          <w:b/>
          <w:color w:val="0D3D6B"/>
          <w:sz w:val="22"/>
        </w:rPr>
        <w:t>6. ROLES Y RESPONSABILIDADES</w:t>
      </w:r>
    </w:p>
    <w:p>
      <w:r>
        <w:rPr>
          <w:b/>
          <w:color w:val="1F5C99"/>
          <w:sz w:val="20"/>
        </w:rPr>
        <w:t>6.1 Alta Dirección / Gerencia General</w:t>
      </w:r>
    </w:p>
    <w:p>
      <w:pPr>
        <w:ind w:left="283"/>
      </w:pPr>
      <w:r>
        <w:rPr>
          <w:sz w:val="20"/>
        </w:rPr>
        <w:t>• Aprobar y comunicar la Política SST.</w:t>
      </w:r>
    </w:p>
    <w:p>
      <w:pPr>
        <w:ind w:left="283"/>
      </w:pPr>
      <w:r>
        <w:rPr>
          <w:sz w:val="20"/>
        </w:rPr>
        <w:t>• Presidir la Revisión por la Dirección (PR-14).</w:t>
      </w:r>
    </w:p>
    <w:p>
      <w:pPr>
        <w:ind w:left="283"/>
      </w:pPr>
      <w:r>
        <w:rPr>
          <w:sz w:val="20"/>
        </w:rPr>
        <w:t>• Asignar recursos para el SG-SST.</w:t>
      </w:r>
    </w:p>
    <w:p>
      <w:pPr>
        <w:ind w:left="283"/>
      </w:pPr>
      <w:r>
        <w:rPr>
          <w:sz w:val="20"/>
        </w:rPr>
        <w:t>• Demostrar liderazgo visible en seguridad.</w:t>
      </w:r>
    </w:p>
    <w:p>
      <w:r>
        <w:rPr>
          <w:b/>
          <w:color w:val="1F5C99"/>
          <w:sz w:val="20"/>
        </w:rPr>
        <w:t>6.2 Responsable de EHS / SST</w:t>
      </w:r>
    </w:p>
    <w:p>
      <w:pPr>
        <w:ind w:left="283"/>
      </w:pPr>
      <w:r>
        <w:rPr>
          <w:sz w:val="20"/>
        </w:rPr>
        <w:t>• Implementar, mantener y mejorar el SG-SST.</w:t>
      </w:r>
    </w:p>
    <w:p>
      <w:pPr>
        <w:ind w:left="283"/>
      </w:pPr>
      <w:r>
        <w:rPr>
          <w:sz w:val="20"/>
        </w:rPr>
        <w:t>• Asesorar a la línea operativa en materia de SST.</w:t>
      </w:r>
    </w:p>
    <w:p>
      <w:pPr>
        <w:ind w:left="283"/>
      </w:pPr>
      <w:r>
        <w:rPr>
          <w:sz w:val="20"/>
        </w:rPr>
        <w:t>• Planificar y ejecutar inspecciones, capacitaciones y auditorías.</w:t>
      </w:r>
    </w:p>
    <w:p>
      <w:pPr>
        <w:ind w:left="283"/>
      </w:pPr>
      <w:r>
        <w:rPr>
          <w:sz w:val="20"/>
        </w:rPr>
        <w:t>• Elaborar indicadores e informes de desempeño (PR-12).</w:t>
      </w:r>
    </w:p>
    <w:p>
      <w:pPr>
        <w:ind w:left="283"/>
      </w:pPr>
      <w:r>
        <w:rPr>
          <w:sz w:val="20"/>
        </w:rPr>
        <w:t>• Gestionar el cumplimiento legal (PR-05).</w:t>
      </w:r>
    </w:p>
    <w:p>
      <w:r>
        <w:rPr>
          <w:b/>
          <w:color w:val="1F5C99"/>
          <w:sz w:val="20"/>
        </w:rPr>
        <w:t>6.3 Supervisores / Jefes de Servicio</w:t>
      </w:r>
    </w:p>
    <w:p>
      <w:pPr>
        <w:ind w:left="283"/>
      </w:pPr>
      <w:r>
        <w:rPr>
          <w:sz w:val="20"/>
        </w:rPr>
        <w:t>• Garantizar condiciones seguras de trabajo en su área.</w:t>
      </w:r>
    </w:p>
    <w:p>
      <w:pPr>
        <w:ind w:left="283"/>
      </w:pPr>
      <w:r>
        <w:rPr>
          <w:sz w:val="20"/>
        </w:rPr>
        <w:t>• Reportar incidentes y condiciones inseguras (PR-15).</w:t>
      </w:r>
    </w:p>
    <w:p>
      <w:pPr>
        <w:ind w:left="283"/>
      </w:pPr>
      <w:r>
        <w:rPr>
          <w:sz w:val="20"/>
        </w:rPr>
        <w:t>• Asegurar que el personal bajo su cargo cuente con la capacitación e inducción requerida (PR-07).</w:t>
      </w:r>
    </w:p>
    <w:p>
      <w:pPr>
        <w:ind w:left="283"/>
      </w:pPr>
      <w:r>
        <w:rPr>
          <w:sz w:val="20"/>
        </w:rPr>
        <w:t>• Hacer cumplir los procedimientos operativos (PR-10).</w:t>
      </w:r>
    </w:p>
    <w:p>
      <w:r>
        <w:rPr>
          <w:b/>
          <w:color w:val="1F5C99"/>
          <w:sz w:val="20"/>
        </w:rPr>
        <w:t>6.4 Trabajadores</w:t>
      </w:r>
    </w:p>
    <w:p>
      <w:pPr>
        <w:ind w:left="283"/>
      </w:pPr>
      <w:r>
        <w:rPr>
          <w:sz w:val="20"/>
        </w:rPr>
        <w:t>• Cumplir con los procedimientos y normas de seguridad establecidos.</w:t>
      </w:r>
    </w:p>
    <w:p>
      <w:pPr>
        <w:ind w:left="283"/>
      </w:pPr>
      <w:r>
        <w:rPr>
          <w:sz w:val="20"/>
        </w:rPr>
        <w:t>• Utilizar correctamente los EPP provistos.</w:t>
      </w:r>
    </w:p>
    <w:p>
      <w:pPr>
        <w:ind w:left="283"/>
      </w:pPr>
      <w:r>
        <w:rPr>
          <w:sz w:val="20"/>
        </w:rPr>
        <w:t>• Reportar todo incidente, condición o acto inseguro.</w:t>
      </w:r>
    </w:p>
    <w:p>
      <w:pPr>
        <w:ind w:left="283"/>
      </w:pPr>
      <w:r>
        <w:rPr>
          <w:sz w:val="20"/>
        </w:rPr>
        <w:t>• Ejercer el derecho a la suspensión de tareas ante situaciones de riesgo.</w:t>
      </w:r>
    </w:p>
    <w:p>
      <w:r>
        <w:rPr>
          <w:b/>
          <w:color w:val="0D3D6B"/>
          <w:sz w:val="22"/>
        </w:rPr>
        <w:t>7. DOCUMENTOS RELACIONADOS</w:t>
      </w:r>
    </w:p>
    <w:p>
      <w:pPr>
        <w:ind w:left="283"/>
      </w:pPr>
      <w:r>
        <w:rPr>
          <w:sz w:val="20"/>
        </w:rPr>
        <w:t>• PR-02 – Alcance del Sistema SST</w:t>
      </w:r>
    </w:p>
    <w:p>
      <w:pPr>
        <w:ind w:left="283"/>
      </w:pPr>
      <w:r>
        <w:rPr>
          <w:sz w:val="20"/>
        </w:rPr>
        <w:t>• PR-03 – Contexto y Partes Interesadas</w:t>
      </w:r>
    </w:p>
    <w:p>
      <w:pPr>
        <w:ind w:left="283"/>
      </w:pPr>
      <w:r>
        <w:rPr>
          <w:sz w:val="20"/>
        </w:rPr>
        <w:t>• PR-04 – IPER</w:t>
      </w:r>
    </w:p>
    <w:p>
      <w:pPr>
        <w:ind w:left="283"/>
      </w:pPr>
      <w:r>
        <w:rPr>
          <w:sz w:val="20"/>
        </w:rPr>
        <w:t>• PR-06 – Objetivos, Metas e Indicadores</w:t>
      </w:r>
    </w:p>
    <w:p>
      <w:pPr>
        <w:ind w:left="283"/>
      </w:pPr>
      <w:r>
        <w:rPr>
          <w:sz w:val="20"/>
        </w:rPr>
        <w:t>• PR-14 – Revisión por la Dirección</w:t>
      </w:r>
    </w:p>
    <w:p w14:paraId="2F812E4F" w14:textId="492D9F3A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3DA67EB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DA469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D404E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CCBBCF" w14:textId="4D40AD6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64D95E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7D282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7AFBA0" w14:textId="465C8B62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0613E23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12EFCD6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B86E4D2" w14:textId="2268D9CF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A2A07A1" w14:textId="165A5A4A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9A45B80" w14:textId="70A7D4A5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09C9559" w14:textId="343AFEF1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136FD8" w14:textId="011C62A6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A90CD1A" w14:textId="44572D74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7628CF59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0479871" w14:textId="69858D59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AFFD5E" w14:textId="6BBBD309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B97E294" w14:textId="27EE100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CDC2306" w14:textId="2CBC218A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38A686" w14:textId="490D54DD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C593A92" w14:textId="5C7F1ED5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4CB8B43" w14:textId="02C5CD43" w:rsidR="4D9F759E" w:rsidRDefault="4D9F759E"/>
    <w:p w14:paraId="6210BC4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7C1CAE7" w14:textId="3F69DE0B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15A2CF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E864451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B7B04D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2975D6D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8C0DAE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99B1BC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4410A0B6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0ACE2FBD" w14:textId="67D7444E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30A24C0" w14:textId="419BB372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730B157" w14:textId="4864425F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02103D69" w14:textId="49530EC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4019CB1" w14:textId="650B01E2" w:rsidR="4D9F759E" w:rsidRDefault="4D9F759E"/>
    <w:p w14:paraId="027B772E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597BFEE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A827B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9AAEB5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D1396A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387CFB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C38CFA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CE440D4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AC7DA4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000E93CB" w14:textId="4E57EC3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A4881BA" w14:textId="02B167A2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A59223" w14:textId="66A27D65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601C3A8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B97BF02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0787A033" w14:textId="1C15A51A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9196A5D" w14:textId="666753EF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F126792" w14:textId="247E25D6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16A64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5FF56B8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1FAE915C" w14:textId="563721B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70B38F6" w14:textId="250BF15C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494F43B" w14:textId="126AC116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99DB5DA" w14:textId="77777777" w:rsidR="00E3521B" w:rsidRDefault="00E3521B" w:rsidP="00E3521B"/>
    <w:p w14:paraId="4E180F00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6BDD" w14:textId="77777777" w:rsidR="00431F37" w:rsidRDefault="00431F37">
      <w:r>
        <w:separator/>
      </w:r>
    </w:p>
  </w:endnote>
  <w:endnote w:type="continuationSeparator" w:id="0">
    <w:p w14:paraId="73C1CC4E" w14:textId="77777777" w:rsidR="00431F37" w:rsidRDefault="00431F37">
      <w:r>
        <w:continuationSeparator/>
      </w:r>
    </w:p>
  </w:endnote>
  <w:endnote w:type="continuationNotice" w:id="1">
    <w:p w14:paraId="489CB4D7" w14:textId="77777777" w:rsidR="00431F37" w:rsidRDefault="00431F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2D1F0AE" w14:textId="77777777" w:rsidTr="00081B0D">
      <w:tc>
        <w:tcPr>
          <w:tcW w:w="6309" w:type="dxa"/>
          <w:vAlign w:val="center"/>
        </w:tcPr>
        <w:p w14:paraId="35950818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49DBE1C4" w14:textId="316455EA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3710B7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B0B273D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843A" w14:textId="77777777" w:rsidR="00431F37" w:rsidRDefault="00431F37">
      <w:r>
        <w:separator/>
      </w:r>
    </w:p>
  </w:footnote>
  <w:footnote w:type="continuationSeparator" w:id="0">
    <w:p w14:paraId="5437D218" w14:textId="77777777" w:rsidR="00431F37" w:rsidRDefault="00431F37">
      <w:r>
        <w:continuationSeparator/>
      </w:r>
    </w:p>
  </w:footnote>
  <w:footnote w:type="continuationNotice" w:id="1">
    <w:p w14:paraId="656F8569" w14:textId="77777777" w:rsidR="00431F37" w:rsidRDefault="00431F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1006A9A9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9013AF7" w14:textId="43DAAE96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F3FC709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CC36BAE" w14:textId="0DEB327F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 xml:space="preserve">PR-01</w:t>
          </w:r>
        </w:p>
      </w:tc>
    </w:tr>
    <w:tr w:rsidR="003C3D7E" w14:paraId="4FB7F9F1" w14:textId="77777777" w:rsidTr="3EBEE504">
      <w:trPr>
        <w:cantSplit/>
        <w:trHeight w:val="625"/>
      </w:trPr>
      <w:tc>
        <w:tcPr>
          <w:tcW w:w="1118" w:type="pct"/>
          <w:vMerge/>
        </w:tcPr>
        <w:p w14:paraId="6AA77BC1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36438044" w14:textId="480FA986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Política y Dirección SST</w:t>
          </w:r>
        </w:p>
      </w:tc>
      <w:tc>
        <w:tcPr>
          <w:tcW w:w="1045" w:type="pct"/>
          <w:vAlign w:val="center"/>
        </w:tcPr>
        <w:p w14:paraId="569C92C9" w14:textId="1BE765A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5FFC72FB" w14:textId="2138DAFC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DEDFF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Props1.xml><?xml version="1.0" encoding="utf-8"?>
<ds:datastoreItem xmlns:ds="http://schemas.openxmlformats.org/officeDocument/2006/customXml" ds:itemID="{B10E9D0A-80B0-42A9-A594-73A4E254CE83}"/>
</file>

<file path=customXml/itemProps2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