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7515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5A5C498B" w14:textId="77777777" w:rsidR="00DB6D2B" w:rsidRPr="004B3B5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4B3B5B">
        <w:rPr>
          <w:rFonts w:ascii="Arial" w:hAnsi="Arial" w:cs="Arial"/>
          <w:b/>
          <w:bCs/>
          <w:u w:val="single"/>
          <w:lang w:val="es"/>
        </w:rPr>
        <w:t>OBJETIVO</w:t>
      </w:r>
      <w:r w:rsidRPr="004B3B5B">
        <w:rPr>
          <w:rFonts w:ascii="Arial" w:hAnsi="Arial" w:cs="Arial"/>
          <w:b/>
          <w:bCs/>
          <w:lang w:val="es"/>
        </w:rPr>
        <w:t>:</w:t>
      </w:r>
    </w:p>
    <w:p w14:paraId="217E4C11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Establecer la metodología para identificar, evaluar e implementar de manera controlada los cambios —temporales o permanentes— que puedan afectar la seguridad y salud en el trabajo (SST) en Maximia S.A., asegurando que los nuevos peligros y riesgos asociados sean evaluados y controlados antes de la puesta en marcha del cambio.</w:t>
      </w:r>
    </w:p>
    <w:p w14:paraId="0538DCB4" w14:textId="77777777" w:rsidR="00671C1A" w:rsidRPr="004B3B5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4B3B5B">
        <w:rPr>
          <w:rFonts w:ascii="Arial" w:hAnsi="Arial" w:cs="Arial"/>
          <w:b/>
          <w:bCs/>
          <w:u w:val="single"/>
          <w:lang w:val="es"/>
        </w:rPr>
        <w:t>ALCANCE</w:t>
      </w:r>
      <w:r w:rsidRPr="004B3B5B">
        <w:rPr>
          <w:rFonts w:ascii="Arial" w:hAnsi="Arial" w:cs="Arial"/>
          <w:b/>
          <w:bCs/>
          <w:lang w:val="es"/>
        </w:rPr>
        <w:t>:</w:t>
      </w:r>
      <w:r w:rsidRPr="004B3B5B">
        <w:rPr>
          <w:rFonts w:ascii="Arial" w:eastAsia="Arial" w:hAnsi="Arial" w:cs="Arial"/>
          <w:b/>
          <w:bCs/>
          <w:lang w:val="es"/>
        </w:rPr>
        <w:t xml:space="preserve"> </w:t>
      </w:r>
    </w:p>
    <w:p w14:paraId="7177A587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Aplica a todos los cambios que impacten el sistema de gestión de SST de Maximia S.A., incluyendo cambios en procesos, productos, servicios, instalaciones, equipos, sustancias, personal, organización, horarios, contratistas, proveedores y requisitos legales, en todas sus operaciones y sedes.</w:t>
      </w:r>
    </w:p>
    <w:p w14:paraId="16161878" w14:textId="77777777" w:rsidR="00671C1A" w:rsidRPr="004B3B5B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4B3B5B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68B560C6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3. REFERENCIAS NORMATIVAS</w:t>
      </w:r>
    </w:p>
    <w:p w14:paraId="114E7A14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ISO 45001:2018 — Cláusula 8.1.3 Gestión del cambio</w:t>
      </w:r>
    </w:p>
    <w:p w14:paraId="0AAE0532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Ley N° 19.587 — Higiene y Seguridad en el Trabajo</w:t>
      </w:r>
    </w:p>
    <w:p w14:paraId="5109FDEB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Decreto N° 351/79 — Reglamento de Higiene y Seguridad</w:t>
      </w:r>
    </w:p>
    <w:p w14:paraId="075F076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Ley N° 24.557 — Riesgos del Trabajo</w:t>
      </w:r>
    </w:p>
    <w:p w14:paraId="63ABA48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PR-04 Identificación de Peligros y Evaluación de Riesgos (IPERC)</w:t>
      </w:r>
    </w:p>
    <w:p w14:paraId="4AD3AC0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PR-05 Requisitos Legales y Otros</w:t>
      </w:r>
    </w:p>
    <w:p w14:paraId="357B7258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PR-07 Competencias, Capacitación y Toma de Conciencia</w:t>
      </w:r>
    </w:p>
    <w:p w14:paraId="5BDE5FBA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PR-10 Control Operacional SST</w:t>
      </w:r>
    </w:p>
    <w:p w14:paraId="7D0B4087" w14:textId="77777777" w:rsidR="00A43140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PR-15 No Conformidades y Acciones Correctivas</w:t>
      </w:r>
    </w:p>
    <w:p w14:paraId="6719470E" w14:textId="77777777" w:rsidR="004B3B5B" w:rsidRPr="004B3B5B" w:rsidRDefault="004B3B5B">
      <w:pPr>
        <w:spacing w:after="40"/>
        <w:rPr>
          <w:rFonts w:ascii="Arial" w:hAnsi="Arial" w:cs="Arial"/>
        </w:rPr>
      </w:pPr>
    </w:p>
    <w:p w14:paraId="33B772B4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4. DEFINICIONES</w:t>
      </w:r>
    </w:p>
    <w:p w14:paraId="1FB84061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Término</w:t>
      </w:r>
    </w:p>
    <w:p w14:paraId="7A8A8CAC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Definición</w:t>
      </w:r>
    </w:p>
    <w:p w14:paraId="30438E9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</w:t>
      </w:r>
    </w:p>
    <w:p w14:paraId="2AC2AE58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Toda modificación de carácter temporal o permanente en procesos, instalaciones, equipos, sustancias, personas, organización, horarios, requisitos legales u otro aspecto que pueda afectar la SST.</w:t>
      </w:r>
    </w:p>
    <w:p w14:paraId="09A73E3D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 planificado</w:t>
      </w:r>
    </w:p>
    <w:p w14:paraId="700B5C96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Cambio decidido y programado por la organización (ampliaciones, compras, reestructuraciones, nuevas operaciones, etc.).</w:t>
      </w:r>
    </w:p>
    <w:p w14:paraId="7EEBC9B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 no planificado</w:t>
      </w:r>
    </w:p>
    <w:p w14:paraId="36A59E6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 imprevisto producto de fallas, emergencias, ausencias, cambios legales externos o condiciones sobrevinientes.</w:t>
      </w:r>
    </w:p>
    <w:p w14:paraId="0ABA0506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 crítico</w:t>
      </w:r>
    </w:p>
    <w:p w14:paraId="1D5F6E7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 que puede generar nuevos peligros significativos o afectar controles existentes. Requiere análisis formal previo.</w:t>
      </w:r>
    </w:p>
    <w:p w14:paraId="711E1A1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Solicitud de Cambio (SdC)</w:t>
      </w:r>
    </w:p>
    <w:p w14:paraId="2ADC6B35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highlight w:val="yellow"/>
        </w:rPr>
        <w:t>Formulario FR-123-01</w:t>
      </w:r>
      <w:r w:rsidRPr="004B3B5B">
        <w:rPr>
          <w:rFonts w:ascii="Arial" w:hAnsi="Arial" w:cs="Arial"/>
        </w:rPr>
        <w:t xml:space="preserve"> con el que se inicia el proceso de gestión del cambio.</w:t>
      </w:r>
    </w:p>
    <w:p w14:paraId="65098B38" w14:textId="77777777" w:rsidR="00A43140" w:rsidRPr="004B3B5B" w:rsidRDefault="00A43140">
      <w:pPr>
        <w:spacing w:after="80"/>
        <w:rPr>
          <w:rFonts w:ascii="Arial" w:hAnsi="Arial" w:cs="Arial"/>
        </w:rPr>
      </w:pPr>
    </w:p>
    <w:p w14:paraId="3A2EE1AC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5. RESPONSABILIDADES</w:t>
      </w:r>
    </w:p>
    <w:p w14:paraId="339466C4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Rol</w:t>
      </w:r>
    </w:p>
    <w:p w14:paraId="5F373A8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Responsabilidad</w:t>
      </w:r>
    </w:p>
    <w:p w14:paraId="64CD384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Dirección</w:t>
      </w:r>
    </w:p>
    <w:p w14:paraId="2FF45FC5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Aprobar los cambios críticos y asegurar los recursos necesarios para su implementación segura.</w:t>
      </w:r>
    </w:p>
    <w:p w14:paraId="4D0AE4F4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</w:t>
      </w:r>
    </w:p>
    <w:p w14:paraId="35FE3D0F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Coordinar el análisis SST del cambio, validar la actualización de la IPERC y verificar la implementación de controles.</w:t>
      </w:r>
    </w:p>
    <w:p w14:paraId="757928CF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Solicitante del Cambio</w:t>
      </w:r>
    </w:p>
    <w:p w14:paraId="441F8E8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Completar la Solicitud de Cambio (FR-123-01), aportar la información técnica necesaria y participar en la evaluación.</w:t>
      </w:r>
    </w:p>
    <w:p w14:paraId="09AB984E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Jefes / Supervisores</w:t>
      </w:r>
    </w:p>
    <w:p w14:paraId="16FE91D9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Evaluar impactos en su área, definir controles operativos y comunicar el cambio al personal afectado.</w:t>
      </w:r>
    </w:p>
    <w:p w14:paraId="3F2DFD6F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Comité Mixto SST</w:t>
      </w:r>
    </w:p>
    <w:p w14:paraId="62606FB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Ser consultado en cambios que afecten condiciones de trabajo del personal, conforme a PR-08.</w:t>
      </w:r>
    </w:p>
    <w:p w14:paraId="28AB1BB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Trabajadores</w:t>
      </w:r>
    </w:p>
    <w:p w14:paraId="47524F6F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Cumplir con los nuevos controles, reportar peligros asociados al cambio y participar en la capacitación.</w:t>
      </w:r>
    </w:p>
    <w:p w14:paraId="3BBE3203" w14:textId="77777777" w:rsidR="00A43140" w:rsidRPr="004B3B5B" w:rsidRDefault="00A43140">
      <w:pPr>
        <w:spacing w:after="80"/>
        <w:rPr>
          <w:rFonts w:ascii="Arial" w:hAnsi="Arial" w:cs="Arial"/>
        </w:rPr>
      </w:pPr>
    </w:p>
    <w:p w14:paraId="0A916B05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 GESTIÓN DEL CAMBIO</w:t>
      </w:r>
    </w:p>
    <w:p w14:paraId="07C34EB3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6.1 Tipos de cambio contemplados</w:t>
      </w:r>
    </w:p>
    <w:p w14:paraId="6AAEDF20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Se considerará dentro del alcance de este procedimiento cualquier cambio que pueda afectar la SST, incluyendo pero no limitado a los siguientes tipos:</w:t>
      </w:r>
    </w:p>
    <w:p w14:paraId="51B2AE02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Nuevos productos, servicios o procesos, o modificación de los existentes.</w:t>
      </w:r>
    </w:p>
    <w:p w14:paraId="4ECA6555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Modificaciones en lugares de trabajo, ambiente laboral o condiciones edilicias.</w:t>
      </w:r>
    </w:p>
    <w:p w14:paraId="459E493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Cambios en equipos, maquinaria, herramientas o tecnología.</w:t>
      </w:r>
    </w:p>
    <w:p w14:paraId="646BACED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Incorporación, modificación o retiro de sustancias químicas.</w:t>
      </w:r>
    </w:p>
    <w:p w14:paraId="11D5FA29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Cambios en la organización: nuevos puestos, reestructuraciones, rotaciones, turnos.</w:t>
      </w:r>
    </w:p>
    <w:p w14:paraId="58EAA63F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Cambios en el personal clave de SST (altas, bajas, ausencias prolongadas).</w:t>
      </w:r>
    </w:p>
    <w:p w14:paraId="3CF8B74C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Nuevos contratistas o modificación del alcance de contratos vigentes.</w:t>
      </w:r>
    </w:p>
    <w:p w14:paraId="2C9CB47B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Cambios en requisitos legales o normativos aplicables.</w:t>
      </w:r>
    </w:p>
    <w:p w14:paraId="12C48C4E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Cambios derivados de auditorías, incidentes o no conformidades.</w:t>
      </w:r>
    </w:p>
    <w:p w14:paraId="194759F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6.2 Clasificación del cambio</w:t>
      </w:r>
    </w:p>
    <w:p w14:paraId="61531319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Todo cambio se clasificará en función de su impacto en la SST, determinando el nivel de análisis y aprobación requerido.</w:t>
      </w:r>
    </w:p>
    <w:p w14:paraId="4B10930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Clasificación</w:t>
      </w:r>
    </w:p>
    <w:p w14:paraId="55E5516D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Criterio</w:t>
      </w:r>
    </w:p>
    <w:p w14:paraId="5971B34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Aprobación</w:t>
      </w:r>
    </w:p>
    <w:p w14:paraId="79F7FEE9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Menor</w:t>
      </w:r>
    </w:p>
    <w:p w14:paraId="39FB397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No genera peligros nuevos ni modifica controles existentes. Ejemplo: cambio de proveedor de insumos equivalentes.</w:t>
      </w:r>
    </w:p>
    <w:p w14:paraId="75D857C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Jefe de Área + Responsable SST</w:t>
      </w:r>
    </w:p>
    <w:p w14:paraId="07AC6D6D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Moderado</w:t>
      </w:r>
    </w:p>
    <w:p w14:paraId="7CEE9316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Modifica procesos, equipos o personas sin introducir peligros críticos nuevos. Ejemplo: nueva maquinaria similar a existente.</w:t>
      </w:r>
    </w:p>
    <w:p w14:paraId="678D9E70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 + Gerencia de Área</w:t>
      </w:r>
    </w:p>
    <w:p w14:paraId="3F041ACF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Crítico</w:t>
      </w:r>
    </w:p>
    <w:p w14:paraId="1B855529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Introduce peligros significativos nuevos, afecta controles críticos o involucra emergencias potenciales. Ejemplo: nueva operación, nueva sustancia peligrosa.</w:t>
      </w:r>
    </w:p>
    <w:p w14:paraId="6520D731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Dirección + Responsable SST + Comité Mixto</w:t>
      </w:r>
    </w:p>
    <w:p w14:paraId="37EC4FB6" w14:textId="77777777" w:rsidR="00A43140" w:rsidRPr="004B3B5B" w:rsidRDefault="00A43140">
      <w:pPr>
        <w:spacing w:after="80"/>
        <w:rPr>
          <w:rFonts w:ascii="Arial" w:hAnsi="Arial" w:cs="Arial"/>
        </w:rPr>
      </w:pPr>
    </w:p>
    <w:p w14:paraId="7FBADBF2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6.3 Etapas del proceso de gestión del cambio</w:t>
      </w:r>
    </w:p>
    <w:p w14:paraId="3E94C328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6.3.1 Solicitud</w:t>
      </w:r>
    </w:p>
    <w:p w14:paraId="6C0FB344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Cualquier colaborador puede proponer un cambio. El Jefe de Área formaliza la solicitud en el FR-123-01 Solicitud de Cambio.</w:t>
      </w:r>
    </w:p>
    <w:p w14:paraId="315D1A76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La solicitud incluye: descripción del cambio, motivo, alcance, fecha prevista, áreas y puestos afectados.</w:t>
      </w:r>
    </w:p>
    <w:p w14:paraId="5BCCE3ED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La solicitud se envía al Responsable SST antes de iniciar cualquier acción de implementación.</w:t>
      </w:r>
    </w:p>
    <w:p w14:paraId="5E50EABD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6.3.2 Evaluación del impacto SST</w:t>
      </w:r>
    </w:p>
    <w:p w14:paraId="614A4739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El Responsable SST, junto con el Jefe de Área y el solicitante, evalúa el impacto del cambio sobre la SST.</w:t>
      </w:r>
    </w:p>
    <w:p w14:paraId="799B4B7E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Se revisa la IPERC (PR-04) y se identifican nuevos peligros, cambios en riesgos existentes y controles afectados.</w:t>
      </w:r>
    </w:p>
    <w:p w14:paraId="55AC0F4B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Se revisa la matriz de requisitos legales (PR-05) para identificar nuevas obligaciones aplicables.</w:t>
      </w:r>
    </w:p>
    <w:p w14:paraId="44D3871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Se evalúa la necesidad de capacitación, nueva documentación, nuevos EPP, nuevos procedimientos operativos.</w:t>
      </w:r>
    </w:p>
    <w:p w14:paraId="01F244D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El resultado de la evaluación queda registrado en el FR-123-01.</w:t>
      </w:r>
    </w:p>
    <w:p w14:paraId="4647AA85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6.3.3 Definición de controles</w:t>
      </w:r>
    </w:p>
    <w:p w14:paraId="466595EC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Los controles se definen aplicando la jerarquía: eliminación, sustitución, controles de ingeniería, controles administrativos, EPP.</w:t>
      </w:r>
    </w:p>
    <w:p w14:paraId="423554E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Se elabora un plan de implementación con responsables, plazos y recursos necesarios.</w:t>
      </w:r>
    </w:p>
    <w:p w14:paraId="1306F76A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Para cambios críticos se requiere validación de Dirección y consulta al Comité Mixto SST antes de la implementación.</w:t>
      </w:r>
    </w:p>
    <w:p w14:paraId="0D4E5AA7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6.3.4 Implementación</w:t>
      </w:r>
    </w:p>
    <w:p w14:paraId="11F8748A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No se permite la puesta en marcha del cambio hasta que los controles estén implementados y verificados.</w:t>
      </w:r>
    </w:p>
    <w:p w14:paraId="039B8AA2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Antes de la puesta en marcha se realiza una verificación de campo (checklist pre-arranque) firmada por Responsable SST y Jefe de Área.</w:t>
      </w:r>
    </w:p>
    <w:p w14:paraId="01221AAF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• Se capacita al personal afectado conforme PR-07 y se deja registro en FR 25-07 Asistencia a Capacitación.</w:t>
      </w:r>
    </w:p>
    <w:p w14:paraId="14665709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Se actualizan los documentos impactados (IPER, procedimientos, instructivos, matrices de EPP, planes de emergencia).</w:t>
      </w:r>
    </w:p>
    <w:p w14:paraId="3525B53C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6.3.5 Verificación posterior</w:t>
      </w:r>
    </w:p>
    <w:p w14:paraId="02A69049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Dentro de los 30 días posteriores al cambio, el Responsable SST realiza una verificación de eficacia de los controles.</w:t>
      </w:r>
    </w:p>
    <w:p w14:paraId="4AF9F54E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Se revisan incidentes, reportes de condiciones y observaciones de trabajadores vinculados al cambio.</w:t>
      </w:r>
    </w:p>
    <w:p w14:paraId="72449D0C" w14:textId="77777777" w:rsidR="00A43140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Si se detectan desvíos se gestionan como No Conformidad conforme PR-15.</w:t>
      </w:r>
    </w:p>
    <w:p w14:paraId="3E4F2D71" w14:textId="77777777" w:rsidR="004B3B5B" w:rsidRPr="004B3B5B" w:rsidRDefault="004B3B5B">
      <w:pPr>
        <w:spacing w:after="40"/>
        <w:rPr>
          <w:rFonts w:ascii="Arial" w:hAnsi="Arial" w:cs="Arial"/>
        </w:rPr>
      </w:pPr>
    </w:p>
    <w:p w14:paraId="4D49B724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6.4 Cambios no planificados</w:t>
      </w:r>
    </w:p>
    <w:p w14:paraId="2003BB91" w14:textId="77777777" w:rsidR="00A43140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Ante cambios imprevistos (fallas, emergencias, cambios legales sobrevinientes, ausencias críticas), el Responsable SST y el Jefe de Área realizan una evaluación rápida de riesgos y aplican controles provisorios. En un plazo máximo de 5 días hábiles se completa el FR-123-01 Solicitud de Cambio, formalizando la evaluación y los controles definitivos.</w:t>
      </w:r>
    </w:p>
    <w:p w14:paraId="51BE1466" w14:textId="77777777" w:rsidR="004B3B5B" w:rsidRPr="004B3B5B" w:rsidRDefault="004B3B5B">
      <w:pPr>
        <w:spacing w:after="80"/>
        <w:rPr>
          <w:rFonts w:ascii="Arial" w:hAnsi="Arial" w:cs="Arial"/>
        </w:rPr>
      </w:pPr>
    </w:p>
    <w:p w14:paraId="4A3F7B33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6.5 Cambios externos</w:t>
      </w:r>
    </w:p>
    <w:p w14:paraId="12639A9F" w14:textId="77777777" w:rsid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Los cambios originados fuera de la organización (nueva normativa, cambios en clientes, proveedores o contratistas) se gestionarán bajo este procedimiento. El Responsable SST, junto con el área Legal o equivalente, evaluará el impacto sobre la matriz legal (PR-05) y sobre los controles operacionales vigentes</w:t>
      </w:r>
    </w:p>
    <w:p w14:paraId="00661EFC" w14:textId="042173C9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.</w:t>
      </w:r>
    </w:p>
    <w:p w14:paraId="68BF59A6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6.6 Consulta y participación</w:t>
      </w:r>
    </w:p>
    <w:p w14:paraId="0FDF26AD" w14:textId="77777777" w:rsidR="00A43140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Conforme a PR-08, los trabajadores o sus representantes serán consultados en los cambios que afecten sus condiciones de trabajo, especialmente en cambios moderados y críticos. La consulta quedará registrada.</w:t>
      </w:r>
    </w:p>
    <w:p w14:paraId="453C08F3" w14:textId="77777777" w:rsidR="004B3B5B" w:rsidRPr="004B3B5B" w:rsidRDefault="004B3B5B">
      <w:pPr>
        <w:spacing w:after="80"/>
        <w:rPr>
          <w:rFonts w:ascii="Arial" w:hAnsi="Arial" w:cs="Arial"/>
        </w:rPr>
      </w:pPr>
    </w:p>
    <w:p w14:paraId="7EDB75E3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7. REGISTROS</w:t>
      </w:r>
    </w:p>
    <w:p w14:paraId="44468AC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Código</w:t>
      </w:r>
    </w:p>
    <w:p w14:paraId="61463A1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Registro</w:t>
      </w:r>
    </w:p>
    <w:p w14:paraId="5E2EBF9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Responsable</w:t>
      </w:r>
    </w:p>
    <w:p w14:paraId="4278279E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Retención</w:t>
      </w:r>
    </w:p>
    <w:p w14:paraId="1694C19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FR-123-01</w:t>
      </w:r>
    </w:p>
    <w:p w14:paraId="63D3E551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Solicitud de Cambio</w:t>
      </w:r>
    </w:p>
    <w:p w14:paraId="5311535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</w:t>
      </w:r>
    </w:p>
    <w:p w14:paraId="5AB7985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5 años</w:t>
      </w:r>
    </w:p>
    <w:p w14:paraId="505CD424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FR-116-01</w:t>
      </w:r>
    </w:p>
    <w:p w14:paraId="1443574D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Matriz de Requisitos Legales (actualizada)</w:t>
      </w:r>
    </w:p>
    <w:p w14:paraId="7678DFDD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</w:t>
      </w:r>
    </w:p>
    <w:p w14:paraId="163118A6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Permanente</w:t>
      </w:r>
    </w:p>
    <w:p w14:paraId="748B596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PR-04</w:t>
      </w:r>
    </w:p>
    <w:p w14:paraId="20F231C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IPERC actualizada</w:t>
      </w:r>
    </w:p>
    <w:p w14:paraId="066CFD0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</w:t>
      </w:r>
    </w:p>
    <w:p w14:paraId="1E32FB6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Permanente</w:t>
      </w:r>
    </w:p>
    <w:p w14:paraId="24E3C22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FR 25-07</w:t>
      </w:r>
    </w:p>
    <w:p w14:paraId="509B8E2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Asistencia a Capacitación del cambio</w:t>
      </w:r>
    </w:p>
    <w:p w14:paraId="7AA88AE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</w:t>
      </w:r>
    </w:p>
    <w:p w14:paraId="2EE50CD1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5 años</w:t>
      </w:r>
    </w:p>
    <w:p w14:paraId="24298C90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Acta</w:t>
      </w:r>
    </w:p>
    <w:p w14:paraId="69023399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Acta de aprobación de cambios críticos</w:t>
      </w:r>
    </w:p>
    <w:p w14:paraId="148252C5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Dirección</w:t>
      </w:r>
    </w:p>
    <w:p w14:paraId="66AE0F6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10 años</w:t>
      </w:r>
    </w:p>
    <w:p w14:paraId="3E91D954" w14:textId="77777777" w:rsidR="00A43140" w:rsidRPr="004B3B5B" w:rsidRDefault="00A43140">
      <w:pPr>
        <w:spacing w:after="80"/>
        <w:rPr>
          <w:rFonts w:ascii="Arial" w:hAnsi="Arial" w:cs="Arial"/>
        </w:rPr>
      </w:pPr>
    </w:p>
    <w:p w14:paraId="7C4B4F77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8. INDICADORES DE DESEMPEÑO</w:t>
      </w:r>
    </w:p>
    <w:p w14:paraId="70349445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Indicador</w:t>
      </w:r>
    </w:p>
    <w:p w14:paraId="2C2907A4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Fórmula / Criterio</w:t>
      </w:r>
    </w:p>
    <w:p w14:paraId="3D16D9B2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Meta</w:t>
      </w:r>
    </w:p>
    <w:p w14:paraId="30AA6791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Frecuencia</w:t>
      </w:r>
    </w:p>
    <w:p w14:paraId="145400B7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Cambios evaluados antes de implementar</w:t>
      </w:r>
    </w:p>
    <w:p w14:paraId="75AC3A8E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N° cambios con FR-123-01 completo / N° cambios totales</w:t>
      </w:r>
    </w:p>
    <w:p w14:paraId="6B4F3DC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100%</w:t>
      </w:r>
    </w:p>
    <w:p w14:paraId="5A015C7F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Trimestral</w:t>
      </w:r>
    </w:p>
    <w:p w14:paraId="01465B51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Cambios con verificación posterior</w:t>
      </w:r>
    </w:p>
    <w:p w14:paraId="0329EA7A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N° cambios verificados a los 30 días / N° cambios implementados</w:t>
      </w:r>
    </w:p>
    <w:p w14:paraId="7A14F8B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≥ 95%</w:t>
      </w:r>
    </w:p>
    <w:p w14:paraId="1195E114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Trimestral</w:t>
      </w:r>
    </w:p>
    <w:p w14:paraId="3DE872BD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Incidentes asociados a cambios</w:t>
      </w:r>
    </w:p>
    <w:p w14:paraId="19869886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N° incidentes en los 90 días post-cambio</w:t>
      </w:r>
    </w:p>
    <w:p w14:paraId="5B961AAE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Tendencia decreciente</w:t>
      </w:r>
    </w:p>
    <w:p w14:paraId="288A626C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Trimestral</w:t>
      </w:r>
    </w:p>
    <w:p w14:paraId="5FEEA19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Cumplimiento de consulta al Comité</w:t>
      </w:r>
    </w:p>
    <w:p w14:paraId="60B96429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N° cambios críticos con consulta / N° cambios críticos</w:t>
      </w:r>
    </w:p>
    <w:p w14:paraId="434457F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100%</w:t>
      </w:r>
    </w:p>
    <w:p w14:paraId="2FEFFEE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Semestral</w:t>
      </w:r>
    </w:p>
    <w:p w14:paraId="251342D5" w14:textId="77777777" w:rsidR="00A43140" w:rsidRPr="004B3B5B" w:rsidRDefault="00A43140">
      <w:pPr>
        <w:spacing w:after="80"/>
        <w:rPr>
          <w:rFonts w:ascii="Arial" w:hAnsi="Arial" w:cs="Arial"/>
        </w:rPr>
      </w:pPr>
    </w:p>
    <w:p w14:paraId="6EF7A777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9. REVISIÓN Y ACTUALIZACIÓN</w:t>
      </w:r>
    </w:p>
    <w:p w14:paraId="2DE06203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Este procedimiento se revisará anualmente o cuando ocurra:</w:t>
      </w:r>
    </w:p>
    <w:p w14:paraId="141CE895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Cambios en requisitos legales aplicables.</w:t>
      </w:r>
    </w:p>
    <w:p w14:paraId="3413474A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Resultados de auditorías internas o externas que identifiquen oportunidades de mejora.</w:t>
      </w:r>
    </w:p>
    <w:p w14:paraId="62A2AD55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Incidentes o no conformidades vinculados a la gestión del cambio.</w:t>
      </w:r>
    </w:p>
    <w:p w14:paraId="15E092B6" w14:textId="77777777" w:rsidR="00A43140" w:rsidRPr="004B3B5B" w:rsidRDefault="00000000">
      <w:pPr>
        <w:spacing w:after="40"/>
        <w:rPr>
          <w:rFonts w:ascii="Arial" w:hAnsi="Arial" w:cs="Arial"/>
        </w:rPr>
      </w:pPr>
      <w:r w:rsidRPr="004B3B5B">
        <w:rPr>
          <w:rFonts w:ascii="Arial" w:hAnsi="Arial" w:cs="Arial"/>
        </w:rPr>
        <w:t>• Modificaciones significativas en la estructura o procesos de Maximia S.A.</w:t>
      </w:r>
    </w:p>
    <w:p w14:paraId="63691B1E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</w:rPr>
        <w:t>Las revisiones quedarán registradas en la Lista Maestra de Documentos.</w:t>
      </w:r>
    </w:p>
    <w:p w14:paraId="52424748" w14:textId="77777777" w:rsidR="00A43140" w:rsidRPr="004B3B5B" w:rsidRDefault="00000000">
      <w:pPr>
        <w:spacing w:after="80"/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10. HISTORIAL DE REVISIONES</w:t>
      </w:r>
    </w:p>
    <w:p w14:paraId="53B578E3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Versión</w:t>
      </w:r>
    </w:p>
    <w:p w14:paraId="73EB6D3C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Fecha</w:t>
      </w:r>
    </w:p>
    <w:p w14:paraId="29CA8FA8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Descripción del Cambio</w:t>
      </w:r>
    </w:p>
    <w:p w14:paraId="5AF5F96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  <w:b/>
        </w:rPr>
        <w:t>Autor</w:t>
      </w:r>
    </w:p>
    <w:p w14:paraId="296E7276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lastRenderedPageBreak/>
        <w:t>01</w:t>
      </w:r>
    </w:p>
    <w:p w14:paraId="0D29E4A0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Abril 2026</w:t>
      </w:r>
    </w:p>
    <w:p w14:paraId="1B3473BE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Emisión inicial — Procedimiento de Gestión del Cambio.</w:t>
      </w:r>
    </w:p>
    <w:p w14:paraId="4648FA8B" w14:textId="77777777" w:rsidR="00A43140" w:rsidRPr="004B3B5B" w:rsidRDefault="00000000">
      <w:pPr>
        <w:rPr>
          <w:rFonts w:ascii="Arial" w:hAnsi="Arial" w:cs="Arial"/>
        </w:rPr>
      </w:pPr>
      <w:r w:rsidRPr="004B3B5B">
        <w:rPr>
          <w:rFonts w:ascii="Arial" w:hAnsi="Arial" w:cs="Arial"/>
        </w:rPr>
        <w:t>Responsable SST</w:t>
      </w:r>
    </w:p>
    <w:p w14:paraId="78C07B03" w14:textId="6707E89B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0FE75F4D" w14:textId="77777777" w:rsidTr="6FA31881">
        <w:tblPrEx>
          <w:tblCellMar>
            <w:top w:w="0" w:type="dxa"/>
            <w:bottom w:w="0" w:type="dxa"/>
          </w:tblCellMar>
        </w:tblPrEx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B3C1E1A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C5B703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AED8EC0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68A5D9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535AE8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775DCEA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7FA8F5B7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0983CAF" w14:textId="77777777" w:rsidTr="6FA3188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3A3FBD27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A485324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3AA5AFB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9710CED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109AD59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B4C1396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15EF1ADE" w14:textId="77777777" w:rsidTr="6FA31881">
        <w:tblPrEx>
          <w:tblCellMar>
            <w:top w:w="0" w:type="dxa"/>
            <w:bottom w:w="0" w:type="dxa"/>
          </w:tblCellMar>
        </w:tblPrEx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B5CBB3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7F8755A4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5ED6FE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0EB16E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5D9C2C1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1E113A1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0E67032" w14:textId="77777777" w:rsidR="4D9F759E" w:rsidRDefault="4D9F759E"/>
    <w:p w14:paraId="736AF4D2" w14:textId="6D92C164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693F0124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11BAECD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03CFBDFE" w14:textId="77777777" w:rsidTr="3EBEE504">
        <w:tblPrEx>
          <w:tblCellMar>
            <w:top w:w="0" w:type="dxa"/>
            <w:bottom w:w="0" w:type="dxa"/>
          </w:tblCellMar>
        </w:tblPrEx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0E0DB775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3F43B3D5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356D24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54CE278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5D09ECC5" w14:textId="77777777" w:rsidTr="3EBEE504">
        <w:tblPrEx>
          <w:tblCellMar>
            <w:top w:w="0" w:type="dxa"/>
            <w:bottom w:w="0" w:type="dxa"/>
          </w:tblCellMar>
        </w:tblPrEx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53B8591E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623FB54E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411B5045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4FE3463A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60CD2944" w14:textId="77777777" w:rsidR="4D9F759E" w:rsidRDefault="4D9F759E"/>
    <w:p w14:paraId="39B4FE87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6F955F4D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33D8CBFD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075FA24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590A29F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75F7EDD8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436C7BDE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53F2C399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F1688AC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3E85E735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203A2FD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090895E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38D245FC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346A65E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68691932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2F88415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32EFE934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4896E3B2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5D3A31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5323D12A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01C1A3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71258CC9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FA9F40F" w14:textId="77777777" w:rsidR="00E3521B" w:rsidRDefault="00E3521B" w:rsidP="00E3521B"/>
    <w:p w14:paraId="1604DFD5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6576" w14:textId="77777777" w:rsidR="009264C0" w:rsidRDefault="009264C0">
      <w:r>
        <w:separator/>
      </w:r>
    </w:p>
  </w:endnote>
  <w:endnote w:type="continuationSeparator" w:id="0">
    <w:p w14:paraId="5218DC2B" w14:textId="77777777" w:rsidR="009264C0" w:rsidRDefault="009264C0">
      <w:r>
        <w:continuationSeparator/>
      </w:r>
    </w:p>
  </w:endnote>
  <w:endnote w:type="continuationNotice" w:id="1">
    <w:p w14:paraId="4369ED92" w14:textId="77777777" w:rsidR="009264C0" w:rsidRDefault="009264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288B8BD3" w14:textId="77777777" w:rsidTr="00081B0D">
      <w:tblPrEx>
        <w:tblCellMar>
          <w:top w:w="0" w:type="dxa"/>
          <w:bottom w:w="0" w:type="dxa"/>
        </w:tblCellMar>
      </w:tblPrEx>
      <w:tc>
        <w:tcPr>
          <w:tcW w:w="6309" w:type="dxa"/>
          <w:vAlign w:val="center"/>
        </w:tcPr>
        <w:p w14:paraId="6A2E83F8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1589BA41" w14:textId="77777777" w:rsidR="009D6DCD" w:rsidRPr="00AB7C85" w:rsidRDefault="00081B0D" w:rsidP="00081B0D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5FBB1E70" w14:textId="77777777" w:rsidR="009D6DCD" w:rsidRPr="007D410B" w:rsidRDefault="009D6DCD">
          <w:pPr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Fonts w:ascii="Arial" w:hAnsi="Arial" w:cs="Arial"/>
              <w:sz w:val="16"/>
              <w:szCs w:val="16"/>
            </w:rPr>
            <w:t>/</w:t>
          </w:r>
          <w:r w:rsidRPr="007D410B">
            <w:rPr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0C7FEF07" w14:textId="77777777" w:rsidR="009D6DCD" w:rsidRPr="00AB7C85" w:rsidRDefault="009D6DCD">
    <w:pPr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A31B8" w14:textId="77777777" w:rsidR="009264C0" w:rsidRDefault="009264C0">
      <w:r>
        <w:separator/>
      </w:r>
    </w:p>
  </w:footnote>
  <w:footnote w:type="continuationSeparator" w:id="0">
    <w:p w14:paraId="0F9C472E" w14:textId="77777777" w:rsidR="009264C0" w:rsidRDefault="009264C0">
      <w:r>
        <w:continuationSeparator/>
      </w:r>
    </w:p>
  </w:footnote>
  <w:footnote w:type="continuationNotice" w:id="1">
    <w:p w14:paraId="7733FF56" w14:textId="77777777" w:rsidR="009264C0" w:rsidRDefault="009264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6B848ADF" w14:textId="77777777" w:rsidTr="3EBEE504">
      <w:tblPrEx>
        <w:tblCellMar>
          <w:top w:w="0" w:type="dxa"/>
          <w:bottom w:w="0" w:type="dxa"/>
        </w:tblCellMar>
      </w:tblPrEx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549A8C3B" w14:textId="77777777" w:rsidR="003C3D7E" w:rsidRDefault="00DD6E88" w:rsidP="00FD64CC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48029836" w14:textId="77777777" w:rsidR="003C3D7E" w:rsidRPr="00776035" w:rsidRDefault="003C3D7E" w:rsidP="00386066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26963539" w14:textId="77777777" w:rsidR="003C3D7E" w:rsidRPr="00776035" w:rsidRDefault="4D9F759E" w:rsidP="00850960">
          <w:pPr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PR-16</w:t>
          </w:r>
        </w:p>
      </w:tc>
    </w:tr>
    <w:tr w:rsidR="003C3D7E" w14:paraId="029C1E6B" w14:textId="77777777" w:rsidTr="3EBEE504">
      <w:tblPrEx>
        <w:tblCellMar>
          <w:top w:w="0" w:type="dxa"/>
          <w:bottom w:w="0" w:type="dxa"/>
        </w:tblCellMar>
      </w:tblPrEx>
      <w:trPr>
        <w:cantSplit/>
        <w:trHeight w:val="625"/>
      </w:trPr>
      <w:tc>
        <w:tcPr>
          <w:tcW w:w="1118" w:type="pct"/>
          <w:vMerge/>
        </w:tcPr>
        <w:p w14:paraId="56D06B92" w14:textId="77777777" w:rsidR="003C3D7E" w:rsidRDefault="003C3D7E"/>
      </w:tc>
      <w:tc>
        <w:tcPr>
          <w:tcW w:w="2837" w:type="pct"/>
          <w:vAlign w:val="center"/>
        </w:tcPr>
        <w:p w14:paraId="14BBA2DF" w14:textId="77777777" w:rsidR="003C3D7E" w:rsidRPr="00E92586" w:rsidRDefault="003C3D7E" w:rsidP="3B8BCB43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Gestión del Cambio SST</w:t>
          </w:r>
        </w:p>
      </w:tc>
      <w:tc>
        <w:tcPr>
          <w:tcW w:w="1045" w:type="pct"/>
          <w:vAlign w:val="center"/>
        </w:tcPr>
        <w:p w14:paraId="7D640EE3" w14:textId="77777777" w:rsidR="003C3D7E" w:rsidRPr="004530CE" w:rsidRDefault="3EBEE504" w:rsidP="000D6612">
          <w:pPr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3A479D67" w14:textId="77777777" w:rsidR="009D6DCD" w:rsidRDefault="009D6D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BCB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66322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B3B5B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14DDD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400D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64C0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43140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E0A97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1FDDE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9E6F5-BD45-4E63-97AD-EEFA90029A33}"/>
</file>

<file path=customXml/itemProps2.xml><?xml version="1.0" encoding="utf-8"?>
<ds:datastoreItem xmlns:ds="http://schemas.openxmlformats.org/officeDocument/2006/customXml" ds:itemID="{E8FB98A2-669E-42B2-B339-75160BB5DD96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E6B2C5EE-6DB9-4E35-BA2C-D983D2B78E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CCB316-86A2-44B8-A4C7-94C5D130C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1386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vidal</cp:lastModifiedBy>
  <cp:revision>3</cp:revision>
  <dcterms:created xsi:type="dcterms:W3CDTF">2026-04-27T16:50:00Z</dcterms:created>
  <dcterms:modified xsi:type="dcterms:W3CDTF">2026-04-27T16:50:00Z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