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docProps/custom1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1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5E274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315D2F35" w14:textId="77777777" w:rsidR="00DB6D2B" w:rsidRPr="00C62A05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C62A05">
        <w:rPr>
          <w:rFonts w:ascii="Arial" w:hAnsi="Arial" w:cs="Arial"/>
          <w:b/>
          <w:bCs/>
          <w:u w:val="single"/>
          <w:lang w:val="es"/>
        </w:rPr>
        <w:t>OBJETIVO</w:t>
      </w:r>
      <w:r w:rsidRPr="00C62A05">
        <w:rPr>
          <w:rFonts w:ascii="Arial" w:hAnsi="Arial" w:cs="Arial"/>
          <w:b/>
          <w:bCs/>
          <w:lang w:val="es"/>
        </w:rPr>
        <w:t>:</w:t>
      </w:r>
    </w:p>
    <w:p w14:paraId="5EE8C2C8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</w:rPr>
        <w:t>Establecer la metodología para el reporte, investigación y análisis de causas de los incidentes de SST ocurridos en Maximia S.A., con el fin de determinar las causas raíz, definir acciones correctivas que eviten su recurrencia y aprovechar las lecciones aprendidas para mejorar el sistema de gestión.</w:t>
      </w:r>
    </w:p>
    <w:p w14:paraId="22854F88" w14:textId="77777777" w:rsidR="00671C1A" w:rsidRPr="00C62A05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C62A05">
        <w:rPr>
          <w:rFonts w:ascii="Arial" w:hAnsi="Arial" w:cs="Arial"/>
          <w:b/>
          <w:bCs/>
          <w:u w:val="single"/>
          <w:lang w:val="es"/>
        </w:rPr>
        <w:t>ALCANCE</w:t>
      </w:r>
      <w:r w:rsidRPr="00C62A05">
        <w:rPr>
          <w:rFonts w:ascii="Arial" w:hAnsi="Arial" w:cs="Arial"/>
          <w:b/>
          <w:bCs/>
          <w:lang w:val="es"/>
        </w:rPr>
        <w:t>:</w:t>
      </w:r>
      <w:r w:rsidRPr="00C62A05">
        <w:rPr>
          <w:rFonts w:ascii="Arial" w:eastAsia="Arial" w:hAnsi="Arial" w:cs="Arial"/>
          <w:b/>
          <w:bCs/>
          <w:lang w:val="es"/>
        </w:rPr>
        <w:t xml:space="preserve"> </w:t>
      </w:r>
    </w:p>
    <w:p w14:paraId="6F48E088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</w:rPr>
        <w:t>Aplica a todos los incidentes ocurridos en las instalaciones de Maximia S.A., en tareas bajo su control o en el itinerario in itinere, que involucren a trabajadores propios, contratistas, subcontratistas, visitantes y cualquier persona presente en las operaciones de la empresa, incluyendo incidentes sin lesión (near miss) y daños materiales.</w:t>
      </w:r>
    </w:p>
    <w:p w14:paraId="59DAB039" w14:textId="77777777" w:rsidR="00671C1A" w:rsidRPr="00C62A05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C62A05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35A76D6C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3. REFERENCIAS NORMATIVAS</w:t>
      </w:r>
    </w:p>
    <w:p w14:paraId="731DA598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ISO 45001:2018 — Cláusula 10.2 Incidentes, no conformidades y acciones correctivas</w:t>
      </w:r>
    </w:p>
    <w:p w14:paraId="53669E7F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Ley N° 19.587 — Higiene y Seguridad en el Trabajo</w:t>
      </w:r>
    </w:p>
    <w:p w14:paraId="22DB45BB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Ley N° 24.557 — Riesgos del Trabajo</w:t>
      </w:r>
    </w:p>
    <w:p w14:paraId="510ED75F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Resolución SRT N° 1552/12 y modificatorias (denuncia de accidentes)</w:t>
      </w:r>
    </w:p>
    <w:p w14:paraId="41693971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Resolución SRT N° 840/05 (investigación de accidentes)</w:t>
      </w:r>
    </w:p>
    <w:p w14:paraId="7CCD8D66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PR-04 Identificación de Peligros y Evaluación de Riesgos (IPERC)</w:t>
      </w:r>
    </w:p>
    <w:p w14:paraId="74B66ABA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PR-08 Comunicación, Participación y Consulta</w:t>
      </w:r>
    </w:p>
    <w:p w14:paraId="15295856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PR-15 No Conformidades y Acciones Correctivas</w:t>
      </w:r>
    </w:p>
    <w:p w14:paraId="6E2E8AF8" w14:textId="77777777" w:rsidR="001F1968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PR-16 Gestión del Cambio SST</w:t>
      </w:r>
    </w:p>
    <w:p w14:paraId="14589FFC" w14:textId="77777777" w:rsidR="00C62A05" w:rsidRPr="00C62A05" w:rsidRDefault="00C62A05">
      <w:pPr>
        <w:spacing w:after="40"/>
        <w:rPr>
          <w:rFonts w:ascii="Arial" w:hAnsi="Arial" w:cs="Arial"/>
        </w:rPr>
      </w:pPr>
    </w:p>
    <w:p w14:paraId="0A9640FC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4. DEFINICIONES</w:t>
      </w:r>
    </w:p>
    <w:p w14:paraId="4147C4C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Término</w:t>
      </w:r>
    </w:p>
    <w:p w14:paraId="79561B0D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Definición</w:t>
      </w:r>
    </w:p>
    <w:p w14:paraId="7758CA7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Incidente</w:t>
      </w:r>
    </w:p>
    <w:p w14:paraId="245C241A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 xml:space="preserve">Suceso derivado del trabajo o en el curso </w:t>
      </w:r>
      <w:proofErr w:type="gramStart"/>
      <w:r w:rsidRPr="00C62A05">
        <w:rPr>
          <w:rFonts w:ascii="Arial" w:hAnsi="Arial" w:cs="Arial"/>
        </w:rPr>
        <w:t>del mismo</w:t>
      </w:r>
      <w:proofErr w:type="gramEnd"/>
      <w:r w:rsidRPr="00C62A05">
        <w:rPr>
          <w:rFonts w:ascii="Arial" w:hAnsi="Arial" w:cs="Arial"/>
        </w:rPr>
        <w:t xml:space="preserve"> que podría causar o causa lesiones y/o deterioro de la salud.</w:t>
      </w:r>
    </w:p>
    <w:p w14:paraId="7DE1D06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Accidente</w:t>
      </w:r>
    </w:p>
    <w:p w14:paraId="5B062E1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Todo acontecimiento súbito y violento ocurrido por el hecho o en ocasión del trabajo, o en el trayecto entre el domicilio del trabajador y el lugar de trabajo (Ley 24.557 Art. 6).</w:t>
      </w:r>
    </w:p>
    <w:p w14:paraId="17239E5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Near miss / Casi accidente</w:t>
      </w:r>
    </w:p>
    <w:p w14:paraId="4C7E7C5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Incidente que no produjo lesión ni daño, pero que tuvo el potencial de hacerlo.</w:t>
      </w:r>
    </w:p>
    <w:p w14:paraId="2B743446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Causa inmediata</w:t>
      </w:r>
    </w:p>
    <w:p w14:paraId="24063D2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Acto o condición subestándar que precede directamente al incidente.</w:t>
      </w:r>
    </w:p>
    <w:p w14:paraId="1E64748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Causa básica</w:t>
      </w:r>
    </w:p>
    <w:p w14:paraId="0ED65E5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Factor personal o factor de trabajo que explica por qué ocurrió la causa inmediata.</w:t>
      </w:r>
    </w:p>
    <w:p w14:paraId="50ED210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Causa raíz</w:t>
      </w:r>
    </w:p>
    <w:p w14:paraId="34187D41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Falla del sistema de gestión que permitió la existencia de las causas básicas.</w:t>
      </w:r>
    </w:p>
    <w:p w14:paraId="2A8A088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Acción correctiva</w:t>
      </w:r>
    </w:p>
    <w:p w14:paraId="0C76A5D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Acción para eliminar la causa raíz a fin de evitar la recurrencia del incidente.</w:t>
      </w:r>
    </w:p>
    <w:p w14:paraId="3EC53825" w14:textId="77777777" w:rsidR="001F1968" w:rsidRPr="00C62A05" w:rsidRDefault="001F1968">
      <w:pPr>
        <w:spacing w:after="80"/>
        <w:rPr>
          <w:rFonts w:ascii="Arial" w:hAnsi="Arial" w:cs="Arial"/>
        </w:rPr>
      </w:pPr>
    </w:p>
    <w:p w14:paraId="2F07B3C4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5. RESPONSABILIDADES</w:t>
      </w:r>
    </w:p>
    <w:p w14:paraId="5588354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Rol</w:t>
      </w:r>
    </w:p>
    <w:p w14:paraId="656FCA4A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Responsabilidad</w:t>
      </w:r>
    </w:p>
    <w:p w14:paraId="0CB0644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Trabajadores</w:t>
      </w:r>
    </w:p>
    <w:p w14:paraId="6602F69D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Reportar de forma inmediata todo incidente y casi accidente a su supervisor. Colaborar con la investigación.</w:t>
      </w:r>
    </w:p>
    <w:p w14:paraId="1ABBDF8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 xml:space="preserve">Supervisor / </w:t>
      </w:r>
      <w:proofErr w:type="gramStart"/>
      <w:r w:rsidRPr="00C62A05">
        <w:rPr>
          <w:rFonts w:ascii="Arial" w:hAnsi="Arial" w:cs="Arial"/>
        </w:rPr>
        <w:t>Jefe</w:t>
      </w:r>
      <w:proofErr w:type="gramEnd"/>
      <w:r w:rsidRPr="00C62A05">
        <w:rPr>
          <w:rFonts w:ascii="Arial" w:hAnsi="Arial" w:cs="Arial"/>
        </w:rPr>
        <w:t xml:space="preserve"> de Área</w:t>
      </w:r>
    </w:p>
    <w:p w14:paraId="347BB0A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Asegurar la atención inmediata, preservar el lugar, iniciar el reporte, participar en la investigación e implementar acciones.</w:t>
      </w:r>
    </w:p>
    <w:p w14:paraId="0835231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Responsable SST</w:t>
      </w:r>
    </w:p>
    <w:p w14:paraId="798F8E61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Liderar la investigación, definir el método, consolidar las causas y verificar la eficacia de las acciones.</w:t>
      </w:r>
    </w:p>
    <w:p w14:paraId="1356107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Médico Laboral</w:t>
      </w:r>
    </w:p>
    <w:p w14:paraId="67C21DA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Brindar la atención médica inicial, completar los registros médicos y asesorar sobre las condiciones del trabajador.</w:t>
      </w:r>
    </w:p>
    <w:p w14:paraId="1CF8CF56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Comité Mixto SST</w:t>
      </w:r>
    </w:p>
    <w:p w14:paraId="1036E226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Participar en investigaciones de incidentes graves o con alto potencial de pérdida; revisar tendencias.</w:t>
      </w:r>
    </w:p>
    <w:p w14:paraId="248E7F5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Dirección</w:t>
      </w:r>
    </w:p>
    <w:p w14:paraId="09B89EB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Revisar los incidentes graves, asegurar recursos para acciones correctivas y revisar la eficacia del procedimiento.</w:t>
      </w:r>
    </w:p>
    <w:p w14:paraId="0AAD0E4D" w14:textId="77777777" w:rsidR="001F1968" w:rsidRPr="00C62A05" w:rsidRDefault="001F1968">
      <w:pPr>
        <w:spacing w:after="80"/>
        <w:rPr>
          <w:rFonts w:ascii="Arial" w:hAnsi="Arial" w:cs="Arial"/>
        </w:rPr>
      </w:pPr>
    </w:p>
    <w:p w14:paraId="2C0A4836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 DESARROLLO</w:t>
      </w:r>
    </w:p>
    <w:p w14:paraId="218107DA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6.1 Clasificación de incidentes</w:t>
      </w:r>
    </w:p>
    <w:p w14:paraId="6E16ED91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Categoría</w:t>
      </w:r>
    </w:p>
    <w:p w14:paraId="00A4B66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Descripción</w:t>
      </w:r>
    </w:p>
    <w:p w14:paraId="49F7836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Fatal</w:t>
      </w:r>
    </w:p>
    <w:p w14:paraId="3778363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Incidente que provoca la muerte de una o más personas.</w:t>
      </w:r>
    </w:p>
    <w:p w14:paraId="19C5E68E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Grave</w:t>
      </w:r>
    </w:p>
    <w:p w14:paraId="582A9CFE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Lesión con pérdida de tiempo mayor a 10 días, hospitalización, lesión incapacitante o daño ambiental/material significativo.</w:t>
      </w:r>
    </w:p>
    <w:p w14:paraId="75D59A1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Leve</w:t>
      </w:r>
    </w:p>
    <w:p w14:paraId="1E85015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Lesión con tratamiento menor, pérdida de tiempo hasta 10 días.</w:t>
      </w:r>
    </w:p>
    <w:p w14:paraId="6F91BEE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Sin lesión / Daño material</w:t>
      </w:r>
    </w:p>
    <w:p w14:paraId="45564CC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Incidente que provoca daño a bienes o procesos sin lesión a personas.</w:t>
      </w:r>
    </w:p>
    <w:p w14:paraId="1ACC87F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Casi accidente (near miss)</w:t>
      </w:r>
    </w:p>
    <w:p w14:paraId="338923D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 xml:space="preserve">Suceso que podría haber causado lesión o </w:t>
      </w:r>
      <w:proofErr w:type="gramStart"/>
      <w:r w:rsidRPr="00C62A05">
        <w:rPr>
          <w:rFonts w:ascii="Arial" w:hAnsi="Arial" w:cs="Arial"/>
        </w:rPr>
        <w:t>daño</w:t>
      </w:r>
      <w:proofErr w:type="gramEnd"/>
      <w:r w:rsidRPr="00C62A05">
        <w:rPr>
          <w:rFonts w:ascii="Arial" w:hAnsi="Arial" w:cs="Arial"/>
        </w:rPr>
        <w:t xml:space="preserve"> pero no lo hizo.</w:t>
      </w:r>
    </w:p>
    <w:p w14:paraId="2F30B46A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Enfermedad profesional</w:t>
      </w:r>
    </w:p>
    <w:p w14:paraId="7A86210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Deterioro de la salud vinculado al trabajo diagnosticado por médico laboral.</w:t>
      </w:r>
    </w:p>
    <w:p w14:paraId="06ADA6D8" w14:textId="77777777" w:rsidR="001F1968" w:rsidRPr="00C62A05" w:rsidRDefault="001F1968">
      <w:pPr>
        <w:spacing w:after="80"/>
        <w:rPr>
          <w:rFonts w:ascii="Arial" w:hAnsi="Arial" w:cs="Arial"/>
        </w:rPr>
      </w:pPr>
    </w:p>
    <w:p w14:paraId="4EE660D8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6.2 Reporte inicial</w:t>
      </w:r>
    </w:p>
    <w:p w14:paraId="771E1708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Todo trabajador debe reportar el incidente a su supervisor de forma inmediata.</w:t>
      </w:r>
    </w:p>
    <w:p w14:paraId="58668292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 xml:space="preserve">• El supervisor asegura la atención médica y preserva la escena del incidente hasta que autorice la reanudación el </w:t>
      </w:r>
      <w:proofErr w:type="gramStart"/>
      <w:r w:rsidRPr="00C62A05">
        <w:rPr>
          <w:rFonts w:ascii="Arial" w:hAnsi="Arial" w:cs="Arial"/>
        </w:rPr>
        <w:t>Responsable</w:t>
      </w:r>
      <w:proofErr w:type="gramEnd"/>
      <w:r w:rsidRPr="00C62A05">
        <w:rPr>
          <w:rFonts w:ascii="Arial" w:hAnsi="Arial" w:cs="Arial"/>
        </w:rPr>
        <w:t xml:space="preserve"> SST.</w:t>
      </w:r>
    </w:p>
    <w:p w14:paraId="6FABEDD5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lastRenderedPageBreak/>
        <w:t>• Se registra el reporte inicial en el FR-109-01 Registro e Investigación de Incidentes dentro de las primeras 24 horas.</w:t>
      </w:r>
    </w:p>
    <w:p w14:paraId="31CFF991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En caso de accidente laboral, se realiza la denuncia a la ART dentro de los plazos legales.</w:t>
      </w:r>
    </w:p>
    <w:p w14:paraId="12A60CD1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Los incidentes graves o fatales se comunican a Dirección en forma inmediata.</w:t>
      </w:r>
    </w:p>
    <w:p w14:paraId="074658F0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6.3 Atención inmediata y preservación de la escena</w:t>
      </w:r>
    </w:p>
    <w:p w14:paraId="30CEACB4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Prioridad 1: atención a las personas afectadas.</w:t>
      </w:r>
    </w:p>
    <w:p w14:paraId="03C4541B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Prioridad 2: eliminar riesgos remanentes (cortar energía, aislar la zona, señalizar).</w:t>
      </w:r>
    </w:p>
    <w:p w14:paraId="1DDB33B4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Prioridad 3: preservar la escena — no modificar la posición de equipos, herramientas o elementos —, salvo por razones de seguridad.</w:t>
      </w:r>
    </w:p>
    <w:p w14:paraId="7D5B3416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Prioridad 4: tomar fotografías, recoger evidencias y testimonios frescos.</w:t>
      </w:r>
    </w:p>
    <w:p w14:paraId="2EEA3CEF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6.4 Plazos y equipo investigador</w:t>
      </w:r>
    </w:p>
    <w:p w14:paraId="6B3069E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Categoría</w:t>
      </w:r>
    </w:p>
    <w:p w14:paraId="3B5C7F6A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Plazo para iniciar</w:t>
      </w:r>
    </w:p>
    <w:p w14:paraId="6690E8F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Plazo para cerrar</w:t>
      </w:r>
    </w:p>
    <w:p w14:paraId="60451A73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Equipo investigador</w:t>
      </w:r>
    </w:p>
    <w:p w14:paraId="561490C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Fatal</w:t>
      </w:r>
    </w:p>
    <w:p w14:paraId="6E023A4A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Inmediato</w:t>
      </w:r>
    </w:p>
    <w:p w14:paraId="66832496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30 días</w:t>
      </w:r>
    </w:p>
    <w:p w14:paraId="501F8A7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 xml:space="preserve">Dirección, Responsable SST, </w:t>
      </w:r>
      <w:proofErr w:type="gramStart"/>
      <w:r w:rsidRPr="00C62A05">
        <w:rPr>
          <w:rFonts w:ascii="Arial" w:hAnsi="Arial" w:cs="Arial"/>
        </w:rPr>
        <w:t>Jefe</w:t>
      </w:r>
      <w:proofErr w:type="gramEnd"/>
      <w:r w:rsidRPr="00C62A05">
        <w:rPr>
          <w:rFonts w:ascii="Arial" w:hAnsi="Arial" w:cs="Arial"/>
        </w:rPr>
        <w:t xml:space="preserve"> de Área, Comité Mixto, Médico Laboral</w:t>
      </w:r>
    </w:p>
    <w:p w14:paraId="65111B9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Grave</w:t>
      </w:r>
    </w:p>
    <w:p w14:paraId="5C5BD6C1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Inmediato</w:t>
      </w:r>
    </w:p>
    <w:p w14:paraId="4A4A89B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15 días</w:t>
      </w:r>
    </w:p>
    <w:p w14:paraId="28924F5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 xml:space="preserve">Responsable SST, </w:t>
      </w:r>
      <w:proofErr w:type="gramStart"/>
      <w:r w:rsidRPr="00C62A05">
        <w:rPr>
          <w:rFonts w:ascii="Arial" w:hAnsi="Arial" w:cs="Arial"/>
        </w:rPr>
        <w:t>Jefe</w:t>
      </w:r>
      <w:proofErr w:type="gramEnd"/>
      <w:r w:rsidRPr="00C62A05">
        <w:rPr>
          <w:rFonts w:ascii="Arial" w:hAnsi="Arial" w:cs="Arial"/>
        </w:rPr>
        <w:t xml:space="preserve"> de Área, Supervisor, representante de trabajadores</w:t>
      </w:r>
    </w:p>
    <w:p w14:paraId="0FFB250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Leve</w:t>
      </w:r>
    </w:p>
    <w:p w14:paraId="30C88EF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&lt; 24 h</w:t>
      </w:r>
    </w:p>
    <w:p w14:paraId="1921FC51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10 días</w:t>
      </w:r>
    </w:p>
    <w:p w14:paraId="47D96DB1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Supervisor, Responsable SST</w:t>
      </w:r>
    </w:p>
    <w:p w14:paraId="7B51F6F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Sin lesión / Near miss</w:t>
      </w:r>
    </w:p>
    <w:p w14:paraId="127C4F81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&lt; 48 h</w:t>
      </w:r>
    </w:p>
    <w:p w14:paraId="4602BF63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10 días</w:t>
      </w:r>
    </w:p>
    <w:p w14:paraId="7275034A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Supervisor, Responsable SST</w:t>
      </w:r>
    </w:p>
    <w:p w14:paraId="0E0C3548" w14:textId="77777777" w:rsidR="001F1968" w:rsidRPr="00C62A05" w:rsidRDefault="001F1968">
      <w:pPr>
        <w:spacing w:after="80"/>
        <w:rPr>
          <w:rFonts w:ascii="Arial" w:hAnsi="Arial" w:cs="Arial"/>
        </w:rPr>
      </w:pPr>
    </w:p>
    <w:p w14:paraId="0564C754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6.5 Metodología de análisis de causas</w:t>
      </w:r>
    </w:p>
    <w:p w14:paraId="063F8F87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</w:rPr>
        <w:t>La investigación se realiza con una metodología estructurada, seleccionada según la gravedad del incidente. Como mínimo se aplicará:</w:t>
      </w:r>
    </w:p>
    <w:p w14:paraId="4F71CF63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Incidentes leves / near miss: técnica de los 5 porqués.</w:t>
      </w:r>
    </w:p>
    <w:p w14:paraId="5C2DDC49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Incidentes graves: diagrama causa-efecto (Ishikawa) más 5 porqués.</w:t>
      </w:r>
    </w:p>
    <w:p w14:paraId="6668B5C2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Incidentes fatales o de alto potencial: Árbol de Causas o Tap-Root.</w:t>
      </w:r>
    </w:p>
    <w:p w14:paraId="5A11BA21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</w:rPr>
        <w:t>En todos los casos se identifican causas inmediatas (actos y condiciones subestándar), causas básicas (factores personales y de trabajo) y causas raíz (fallas del sistema de gestión).</w:t>
      </w:r>
    </w:p>
    <w:p w14:paraId="751E57FB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6.6 Definición de acciones correctivas</w:t>
      </w:r>
    </w:p>
    <w:p w14:paraId="282229C7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Por cada causa raíz identificada se define al menos una acción correctiva.</w:t>
      </w:r>
    </w:p>
    <w:p w14:paraId="41A978DB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lastRenderedPageBreak/>
        <w:t>• Las acciones se priorizan según la jerarquía de controles (eliminación, sustitución, ingeniería, administrativo, EPP).</w:t>
      </w:r>
    </w:p>
    <w:p w14:paraId="1D8E40ED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Cada acción tiene responsable, plazo y recursos definidos. Se gestionan en el FR-30-01 Registro de No Conformidades y Acciones Correctivas.</w:t>
      </w:r>
    </w:p>
    <w:p w14:paraId="755D95FE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Cuando la acción implique un cambio significativo, se gestiona adicionalmente conforme PR-16.</w:t>
      </w:r>
    </w:p>
    <w:p w14:paraId="22501F92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6.7 Verificación de eficacia</w:t>
      </w:r>
    </w:p>
    <w:p w14:paraId="76D7E5E6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 xml:space="preserve">• El </w:t>
      </w:r>
      <w:proofErr w:type="gramStart"/>
      <w:r w:rsidRPr="00C62A05">
        <w:rPr>
          <w:rFonts w:ascii="Arial" w:hAnsi="Arial" w:cs="Arial"/>
        </w:rPr>
        <w:t>Responsable</w:t>
      </w:r>
      <w:proofErr w:type="gramEnd"/>
      <w:r w:rsidRPr="00C62A05">
        <w:rPr>
          <w:rFonts w:ascii="Arial" w:hAnsi="Arial" w:cs="Arial"/>
        </w:rPr>
        <w:t xml:space="preserve"> SST verifica la implementación de cada acción en el plazo definido.</w:t>
      </w:r>
    </w:p>
    <w:p w14:paraId="539B9BCB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La eficacia se evalúa a los 60 días mediante observación, auditoría o indicadores específicos.</w:t>
      </w:r>
    </w:p>
    <w:p w14:paraId="13B4A2AD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Si la acción no resultó eficaz, se reabre el análisis y se definen nuevas acciones.</w:t>
      </w:r>
    </w:p>
    <w:p w14:paraId="13D177DB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6.8 Comunicación y lecciones aprendidas</w:t>
      </w:r>
    </w:p>
    <w:p w14:paraId="65EFB817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Los resultados de la investigación se comunican al personal afectado y, cuando aplique, a toda la organización.</w:t>
      </w:r>
    </w:p>
    <w:p w14:paraId="387638A7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Los incidentes relevantes generan una Lección Aprendida que se difunde en Diálogos de Seguridad (FR-32-01).</w:t>
      </w:r>
    </w:p>
    <w:p w14:paraId="2A682088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Los resultados alimentan la revisión por la Dirección (PR-14) y la actualización de la IPERC (PR-04).</w:t>
      </w:r>
    </w:p>
    <w:p w14:paraId="77B4CE48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6.9 Confidencialidad y no punitividad</w:t>
      </w:r>
    </w:p>
    <w:p w14:paraId="6E5A87EE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</w:rPr>
        <w:t>La investigación de incidentes se realiza con un enfoque no punitivo, centrado en las causas del sistema. Los datos personales de salud se mantienen bajo confidencialidad y solo se comparten con las personas autorizadas por el Médico Laboral y el trabajador involucrado.</w:t>
      </w:r>
    </w:p>
    <w:p w14:paraId="221DA555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7. REGISTROS</w:t>
      </w:r>
    </w:p>
    <w:p w14:paraId="665C68B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Código</w:t>
      </w:r>
    </w:p>
    <w:p w14:paraId="0229651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Registro</w:t>
      </w:r>
    </w:p>
    <w:p w14:paraId="0916B59D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Responsable</w:t>
      </w:r>
    </w:p>
    <w:p w14:paraId="4741EE4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Retención</w:t>
      </w:r>
    </w:p>
    <w:p w14:paraId="12530BD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FR-109-01</w:t>
      </w:r>
    </w:p>
    <w:p w14:paraId="16FB23A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Informe Técnico de Investigación de Accidentes e Incidentes</w:t>
      </w:r>
    </w:p>
    <w:p w14:paraId="3B92CB7A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Responsable SST</w:t>
      </w:r>
    </w:p>
    <w:p w14:paraId="0994E80E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10 años</w:t>
      </w:r>
    </w:p>
    <w:p w14:paraId="309727A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FR-30-01</w:t>
      </w:r>
    </w:p>
    <w:p w14:paraId="31D9A90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Registro de No Conformidades y Acciones Correctivas</w:t>
      </w:r>
    </w:p>
    <w:p w14:paraId="06357C0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Responsable SST</w:t>
      </w:r>
    </w:p>
    <w:p w14:paraId="4CE5061E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5 años</w:t>
      </w:r>
    </w:p>
    <w:p w14:paraId="09288F5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FR-32-01</w:t>
      </w:r>
    </w:p>
    <w:p w14:paraId="7410637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Diálogo de Seguridad — Lección Aprendida</w:t>
      </w:r>
    </w:p>
    <w:p w14:paraId="33C471B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Supervisor / SST</w:t>
      </w:r>
    </w:p>
    <w:p w14:paraId="124A8C9D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3 años</w:t>
      </w:r>
    </w:p>
    <w:p w14:paraId="5101196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Denuncia ART</w:t>
      </w:r>
    </w:p>
    <w:p w14:paraId="32398C38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lastRenderedPageBreak/>
        <w:t>Copia de la denuncia a la ART</w:t>
      </w:r>
    </w:p>
    <w:p w14:paraId="64C5127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RRHH / SST</w:t>
      </w:r>
    </w:p>
    <w:p w14:paraId="77623C1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10 años</w:t>
      </w:r>
    </w:p>
    <w:p w14:paraId="0EA7340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Acta</w:t>
      </w:r>
    </w:p>
    <w:p w14:paraId="3F8431C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Acta del Comité Mixto para incidentes graves / fatales</w:t>
      </w:r>
    </w:p>
    <w:p w14:paraId="4D76B0CE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Responsable SST</w:t>
      </w:r>
    </w:p>
    <w:p w14:paraId="5D699EE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10 años</w:t>
      </w:r>
    </w:p>
    <w:p w14:paraId="38031755" w14:textId="77777777" w:rsidR="001F1968" w:rsidRPr="00C62A05" w:rsidRDefault="001F1968">
      <w:pPr>
        <w:spacing w:after="80"/>
        <w:rPr>
          <w:rFonts w:ascii="Arial" w:hAnsi="Arial" w:cs="Arial"/>
        </w:rPr>
      </w:pPr>
    </w:p>
    <w:p w14:paraId="69A2EFEB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8. INDICADORES DE DESEMPEÑO</w:t>
      </w:r>
    </w:p>
    <w:p w14:paraId="2ADAF49F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Indicador</w:t>
      </w:r>
    </w:p>
    <w:p w14:paraId="2CE740F8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Fórmula / Criterio</w:t>
      </w:r>
    </w:p>
    <w:p w14:paraId="3EB42F5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Meta</w:t>
      </w:r>
    </w:p>
    <w:p w14:paraId="21887D1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Frecuencia</w:t>
      </w:r>
    </w:p>
    <w:p w14:paraId="0C32969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Índice de Frecuencia</w:t>
      </w:r>
    </w:p>
    <w:p w14:paraId="0BC81F83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(N° accidentes con baja × 1.000.000) / HH trabajadas</w:t>
      </w:r>
    </w:p>
    <w:p w14:paraId="176D935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Decreciente</w:t>
      </w:r>
    </w:p>
    <w:p w14:paraId="61BA7DFE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Mensual</w:t>
      </w:r>
    </w:p>
    <w:p w14:paraId="4A80701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Índice de Gravedad</w:t>
      </w:r>
    </w:p>
    <w:p w14:paraId="3C59BF2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(Días perdidos × 1.000.000) / HH trabajadas</w:t>
      </w:r>
    </w:p>
    <w:p w14:paraId="5A074B5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Decreciente</w:t>
      </w:r>
    </w:p>
    <w:p w14:paraId="64E1C1A3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Mensual</w:t>
      </w:r>
    </w:p>
    <w:p w14:paraId="43CE682D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Investigaciones cerradas en plazo</w:t>
      </w:r>
    </w:p>
    <w:p w14:paraId="607F57A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N° cerradas en plazo / N° totales</w:t>
      </w:r>
    </w:p>
    <w:p w14:paraId="105231D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≥ 90%</w:t>
      </w:r>
    </w:p>
    <w:p w14:paraId="3C4F5B0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Mensual</w:t>
      </w:r>
    </w:p>
    <w:p w14:paraId="4B63E56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Acciones correctivas verificadas eficaces</w:t>
      </w:r>
    </w:p>
    <w:p w14:paraId="52653DD2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N° acciones eficaces / N° acciones cerradas</w:t>
      </w:r>
    </w:p>
    <w:p w14:paraId="1101761C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≥ 90%</w:t>
      </w:r>
    </w:p>
    <w:p w14:paraId="001CDB5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Trimestral</w:t>
      </w:r>
    </w:p>
    <w:p w14:paraId="6E16E01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Reportes de near miss</w:t>
      </w:r>
    </w:p>
    <w:p w14:paraId="7EA06DA8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N° reportes recibidos</w:t>
      </w:r>
    </w:p>
    <w:p w14:paraId="6B9BCC6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Tendencia creciente</w:t>
      </w:r>
    </w:p>
    <w:p w14:paraId="52FC72F0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Mensual</w:t>
      </w:r>
    </w:p>
    <w:p w14:paraId="39D248F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Recurrencia</w:t>
      </w:r>
    </w:p>
    <w:p w14:paraId="5345F52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N° incidentes con causa raíz igual a una investigación previa</w:t>
      </w:r>
    </w:p>
    <w:p w14:paraId="3DDB0009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0</w:t>
      </w:r>
    </w:p>
    <w:p w14:paraId="159D207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Semestral</w:t>
      </w:r>
    </w:p>
    <w:p w14:paraId="47F2CB0C" w14:textId="77777777" w:rsidR="001F1968" w:rsidRPr="00C62A05" w:rsidRDefault="001F1968">
      <w:pPr>
        <w:spacing w:after="80"/>
        <w:rPr>
          <w:rFonts w:ascii="Arial" w:hAnsi="Arial" w:cs="Arial"/>
        </w:rPr>
      </w:pPr>
    </w:p>
    <w:p w14:paraId="48645B15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9. REVISIÓN Y ACTUALIZACIÓN</w:t>
      </w:r>
    </w:p>
    <w:p w14:paraId="4D0718A8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</w:rPr>
        <w:t>Este procedimiento se revisará anualmente o cuando ocurra:</w:t>
      </w:r>
    </w:p>
    <w:p w14:paraId="2449D1AE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Cambios en la legislación aplicable (SRT, ART).</w:t>
      </w:r>
    </w:p>
    <w:p w14:paraId="3EFDC239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Resultados de auditorías internas o externas.</w:t>
      </w:r>
    </w:p>
    <w:p w14:paraId="2810DF86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Incidentes graves o fatales que evidencien debilidades del procedimiento.</w:t>
      </w:r>
    </w:p>
    <w:p w14:paraId="2A5BD0DA" w14:textId="77777777" w:rsidR="001F1968" w:rsidRPr="00C62A05" w:rsidRDefault="00000000">
      <w:pPr>
        <w:spacing w:after="40"/>
        <w:rPr>
          <w:rFonts w:ascii="Arial" w:hAnsi="Arial" w:cs="Arial"/>
        </w:rPr>
      </w:pPr>
      <w:r w:rsidRPr="00C62A05">
        <w:rPr>
          <w:rFonts w:ascii="Arial" w:hAnsi="Arial" w:cs="Arial"/>
        </w:rPr>
        <w:t>• Actualización de la metodología de análisis de causas utilizada en la empresa.</w:t>
      </w:r>
    </w:p>
    <w:p w14:paraId="1F680560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</w:rPr>
        <w:t>Las revisiones quedarán registradas en la Lista Maestra de Documentos.</w:t>
      </w:r>
    </w:p>
    <w:p w14:paraId="74A306F8" w14:textId="77777777" w:rsidR="001F1968" w:rsidRPr="00C62A05" w:rsidRDefault="00000000">
      <w:pPr>
        <w:spacing w:after="80"/>
        <w:rPr>
          <w:rFonts w:ascii="Arial" w:hAnsi="Arial" w:cs="Arial"/>
        </w:rPr>
      </w:pPr>
      <w:r w:rsidRPr="00C62A05">
        <w:rPr>
          <w:rFonts w:ascii="Arial" w:hAnsi="Arial" w:cs="Arial"/>
          <w:b/>
        </w:rPr>
        <w:lastRenderedPageBreak/>
        <w:t>10. HISTORIAL DE REVISIONES</w:t>
      </w:r>
    </w:p>
    <w:p w14:paraId="2D4F42C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Versión</w:t>
      </w:r>
    </w:p>
    <w:p w14:paraId="54C23266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Fecha</w:t>
      </w:r>
    </w:p>
    <w:p w14:paraId="391445ED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Descripción del Cambio</w:t>
      </w:r>
    </w:p>
    <w:p w14:paraId="59CB6AE4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  <w:b/>
        </w:rPr>
        <w:t>Autor</w:t>
      </w:r>
    </w:p>
    <w:p w14:paraId="6BD085D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01</w:t>
      </w:r>
    </w:p>
    <w:p w14:paraId="39AB8137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Abril 2026</w:t>
      </w:r>
    </w:p>
    <w:p w14:paraId="0388FB6B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Emisión inicial — Procedimiento de Investigación de Incidentes.</w:t>
      </w:r>
    </w:p>
    <w:p w14:paraId="3921E295" w14:textId="77777777" w:rsidR="001F1968" w:rsidRPr="00C62A05" w:rsidRDefault="00000000">
      <w:pPr>
        <w:rPr>
          <w:rFonts w:ascii="Arial" w:hAnsi="Arial" w:cs="Arial"/>
        </w:rPr>
      </w:pPr>
      <w:r w:rsidRPr="00C62A05">
        <w:rPr>
          <w:rFonts w:ascii="Arial" w:hAnsi="Arial" w:cs="Arial"/>
        </w:rPr>
        <w:t>Responsable SST</w:t>
      </w:r>
    </w:p>
    <w:p w14:paraId="63FE3622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 w:rsidRPr="00C62A05"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4489A383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A6FA58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82EB49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2D3D32F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3599E59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01C81D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0AEEAB5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716ED90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64C22E5F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6F529FB2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4FC557F7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60CC7293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1E54550F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44FEA41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8DA963B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5EB88D12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879E3A8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471F6226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1A051589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017F86B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2A1FDEF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5B97843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908C9DF" w14:textId="77777777" w:rsidR="4D9F759E" w:rsidRDefault="4D9F759E"/>
    <w:p w14:paraId="11356427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484FF479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3E62AAA9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76979A4B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6A39F407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4C539A31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3E4F27FC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7DBDD4BF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03EDCAB7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310739A4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7D3B0EEF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5DB8D62B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16FD0677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54868CE5" w14:textId="77777777" w:rsidR="4D9F759E" w:rsidRDefault="4D9F759E"/>
    <w:p w14:paraId="48D812CB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2455DB47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51841047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0CC9EAFE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3948CE97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392A592A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28AB5FB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163B0E52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27145FD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5E96DEB7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5CEAEA38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3B285B15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7BB25E5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2A12385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2ADCAD50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6EF1A39C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471E97CD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7CE64342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04D9819A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274DB6B5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6B66F559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7DF4EFE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28AF24C7" w14:textId="77777777" w:rsidR="00E3521B" w:rsidRDefault="00E3521B" w:rsidP="00E3521B"/>
    <w:p w14:paraId="6222AC0D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1303A" w14:textId="77777777" w:rsidR="00420965" w:rsidRDefault="00420965">
      <w:r>
        <w:separator/>
      </w:r>
    </w:p>
  </w:endnote>
  <w:endnote w:type="continuationSeparator" w:id="0">
    <w:p w14:paraId="17F880F2" w14:textId="77777777" w:rsidR="00420965" w:rsidRDefault="00420965">
      <w:r>
        <w:continuationSeparator/>
      </w:r>
    </w:p>
  </w:endnote>
  <w:endnote w:type="continuationNotice" w:id="1">
    <w:p w14:paraId="09292922" w14:textId="77777777" w:rsidR="00420965" w:rsidRDefault="00420965"/>
  </w:endnote>
</w:endnote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30CAB963" w14:textId="77777777" w:rsidTr="00081B0D">
      <w:tc>
        <w:tcPr>
          <w:tcW w:w="6309" w:type="dxa"/>
          <w:vAlign w:val="center"/>
        </w:tcPr>
        <w:p w14:paraId="53A17755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746BEC77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6B5B8358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6C36CC86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8891B" w14:textId="77777777" w:rsidR="00420965" w:rsidRDefault="00420965">
      <w:r>
        <w:separator/>
      </w:r>
    </w:p>
  </w:footnote>
  <w:footnote w:type="continuationSeparator" w:id="0">
    <w:p w14:paraId="528A412B" w14:textId="77777777" w:rsidR="00420965" w:rsidRDefault="00420965">
      <w:r>
        <w:continuationSeparator/>
      </w:r>
    </w:p>
  </w:footnote>
  <w:footnote w:type="continuationNotice" w:id="1">
    <w:p w14:paraId="2D7C4C29" w14:textId="77777777" w:rsidR="00420965" w:rsidRDefault="0042096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24A7B05F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03ABF7E0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7750EFF7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7712BB48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PR-18</w:t>
          </w:r>
        </w:p>
      </w:tc>
    </w:tr>
    <w:tr w:rsidR="003C3D7E" w14:paraId="6A3E02BA" w14:textId="77777777" w:rsidTr="3EBEE504">
      <w:trPr>
        <w:cantSplit/>
        <w:trHeight w:val="625"/>
      </w:trPr>
      <w:tc>
        <w:tcPr>
          <w:tcW w:w="1118" w:type="pct"/>
          <w:vMerge/>
        </w:tcPr>
        <w:p w14:paraId="5025DFB0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58033F19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Investigación de Incidentes</w:t>
          </w:r>
        </w:p>
      </w:tc>
      <w:tc>
        <w:tcPr>
          <w:tcW w:w="1045" w:type="pct"/>
          <w:vAlign w:val="center"/>
        </w:tcPr>
        <w:p w14:paraId="0F988BF6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67FB99C5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1F1968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0965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0586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62A05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F03D41"/>
  <w15:docId w15:val="{3B676D11-5B4F-4B29-9AC7-DDBF5AD74D3A}"/>
</w: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299CB8B6-DAFB-4C56-8F20-1CE7B541D3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6af3c6-6506-406f-906a-363a197505cb"/>
    <ds:schemaRef ds:uri="bb2b36ed-bee3-4b57-9f16-23d26e905e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C875D2-6507-4BA9-9F78-970DD12CA27C}"/>
</file>

<file path=customXml/itemProps6.xml><?xml version="1.0" encoding="utf-8"?>
<ds:datastoreItem xmlns:ds="http://schemas.openxmlformats.org/officeDocument/2006/customXml" ds:itemID="{4D4F94D2-327C-4983-8F40-14000CC1CD51}"/>
</file>

<file path=customXml/itemProps7.xml><?xml version="1.0" encoding="utf-8"?>
<ds:datastoreItem xmlns:ds="http://schemas.openxmlformats.org/officeDocument/2006/customXml" ds:itemID="{01770894-6F9D-4D48-80D3-36CF751C958A}"/>
</file>

<file path=customXml/itemProps8.xml><?xml version="1.0" encoding="utf-8"?>
<ds:datastoreItem xmlns:ds="http://schemas.openxmlformats.org/officeDocument/2006/customXml" ds:itemID="{B6EB20F5-B553-4CC7-A697-3BD51A2B7D4F}"/>
</file>

<file path=docProps/custo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