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Steps to Move to Production</w:t>
      </w:r>
    </w:p>
    <w:p>
      <w:pPr>
        <w:spacing w:after="280"/>
      </w:pPr>
      <w:r>
        <w:rPr>
          <w:b/>
        </w:rPr>
        <w:t>Project:</w:t>
      </w:r>
      <w:r>
        <w:rPr/>
        <w:t xml:space="preserve"> Quality First Turf, customer request form and on-site visit tool</w:t>
      </w:r>
      <w:r>
        <w:br/>
      </w:r>
      <w:r>
        <w:rPr>
          <w:b/>
        </w:rPr>
        <w:t>Status:</w:t>
      </w:r>
      <w:r>
        <w:rPr/>
        <w:t xml:space="preserve"> Working on the development setup. This list covers everything needed to go live.</w:t>
      </w:r>
    </w:p>
    <w:p>
      <w:pPr>
        <w:pStyle w:val="Heading1"/>
      </w:pPr>
      <w:r>
        <w:t>Overview</w:t>
      </w:r>
    </w:p>
    <w:p>
      <w:r>
        <w:rPr/>
        <w:t xml:space="preserve">Going live has four parts: what we need from the client (Part 1), the technical work on our side (Part 2), go-live day (Part 3) and what comes after launch (Part 4). Most of Part 2 can start as soon as the domain and the Jobber connection are settled, so the client items marked </w:t>
      </w:r>
      <w:r>
        <w:rPr>
          <w:b/>
        </w:rPr>
        <w:t>First</w:t>
      </w:r>
      <w:r>
        <w:rPr/>
        <w:t xml:space="preserve"> are the ones that block everything else.</w:t>
      </w:r>
    </w:p>
    <w:p>
      <w:pPr>
        <w:pStyle w:val="Heading1"/>
      </w:pPr>
      <w:r>
        <w:t>Part 1: What We Need From the Client</w:t>
      </w:r>
    </w:p>
    <w:p>
      <w:pPr>
        <w:pStyle w:val="Heading2"/>
      </w:pPr>
      <w:r>
        <w:t>1. Jobber account</w:t>
      </w:r>
    </w:p>
    <w:tbl>
      <w:tblPr>
        <w:tblW w:type="auto" w:w="0"/>
        <w:jc w:val="center"/>
        <w:tblLayout w:type="fixed"/>
        <w:tblLook w:firstColumn="1" w:firstRow="1" w:lastColumn="0" w:lastRow="0" w:noHBand="0" w:noVBand="1" w:val="04A0"/>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CellMar>
          <w:top w:w="70" w:type="dxa"/>
          <w:left w:w="110" w:type="dxa"/>
          <w:bottom w:w="70" w:type="dxa"/>
          <w:right w:w="110" w:type="dxa"/>
        </w:tblCellMar>
      </w:tblPr>
      <w:tblGrid>
        <w:gridCol w:w="3120"/>
        <w:gridCol w:w="3120"/>
        <w:gridCol w:w="3120"/>
      </w:tblGrid>
      <w:tr>
        <w:trPr>
          <w:cantSplit/>
          <w:tblHeader/>
        </w:trPr>
        <w:tc>
          <w:tcPr>
            <w:tcW w:type="dxa" w:w="3456"/>
            <w:shd w:val="clear" w:color="auto" w:fill="E3EBDD"/>
          </w:tcPr>
          <w:p>
            <w:pPr>
              <w:spacing w:after="0" w:line="264" w:lineRule="auto"/>
            </w:pPr>
            <w:r>
              <w:rPr>
                <w:b/>
                <w:color w:val="1B4A32"/>
              </w:rPr>
              <w:t>Item</w:t>
            </w:r>
          </w:p>
        </w:tc>
        <w:tc>
          <w:tcPr>
            <w:tcW w:type="dxa" w:w="1728"/>
            <w:shd w:val="clear" w:color="auto" w:fill="E3EBDD"/>
          </w:tcPr>
          <w:p>
            <w:pPr>
              <w:spacing w:after="0" w:line="264" w:lineRule="auto"/>
            </w:pPr>
            <w:r>
              <w:rPr>
                <w:b/>
                <w:color w:val="1B4A32"/>
              </w:rPr>
              <w:t>Who</w:t>
            </w:r>
          </w:p>
        </w:tc>
        <w:tc>
          <w:tcPr>
            <w:tcW w:type="dxa" w:w="4176"/>
            <w:shd w:val="clear" w:color="auto" w:fill="E3EBDD"/>
          </w:tcPr>
          <w:p>
            <w:pPr>
              <w:spacing w:after="0" w:line="264" w:lineRule="auto"/>
            </w:pPr>
            <w:r>
              <w:rPr>
                <w:b/>
                <w:color w:val="1B4A32"/>
              </w:rPr>
              <w:t>Detail</w:t>
            </w:r>
          </w:p>
        </w:tc>
      </w:tr>
      <w:tr>
        <w:trPr>
          <w:cantSplit/>
        </w:trPr>
        <w:tc>
          <w:tcPr>
            <w:tcW w:type="dxa" w:w="3456"/>
          </w:tcPr>
          <w:p>
            <w:pPr>
              <w:spacing w:after="0" w:line="264" w:lineRule="auto"/>
            </w:pPr>
            <w:r>
              <w:rPr/>
              <w:t>Approve the connection (</w:t>
            </w:r>
            <w:r>
              <w:rPr>
                <w:b/>
              </w:rPr>
              <w:t>First</w:t>
            </w:r>
            <w:r>
              <w:rPr/>
              <w:t>)</w:t>
            </w:r>
          </w:p>
        </w:tc>
        <w:tc>
          <w:tcPr>
            <w:tcW w:type="dxa" w:w="1728"/>
          </w:tcPr>
          <w:p>
            <w:pPr>
              <w:spacing w:after="0" w:line="264" w:lineRule="auto"/>
            </w:pPr>
            <w:r>
              <w:rPr/>
              <w:t>Client admin</w:t>
            </w:r>
          </w:p>
        </w:tc>
        <w:tc>
          <w:tcPr>
            <w:tcW w:type="dxa" w:w="4176"/>
          </w:tcPr>
          <w:p>
            <w:pPr>
              <w:spacing w:after="0" w:line="264" w:lineRule="auto"/>
            </w:pPr>
            <w:r>
              <w:rPr/>
              <w:t>Sign in to Jobber and click Allow once on a link we send. This lets our app create clients, requests, quotes and consultations in their account.</w:t>
            </w:r>
          </w:p>
        </w:tc>
      </w:tr>
      <w:tr>
        <w:trPr>
          <w:cantSplit/>
        </w:trPr>
        <w:tc>
          <w:tcPr>
            <w:tcW w:type="dxa" w:w="3456"/>
          </w:tcPr>
          <w:p>
            <w:pPr>
              <w:spacing w:after="0" w:line="264" w:lineRule="auto"/>
            </w:pPr>
            <w:r>
              <w:rPr/>
              <w:t>Verify the business email in Jobber</w:t>
            </w:r>
          </w:p>
        </w:tc>
        <w:tc>
          <w:tcPr>
            <w:tcW w:type="dxa" w:w="1728"/>
          </w:tcPr>
          <w:p>
            <w:pPr>
              <w:spacing w:after="0" w:line="264" w:lineRule="auto"/>
            </w:pPr>
            <w:r>
              <w:rPr/>
              <w:t>Client admin</w:t>
            </w:r>
          </w:p>
        </w:tc>
        <w:tc>
          <w:tcPr>
            <w:tcW w:type="dxa" w:w="4176"/>
          </w:tcPr>
          <w:p>
            <w:pPr>
              <w:spacing w:after="0" w:line="264" w:lineRule="auto"/>
            </w:pPr>
            <w:r>
              <w:rPr/>
              <w:t>Jobber will not send any emails (request received, booking confirmation, reminders) until Settings, Company Settings shows the email as verified.</w:t>
            </w:r>
          </w:p>
        </w:tc>
      </w:tr>
      <w:tr>
        <w:trPr>
          <w:cantSplit/>
        </w:trPr>
        <w:tc>
          <w:tcPr>
            <w:tcW w:type="dxa" w:w="3456"/>
          </w:tcPr>
          <w:p>
            <w:pPr>
              <w:spacing w:after="0" w:line="264" w:lineRule="auto"/>
            </w:pPr>
            <w:r>
              <w:rPr/>
              <w:t>Confirm the connected user and time zone</w:t>
            </w:r>
          </w:p>
        </w:tc>
        <w:tc>
          <w:tcPr>
            <w:tcW w:type="dxa" w:w="1728"/>
          </w:tcPr>
          <w:p>
            <w:pPr>
              <w:spacing w:after="0" w:line="264" w:lineRule="auto"/>
            </w:pPr>
            <w:r>
              <w:rPr/>
              <w:t>Client admin</w:t>
            </w:r>
          </w:p>
        </w:tc>
        <w:tc>
          <w:tcPr>
            <w:tcW w:type="dxa" w:w="4176"/>
          </w:tcPr>
          <w:p>
            <w:pPr>
              <w:spacing w:after="0" w:line="264" w:lineRule="auto"/>
            </w:pPr>
            <w:r>
              <w:rPr/>
              <w:t>Consultation times use the time zone of the Jobber user we connect. It must be the business's local time zone.</w:t>
            </w:r>
          </w:p>
        </w:tc>
      </w:tr>
      <w:tr>
        <w:trPr>
          <w:cantSplit/>
        </w:trPr>
        <w:tc>
          <w:tcPr>
            <w:tcW w:type="dxa" w:w="3456"/>
          </w:tcPr>
          <w:p>
            <w:pPr>
              <w:spacing w:after="0" w:line="264" w:lineRule="auto"/>
            </w:pPr>
            <w:r>
              <w:rPr/>
              <w:t>Check the client notification settings</w:t>
            </w:r>
          </w:p>
        </w:tc>
        <w:tc>
          <w:tcPr>
            <w:tcW w:type="dxa" w:w="1728"/>
          </w:tcPr>
          <w:p>
            <w:pPr>
              <w:spacing w:after="0" w:line="264" w:lineRule="auto"/>
            </w:pPr>
            <w:r>
              <w:rPr/>
              <w:t>Client admin</w:t>
            </w:r>
          </w:p>
        </w:tc>
        <w:tc>
          <w:tcPr>
            <w:tcW w:type="dxa" w:w="4176"/>
          </w:tcPr>
          <w:p>
            <w:pPr>
              <w:spacing w:after="0" w:line="264" w:lineRule="auto"/>
            </w:pPr>
            <w:r>
              <w:rPr/>
              <w:t>Turn on the emails they want customers to receive: request received, booking confirmation, and assessment reminders.</w:t>
            </w:r>
          </w:p>
        </w:tc>
      </w:tr>
      <w:tr>
        <w:trPr>
          <w:cantSplit/>
        </w:trPr>
        <w:tc>
          <w:tcPr>
            <w:tcW w:type="dxa" w:w="3456"/>
          </w:tcPr>
          <w:p>
            <w:pPr>
              <w:spacing w:after="0" w:line="264" w:lineRule="auto"/>
            </w:pPr>
            <w:r>
              <w:rPr/>
              <w:t>Decide who gets assigned</w:t>
            </w:r>
          </w:p>
        </w:tc>
        <w:tc>
          <w:tcPr>
            <w:tcW w:type="dxa" w:w="1728"/>
          </w:tcPr>
          <w:p>
            <w:pPr>
              <w:spacing w:after="0" w:line="264" w:lineRule="auto"/>
            </w:pPr>
            <w:r>
              <w:rPr/>
              <w:t>Client</w:t>
            </w:r>
          </w:p>
        </w:tc>
        <w:tc>
          <w:tcPr>
            <w:tcW w:type="dxa" w:w="4176"/>
          </w:tcPr>
          <w:p>
            <w:pPr>
              <w:spacing w:after="0" w:line="264" w:lineRule="auto"/>
            </w:pPr>
            <w:r>
              <w:rPr/>
              <w:t>New requests and consultations are currently unassigned. Tell us whether they should go to a specific team member.</w:t>
            </w:r>
          </w:p>
        </w:tc>
      </w:tr>
    </w:tbl>
    <w:p>
      <w:pPr>
        <w:spacing w:after="80"/>
      </w:pPr>
    </w:p>
    <w:p>
      <w:pPr>
        <w:pStyle w:val="Heading2"/>
      </w:pPr>
      <w:r>
        <w:t>2. Domain and website</w:t>
      </w:r>
    </w:p>
    <w:tbl>
      <w:tblPr>
        <w:tblW w:type="auto" w:w="0"/>
        <w:jc w:val="center"/>
        <w:tblLayout w:type="fixed"/>
        <w:tblLook w:firstColumn="1" w:firstRow="1" w:lastColumn="0" w:lastRow="0" w:noHBand="0" w:noVBand="1" w:val="04A0"/>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CellMar>
          <w:top w:w="70" w:type="dxa"/>
          <w:left w:w="110" w:type="dxa"/>
          <w:bottom w:w="70" w:type="dxa"/>
          <w:right w:w="110" w:type="dxa"/>
        </w:tblCellMar>
      </w:tblPr>
      <w:tblGrid>
        <w:gridCol w:w="3120"/>
        <w:gridCol w:w="3120"/>
        <w:gridCol w:w="3120"/>
      </w:tblGrid>
      <w:tr>
        <w:trPr>
          <w:cantSplit/>
          <w:tblHeader/>
        </w:trPr>
        <w:tc>
          <w:tcPr>
            <w:tcW w:type="dxa" w:w="3456"/>
            <w:shd w:val="clear" w:color="auto" w:fill="E3EBDD"/>
          </w:tcPr>
          <w:p>
            <w:pPr>
              <w:spacing w:after="0" w:line="264" w:lineRule="auto"/>
            </w:pPr>
            <w:r>
              <w:rPr>
                <w:b/>
                <w:color w:val="1B4A32"/>
              </w:rPr>
              <w:t>Item</w:t>
            </w:r>
          </w:p>
        </w:tc>
        <w:tc>
          <w:tcPr>
            <w:tcW w:type="dxa" w:w="1728"/>
            <w:shd w:val="clear" w:color="auto" w:fill="E3EBDD"/>
          </w:tcPr>
          <w:p>
            <w:pPr>
              <w:spacing w:after="0" w:line="264" w:lineRule="auto"/>
            </w:pPr>
            <w:r>
              <w:rPr>
                <w:b/>
                <w:color w:val="1B4A32"/>
              </w:rPr>
              <w:t>Who</w:t>
            </w:r>
          </w:p>
        </w:tc>
        <w:tc>
          <w:tcPr>
            <w:tcW w:type="dxa" w:w="4176"/>
            <w:shd w:val="clear" w:color="auto" w:fill="E3EBDD"/>
          </w:tcPr>
          <w:p>
            <w:pPr>
              <w:spacing w:after="0" w:line="264" w:lineRule="auto"/>
            </w:pPr>
            <w:r>
              <w:rPr>
                <w:b/>
                <w:color w:val="1B4A32"/>
              </w:rPr>
              <w:t>Detail</w:t>
            </w:r>
          </w:p>
        </w:tc>
      </w:tr>
      <w:tr>
        <w:trPr>
          <w:cantSplit/>
        </w:trPr>
        <w:tc>
          <w:tcPr>
            <w:tcW w:type="dxa" w:w="3456"/>
          </w:tcPr>
          <w:p>
            <w:pPr>
              <w:spacing w:after="0" w:line="264" w:lineRule="auto"/>
            </w:pPr>
            <w:r>
              <w:rPr/>
              <w:t>Choose the web address (</w:t>
            </w:r>
            <w:r>
              <w:rPr>
                <w:b/>
              </w:rPr>
              <w:t>First</w:t>
            </w:r>
            <w:r>
              <w:rPr/>
              <w:t>)</w:t>
            </w:r>
          </w:p>
        </w:tc>
        <w:tc>
          <w:tcPr>
            <w:tcW w:type="dxa" w:w="1728"/>
          </w:tcPr>
          <w:p>
            <w:pPr>
              <w:spacing w:after="0" w:line="264" w:lineRule="auto"/>
            </w:pPr>
            <w:r>
              <w:rPr/>
              <w:t>Client</w:t>
            </w:r>
          </w:p>
        </w:tc>
        <w:tc>
          <w:tcPr>
            <w:tcW w:type="dxa" w:w="4176"/>
          </w:tcPr>
          <w:p>
            <w:pPr>
              <w:spacing w:after="0" w:line="264" w:lineRule="auto"/>
            </w:pPr>
            <w:r>
              <w:rPr/>
              <w:t>For example estimate.qualityfirstturf.com. The sales team uses the same address followed by /visit.</w:t>
            </w:r>
          </w:p>
        </w:tc>
      </w:tr>
      <w:tr>
        <w:trPr>
          <w:cantSplit/>
        </w:trPr>
        <w:tc>
          <w:tcPr>
            <w:tcW w:type="dxa" w:w="3456"/>
          </w:tcPr>
          <w:p>
            <w:pPr>
              <w:spacing w:after="0" w:line="264" w:lineRule="auto"/>
            </w:pPr>
            <w:r>
              <w:rPr/>
              <w:t>DNS access</w:t>
            </w:r>
          </w:p>
        </w:tc>
        <w:tc>
          <w:tcPr>
            <w:tcW w:type="dxa" w:w="1728"/>
          </w:tcPr>
          <w:p>
            <w:pPr>
              <w:spacing w:after="0" w:line="264" w:lineRule="auto"/>
            </w:pPr>
            <w:r>
              <w:rPr/>
              <w:t>Whoever manages the domain</w:t>
            </w:r>
          </w:p>
        </w:tc>
        <w:tc>
          <w:tcPr>
            <w:tcW w:type="dxa" w:w="4176"/>
          </w:tcPr>
          <w:p>
            <w:pPr>
              <w:spacing w:after="0" w:line="264" w:lineRule="auto"/>
            </w:pPr>
            <w:r>
              <w:rPr/>
              <w:t>One record has to be added at the registrar or DNS host (GoDaddy, Cloudflare, Wix, Squarespace and so on). We need either access or someone who can add it on request.</w:t>
            </w:r>
          </w:p>
        </w:tc>
      </w:tr>
      <w:tr>
        <w:trPr>
          <w:cantSplit/>
        </w:trPr>
        <w:tc>
          <w:tcPr>
            <w:tcW w:type="dxa" w:w="3456"/>
          </w:tcPr>
          <w:p>
            <w:pPr>
              <w:spacing w:after="0" w:line="264" w:lineRule="auto"/>
            </w:pPr>
            <w:r>
              <w:rPr/>
              <w:t>Link from the main website</w:t>
            </w:r>
          </w:p>
        </w:tc>
        <w:tc>
          <w:tcPr>
            <w:tcW w:type="dxa" w:w="1728"/>
          </w:tcPr>
          <w:p>
            <w:pPr>
              <w:spacing w:after="0" w:line="264" w:lineRule="auto"/>
            </w:pPr>
            <w:r>
              <w:rPr/>
              <w:t>Whoever edits qualityfirstturf.com</w:t>
            </w:r>
          </w:p>
        </w:tc>
        <w:tc>
          <w:tcPr>
            <w:tcW w:type="dxa" w:w="4176"/>
          </w:tcPr>
          <w:p>
            <w:pPr>
              <w:spacing w:after="0" w:line="264" w:lineRule="auto"/>
            </w:pPr>
            <w:r>
              <w:rPr/>
              <w:t>Add a "Get an estimate" button that points to the new address.</w:t>
            </w:r>
          </w:p>
        </w:tc>
      </w:tr>
    </w:tbl>
    <w:p>
      <w:pPr>
        <w:spacing w:after="80"/>
      </w:pPr>
    </w:p>
    <w:p>
      <w:pPr>
        <w:pStyle w:val="Heading2"/>
      </w:pPr>
      <w:r>
        <w:t>3. Pricing and products (sign-off)</w:t>
      </w:r>
    </w:p>
    <w:tbl>
      <w:tblPr>
        <w:tblW w:type="auto" w:w="0"/>
        <w:jc w:val="center"/>
        <w:tblLayout w:type="fixed"/>
        <w:tblLook w:firstColumn="1" w:firstRow="1" w:lastColumn="0" w:lastRow="0" w:noHBand="0" w:noVBand="1" w:val="04A0"/>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CellMar>
          <w:top w:w="70" w:type="dxa"/>
          <w:left w:w="110" w:type="dxa"/>
          <w:bottom w:w="70" w:type="dxa"/>
          <w:right w:w="110" w:type="dxa"/>
        </w:tblCellMar>
      </w:tblPr>
      <w:tblGrid>
        <w:gridCol w:w="3120"/>
        <w:gridCol w:w="3120"/>
        <w:gridCol w:w="3120"/>
      </w:tblGrid>
      <w:tr>
        <w:trPr>
          <w:cantSplit/>
          <w:tblHeader/>
        </w:trPr>
        <w:tc>
          <w:tcPr>
            <w:tcW w:type="dxa" w:w="3456"/>
            <w:shd w:val="clear" w:color="auto" w:fill="E3EBDD"/>
          </w:tcPr>
          <w:p>
            <w:pPr>
              <w:spacing w:after="0" w:line="264" w:lineRule="auto"/>
            </w:pPr>
            <w:r>
              <w:rPr>
                <w:b/>
                <w:color w:val="1B4A32"/>
              </w:rPr>
              <w:t>Item</w:t>
            </w:r>
          </w:p>
        </w:tc>
        <w:tc>
          <w:tcPr>
            <w:tcW w:type="dxa" w:w="1728"/>
            <w:shd w:val="clear" w:color="auto" w:fill="E3EBDD"/>
          </w:tcPr>
          <w:p>
            <w:pPr>
              <w:spacing w:after="0" w:line="264" w:lineRule="auto"/>
            </w:pPr>
            <w:r>
              <w:rPr>
                <w:b/>
                <w:color w:val="1B4A32"/>
              </w:rPr>
              <w:t>Who</w:t>
            </w:r>
          </w:p>
        </w:tc>
        <w:tc>
          <w:tcPr>
            <w:tcW w:type="dxa" w:w="4176"/>
            <w:shd w:val="clear" w:color="auto" w:fill="E3EBDD"/>
          </w:tcPr>
          <w:p>
            <w:pPr>
              <w:spacing w:after="0" w:line="264" w:lineRule="auto"/>
            </w:pPr>
            <w:r>
              <w:rPr>
                <w:b/>
                <w:color w:val="1B4A32"/>
              </w:rPr>
              <w:t>Detail</w:t>
            </w:r>
          </w:p>
        </w:tc>
      </w:tr>
      <w:tr>
        <w:trPr>
          <w:cantSplit/>
        </w:trPr>
        <w:tc>
          <w:tcPr>
            <w:tcW w:type="dxa" w:w="3456"/>
          </w:tcPr>
          <w:p>
            <w:pPr>
              <w:spacing w:after="0" w:line="264" w:lineRule="auto"/>
            </w:pPr>
            <w:r>
              <w:rPr/>
              <w:t>Contractor pricing for all services</w:t>
            </w:r>
          </w:p>
        </w:tc>
        <w:tc>
          <w:tcPr>
            <w:tcW w:type="dxa" w:w="1728"/>
          </w:tcPr>
          <w:p>
            <w:pPr>
              <w:spacing w:after="0" w:line="264" w:lineRule="auto"/>
            </w:pPr>
            <w:r>
              <w:rPr/>
              <w:t>Client</w:t>
            </w:r>
          </w:p>
        </w:tc>
        <w:tc>
          <w:tcPr>
            <w:tcW w:type="dxa" w:w="4176"/>
          </w:tcPr>
          <w:p>
            <w:pPr>
              <w:spacing w:after="0" w:line="264" w:lineRule="auto"/>
            </w:pPr>
            <w:r>
              <w:rPr/>
              <w:t>Contractor quotes still use placeholder items. We need the real contractor rates.</w:t>
            </w:r>
          </w:p>
        </w:tc>
      </w:tr>
      <w:tr>
        <w:trPr>
          <w:cantSplit/>
        </w:trPr>
        <w:tc>
          <w:tcPr>
            <w:tcW w:type="dxa" w:w="3456"/>
          </w:tcPr>
          <w:p>
            <w:pPr>
              <w:spacing w:after="0" w:line="264" w:lineRule="auto"/>
            </w:pPr>
            <w:r>
              <w:rPr/>
              <w:t>Pricing for the 12 remaining services</w:t>
            </w:r>
          </w:p>
        </w:tc>
        <w:tc>
          <w:tcPr>
            <w:tcW w:type="dxa" w:w="1728"/>
          </w:tcPr>
          <w:p>
            <w:pPr>
              <w:spacing w:after="0" w:line="264" w:lineRule="auto"/>
            </w:pPr>
            <w:r>
              <w:rPr/>
              <w:t>Client</w:t>
            </w:r>
          </w:p>
        </w:tc>
        <w:tc>
          <w:tcPr>
            <w:tcW w:type="dxa" w:w="4176"/>
          </w:tcPr>
          <w:p>
            <w:pPr>
              <w:spacing w:after="0" w:line="264" w:lineRule="auto"/>
            </w:pPr>
            <w:r>
              <w:rPr/>
              <w:t>SOD, Patio Covers, Concrete, Retaining Walls, Planter Walls, Pavers, Bar &amp; BBQ, Fire Pits, Decomposed Granite, Decorative Rock, Irrigation and Planting have no price list yet.</w:t>
            </w:r>
          </w:p>
        </w:tc>
      </w:tr>
      <w:tr>
        <w:trPr>
          <w:cantSplit/>
        </w:trPr>
        <w:tc>
          <w:tcPr>
            <w:tcW w:type="dxa" w:w="3456"/>
          </w:tcPr>
          <w:p>
            <w:pPr>
              <w:spacing w:after="0" w:line="264" w:lineRule="auto"/>
            </w:pPr>
            <w:r>
              <w:rPr/>
              <w:t>Review the homeowner prices</w:t>
            </w:r>
          </w:p>
        </w:tc>
        <w:tc>
          <w:tcPr>
            <w:tcW w:type="dxa" w:w="1728"/>
          </w:tcPr>
          <w:p>
            <w:pPr>
              <w:spacing w:after="0" w:line="264" w:lineRule="auto"/>
            </w:pPr>
            <w:r>
              <w:rPr/>
              <w:t>Client</w:t>
            </w:r>
          </w:p>
        </w:tc>
        <w:tc>
          <w:tcPr>
            <w:tcW w:type="dxa" w:w="4176"/>
          </w:tcPr>
          <w:p>
            <w:pPr>
              <w:spacing w:after="0" w:line="264" w:lineRule="auto"/>
            </w:pPr>
            <w:r>
              <w:rPr/>
              <w:t>Check the generated list of items and prices (docs/jobber-items-retail.csv) against the 2026 price list before we add them to the live Jobber account.</w:t>
            </w:r>
          </w:p>
        </w:tc>
      </w:tr>
      <w:tr>
        <w:trPr>
          <w:cantSplit/>
        </w:trPr>
        <w:tc>
          <w:tcPr>
            <w:tcW w:type="dxa" w:w="3456"/>
          </w:tcPr>
          <w:p>
            <w:pPr>
              <w:spacing w:after="0" w:line="264" w:lineRule="auto"/>
            </w:pPr>
            <w:r>
              <w:rPr/>
              <w:t>Confirm the minimum service charge</w:t>
            </w:r>
          </w:p>
        </w:tc>
        <w:tc>
          <w:tcPr>
            <w:tcW w:type="dxa" w:w="1728"/>
          </w:tcPr>
          <w:p>
            <w:pPr>
              <w:spacing w:after="0" w:line="264" w:lineRule="auto"/>
            </w:pPr>
            <w:r>
              <w:rPr/>
              <w:t>Client</w:t>
            </w:r>
          </w:p>
        </w:tc>
        <w:tc>
          <w:tcPr>
            <w:tcW w:type="dxa" w:w="4176"/>
          </w:tcPr>
          <w:p>
            <w:pPr>
              <w:spacing w:after="0" w:line="264" w:lineRule="auto"/>
            </w:pPr>
            <w:r>
              <w:rPr/>
              <w:t>The $2,250 minimum is applied by Jobber, not by this system. Confirm it is set up the way they want.</w:t>
            </w:r>
          </w:p>
        </w:tc>
      </w:tr>
    </w:tbl>
    <w:p>
      <w:pPr>
        <w:spacing w:after="80"/>
      </w:pPr>
    </w:p>
    <w:p>
      <w:pPr>
        <w:pStyle w:val="Heading2"/>
      </w:pPr>
      <w:r>
        <w:t>4. Staff access</w:t>
      </w:r>
    </w:p>
    <w:tbl>
      <w:tblPr>
        <w:tblW w:type="auto" w:w="0"/>
        <w:jc w:val="center"/>
        <w:tblLayout w:type="fixed"/>
        <w:tblLook w:firstColumn="1" w:firstRow="1" w:lastColumn="0" w:lastRow="0" w:noHBand="0" w:noVBand="1" w:val="04A0"/>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CellMar>
          <w:top w:w="70" w:type="dxa"/>
          <w:left w:w="110" w:type="dxa"/>
          <w:bottom w:w="70" w:type="dxa"/>
          <w:right w:w="110" w:type="dxa"/>
        </w:tblCellMar>
      </w:tblPr>
      <w:tblGrid>
        <w:gridCol w:w="3120"/>
        <w:gridCol w:w="3120"/>
        <w:gridCol w:w="3120"/>
      </w:tblGrid>
      <w:tr>
        <w:trPr>
          <w:cantSplit/>
          <w:tblHeader/>
        </w:trPr>
        <w:tc>
          <w:tcPr>
            <w:tcW w:type="dxa" w:w="3456"/>
            <w:shd w:val="clear" w:color="auto" w:fill="E3EBDD"/>
          </w:tcPr>
          <w:p>
            <w:pPr>
              <w:spacing w:after="0" w:line="264" w:lineRule="auto"/>
            </w:pPr>
            <w:r>
              <w:rPr>
                <w:b/>
                <w:color w:val="1B4A32"/>
              </w:rPr>
              <w:t>Item</w:t>
            </w:r>
          </w:p>
        </w:tc>
        <w:tc>
          <w:tcPr>
            <w:tcW w:type="dxa" w:w="1728"/>
            <w:shd w:val="clear" w:color="auto" w:fill="E3EBDD"/>
          </w:tcPr>
          <w:p>
            <w:pPr>
              <w:spacing w:after="0" w:line="264" w:lineRule="auto"/>
            </w:pPr>
            <w:r>
              <w:rPr>
                <w:b/>
                <w:color w:val="1B4A32"/>
              </w:rPr>
              <w:t>Who</w:t>
            </w:r>
          </w:p>
        </w:tc>
        <w:tc>
          <w:tcPr>
            <w:tcW w:type="dxa" w:w="4176"/>
            <w:shd w:val="clear" w:color="auto" w:fill="E3EBDD"/>
          </w:tcPr>
          <w:p>
            <w:pPr>
              <w:spacing w:after="0" w:line="264" w:lineRule="auto"/>
            </w:pPr>
            <w:r>
              <w:rPr>
                <w:b/>
                <w:color w:val="1B4A32"/>
              </w:rPr>
              <w:t>Detail</w:t>
            </w:r>
          </w:p>
        </w:tc>
      </w:tr>
      <w:tr>
        <w:trPr>
          <w:cantSplit/>
        </w:trPr>
        <w:tc>
          <w:tcPr>
            <w:tcW w:type="dxa" w:w="3456"/>
          </w:tcPr>
          <w:p>
            <w:pPr>
              <w:spacing w:after="0" w:line="264" w:lineRule="auto"/>
            </w:pPr>
            <w:r>
              <w:rPr/>
              <w:t>List of salespeople</w:t>
            </w:r>
          </w:p>
        </w:tc>
        <w:tc>
          <w:tcPr>
            <w:tcW w:type="dxa" w:w="1728"/>
          </w:tcPr>
          <w:p>
            <w:pPr>
              <w:spacing w:after="0" w:line="264" w:lineRule="auto"/>
            </w:pPr>
            <w:r>
              <w:rPr/>
              <w:t>Client</w:t>
            </w:r>
          </w:p>
        </w:tc>
        <w:tc>
          <w:tcPr>
            <w:tcW w:type="dxa" w:w="4176"/>
          </w:tcPr>
          <w:p>
            <w:pPr>
              <w:spacing w:after="0" w:line="264" w:lineRule="auto"/>
            </w:pPr>
            <w:r>
              <w:rPr/>
              <w:t>Who needs to use the on-site tool.</w:t>
            </w:r>
          </w:p>
        </w:tc>
      </w:tr>
      <w:tr>
        <w:trPr>
          <w:cantSplit/>
        </w:trPr>
        <w:tc>
          <w:tcPr>
            <w:tcW w:type="dxa" w:w="3456"/>
          </w:tcPr>
          <w:p>
            <w:pPr>
              <w:spacing w:after="0" w:line="264" w:lineRule="auto"/>
            </w:pPr>
            <w:r>
              <w:rPr/>
              <w:t>Shared sign-in details</w:t>
            </w:r>
          </w:p>
        </w:tc>
        <w:tc>
          <w:tcPr>
            <w:tcW w:type="dxa" w:w="1728"/>
          </w:tcPr>
          <w:p>
            <w:pPr>
              <w:spacing w:after="0" w:line="264" w:lineRule="auto"/>
            </w:pPr>
            <w:r>
              <w:rPr/>
              <w:t>Client</w:t>
            </w:r>
          </w:p>
        </w:tc>
        <w:tc>
          <w:tcPr>
            <w:tcW w:type="dxa" w:w="4176"/>
          </w:tcPr>
          <w:p>
            <w:pPr>
              <w:spacing w:after="0" w:line="264" w:lineRule="auto"/>
            </w:pPr>
            <w:r>
              <w:rPr/>
              <w:t>Agree on the email and a strong password for the one shared login. Individual accounts come later.</w:t>
            </w:r>
          </w:p>
        </w:tc>
      </w:tr>
    </w:tbl>
    <w:p>
      <w:pPr>
        <w:spacing w:after="80"/>
      </w:pPr>
    </w:p>
    <w:p>
      <w:pPr>
        <w:pStyle w:val="Heading2"/>
      </w:pPr>
      <w:r>
        <w:t>5. Content and branding</w:t>
      </w:r>
    </w:p>
    <w:tbl>
      <w:tblPr>
        <w:tblW w:type="auto" w:w="0"/>
        <w:jc w:val="center"/>
        <w:tblLayout w:type="fixed"/>
        <w:tblLook w:firstColumn="1" w:firstRow="1" w:lastColumn="0" w:lastRow="0" w:noHBand="0" w:noVBand="1" w:val="04A0"/>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CellMar>
          <w:top w:w="70" w:type="dxa"/>
          <w:left w:w="110" w:type="dxa"/>
          <w:bottom w:w="70" w:type="dxa"/>
          <w:right w:w="110" w:type="dxa"/>
        </w:tblCellMar>
      </w:tblPr>
      <w:tblGrid>
        <w:gridCol w:w="3120"/>
        <w:gridCol w:w="3120"/>
        <w:gridCol w:w="3120"/>
      </w:tblGrid>
      <w:tr>
        <w:trPr>
          <w:cantSplit/>
          <w:tblHeader/>
        </w:trPr>
        <w:tc>
          <w:tcPr>
            <w:tcW w:type="dxa" w:w="3456"/>
            <w:shd w:val="clear" w:color="auto" w:fill="E3EBDD"/>
          </w:tcPr>
          <w:p>
            <w:pPr>
              <w:spacing w:after="0" w:line="264" w:lineRule="auto"/>
            </w:pPr>
            <w:r>
              <w:rPr>
                <w:b/>
                <w:color w:val="1B4A32"/>
              </w:rPr>
              <w:t>Item</w:t>
            </w:r>
          </w:p>
        </w:tc>
        <w:tc>
          <w:tcPr>
            <w:tcW w:type="dxa" w:w="1728"/>
            <w:shd w:val="clear" w:color="auto" w:fill="E3EBDD"/>
          </w:tcPr>
          <w:p>
            <w:pPr>
              <w:spacing w:after="0" w:line="264" w:lineRule="auto"/>
            </w:pPr>
            <w:r>
              <w:rPr>
                <w:b/>
                <w:color w:val="1B4A32"/>
              </w:rPr>
              <w:t>Who</w:t>
            </w:r>
          </w:p>
        </w:tc>
        <w:tc>
          <w:tcPr>
            <w:tcW w:type="dxa" w:w="4176"/>
            <w:shd w:val="clear" w:color="auto" w:fill="E3EBDD"/>
          </w:tcPr>
          <w:p>
            <w:pPr>
              <w:spacing w:after="0" w:line="264" w:lineRule="auto"/>
            </w:pPr>
            <w:r>
              <w:rPr>
                <w:b/>
                <w:color w:val="1B4A32"/>
              </w:rPr>
              <w:t>Detail</w:t>
            </w:r>
          </w:p>
        </w:tc>
      </w:tr>
      <w:tr>
        <w:trPr>
          <w:cantSplit/>
        </w:trPr>
        <w:tc>
          <w:tcPr>
            <w:tcW w:type="dxa" w:w="3456"/>
          </w:tcPr>
          <w:p>
            <w:pPr>
              <w:spacing w:after="0" w:line="264" w:lineRule="auto"/>
            </w:pPr>
            <w:r>
              <w:rPr/>
              <w:t>Logo files</w:t>
            </w:r>
          </w:p>
        </w:tc>
        <w:tc>
          <w:tcPr>
            <w:tcW w:type="dxa" w:w="1728"/>
          </w:tcPr>
          <w:p>
            <w:pPr>
              <w:spacing w:after="0" w:line="264" w:lineRule="auto"/>
            </w:pPr>
            <w:r>
              <w:rPr/>
              <w:t>Client</w:t>
            </w:r>
          </w:p>
        </w:tc>
        <w:tc>
          <w:tcPr>
            <w:tcW w:type="dxa" w:w="4176"/>
          </w:tcPr>
          <w:p>
            <w:pPr>
              <w:spacing w:after="0" w:line="264" w:lineRule="auto"/>
            </w:pPr>
            <w:r>
              <w:rPr/>
              <w:t>The best available originals (SVG or high-resolution PNG), including a version with dark lettering for light backgrounds.</w:t>
            </w:r>
          </w:p>
        </w:tc>
      </w:tr>
      <w:tr>
        <w:trPr>
          <w:cantSplit/>
        </w:trPr>
        <w:tc>
          <w:tcPr>
            <w:tcW w:type="dxa" w:w="3456"/>
          </w:tcPr>
          <w:p>
            <w:pPr>
              <w:spacing w:after="0" w:line="264" w:lineRule="auto"/>
            </w:pPr>
            <w:r>
              <w:rPr/>
              <w:t>Response time promise</w:t>
            </w:r>
          </w:p>
        </w:tc>
        <w:tc>
          <w:tcPr>
            <w:tcW w:type="dxa" w:w="1728"/>
          </w:tcPr>
          <w:p>
            <w:pPr>
              <w:spacing w:after="0" w:line="264" w:lineRule="auto"/>
            </w:pPr>
            <w:r>
              <w:rPr/>
              <w:t>Client</w:t>
            </w:r>
          </w:p>
        </w:tc>
        <w:tc>
          <w:tcPr>
            <w:tcW w:type="dxa" w:w="4176"/>
          </w:tcPr>
          <w:p>
            <w:pPr>
              <w:spacing w:after="0" w:line="264" w:lineRule="auto"/>
            </w:pPr>
            <w:r>
              <w:rPr/>
              <w:t>The confirmation page says the team will be in touch soon. Confirm whether they want to promise a specific time.</w:t>
            </w:r>
          </w:p>
        </w:tc>
      </w:tr>
      <w:tr>
        <w:trPr>
          <w:cantSplit/>
        </w:trPr>
        <w:tc>
          <w:tcPr>
            <w:tcW w:type="dxa" w:w="3456"/>
          </w:tcPr>
          <w:p>
            <w:pPr>
              <w:spacing w:after="0" w:line="264" w:lineRule="auto"/>
            </w:pPr>
            <w:r>
              <w:rPr/>
              <w:t>Service area</w:t>
            </w:r>
          </w:p>
        </w:tc>
        <w:tc>
          <w:tcPr>
            <w:tcW w:type="dxa" w:w="1728"/>
          </w:tcPr>
          <w:p>
            <w:pPr>
              <w:spacing w:after="0" w:line="264" w:lineRule="auto"/>
            </w:pPr>
            <w:r>
              <w:rPr/>
              <w:t>Client</w:t>
            </w:r>
          </w:p>
        </w:tc>
        <w:tc>
          <w:tcPr>
            <w:tcW w:type="dxa" w:w="4176"/>
          </w:tcPr>
          <w:p>
            <w:pPr>
              <w:spacing w:after="0" w:line="264" w:lineRule="auto"/>
            </w:pPr>
            <w:r>
              <w:rPr/>
              <w:t>The form currently accepts any US state. Confirm whether to limit it to the states they serve.</w:t>
            </w:r>
          </w:p>
        </w:tc>
      </w:tr>
      <w:tr>
        <w:trPr>
          <w:cantSplit/>
        </w:trPr>
        <w:tc>
          <w:tcPr>
            <w:tcW w:type="dxa" w:w="3456"/>
          </w:tcPr>
          <w:p>
            <w:pPr>
              <w:spacing w:after="0" w:line="264" w:lineRule="auto"/>
            </w:pPr>
            <w:r>
              <w:rPr/>
              <w:t>Privacy policy link</w:t>
            </w:r>
          </w:p>
        </w:tc>
        <w:tc>
          <w:tcPr>
            <w:tcW w:type="dxa" w:w="1728"/>
          </w:tcPr>
          <w:p>
            <w:pPr>
              <w:spacing w:after="0" w:line="264" w:lineRule="auto"/>
            </w:pPr>
            <w:r>
              <w:rPr/>
              <w:t>Client</w:t>
            </w:r>
          </w:p>
        </w:tc>
        <w:tc>
          <w:tcPr>
            <w:tcW w:type="dxa" w:w="4176"/>
          </w:tcPr>
          <w:p>
            <w:pPr>
              <w:spacing w:after="0" w:line="264" w:lineRule="auto"/>
            </w:pPr>
            <w:r>
              <w:rPr/>
              <w:t>The form collects names, phone numbers and addresses. If they have a privacy policy, we should link it.</w:t>
            </w:r>
          </w:p>
        </w:tc>
      </w:tr>
    </w:tbl>
    <w:p>
      <w:pPr>
        <w:spacing w:after="80"/>
      </w:pPr>
    </w:p>
    <w:p>
      <w:pPr>
        <w:pStyle w:val="Heading2"/>
      </w:pPr>
      <w:r>
        <w:t>6. Accounts and billing</w:t>
      </w:r>
    </w:p>
    <w:tbl>
      <w:tblPr>
        <w:tblW w:type="auto" w:w="0"/>
        <w:jc w:val="center"/>
        <w:tblLayout w:type="fixed"/>
        <w:tblLook w:firstColumn="1" w:firstRow="1" w:lastColumn="0" w:lastRow="0" w:noHBand="0" w:noVBand="1" w:val="04A0"/>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CellMar>
          <w:top w:w="70" w:type="dxa"/>
          <w:left w:w="110" w:type="dxa"/>
          <w:bottom w:w="70" w:type="dxa"/>
          <w:right w:w="110" w:type="dxa"/>
        </w:tblCellMar>
      </w:tblPr>
      <w:tblGrid>
        <w:gridCol w:w="3120"/>
        <w:gridCol w:w="3120"/>
        <w:gridCol w:w="3120"/>
      </w:tblGrid>
      <w:tr>
        <w:trPr>
          <w:cantSplit/>
          <w:tblHeader/>
        </w:trPr>
        <w:tc>
          <w:tcPr>
            <w:tcW w:type="dxa" w:w="3456"/>
            <w:shd w:val="clear" w:color="auto" w:fill="E3EBDD"/>
          </w:tcPr>
          <w:p>
            <w:pPr>
              <w:spacing w:after="0" w:line="264" w:lineRule="auto"/>
            </w:pPr>
            <w:r>
              <w:rPr>
                <w:b/>
                <w:color w:val="1B4A32"/>
              </w:rPr>
              <w:t>Item</w:t>
            </w:r>
          </w:p>
        </w:tc>
        <w:tc>
          <w:tcPr>
            <w:tcW w:type="dxa" w:w="1728"/>
            <w:shd w:val="clear" w:color="auto" w:fill="E3EBDD"/>
          </w:tcPr>
          <w:p>
            <w:pPr>
              <w:spacing w:after="0" w:line="264" w:lineRule="auto"/>
            </w:pPr>
            <w:r>
              <w:rPr>
                <w:b/>
                <w:color w:val="1B4A32"/>
              </w:rPr>
              <w:t>Who</w:t>
            </w:r>
          </w:p>
        </w:tc>
        <w:tc>
          <w:tcPr>
            <w:tcW w:type="dxa" w:w="4176"/>
            <w:shd w:val="clear" w:color="auto" w:fill="E3EBDD"/>
          </w:tcPr>
          <w:p>
            <w:pPr>
              <w:spacing w:after="0" w:line="264" w:lineRule="auto"/>
            </w:pPr>
            <w:r>
              <w:rPr>
                <w:b/>
                <w:color w:val="1B4A32"/>
              </w:rPr>
              <w:t>Detail</w:t>
            </w:r>
          </w:p>
        </w:tc>
      </w:tr>
      <w:tr>
        <w:trPr>
          <w:cantSplit/>
        </w:trPr>
        <w:tc>
          <w:tcPr>
            <w:tcW w:type="dxa" w:w="3456"/>
          </w:tcPr>
          <w:p>
            <w:pPr>
              <w:spacing w:after="0" w:line="264" w:lineRule="auto"/>
            </w:pPr>
            <w:r>
              <w:rPr/>
              <w:t>Hosting for the website (Vercel)</w:t>
            </w:r>
          </w:p>
        </w:tc>
        <w:tc>
          <w:tcPr>
            <w:tcW w:type="dxa" w:w="1728"/>
          </w:tcPr>
          <w:p>
            <w:pPr>
              <w:spacing w:after="0" w:line="264" w:lineRule="auto"/>
            </w:pPr>
            <w:r>
              <w:rPr/>
              <w:t>Client or us</w:t>
            </w:r>
          </w:p>
        </w:tc>
        <w:tc>
          <w:tcPr>
            <w:tcW w:type="dxa" w:w="4176"/>
          </w:tcPr>
          <w:p>
            <w:pPr>
              <w:spacing w:after="0" w:line="264" w:lineRule="auto"/>
            </w:pPr>
            <w:r>
              <w:rPr/>
              <w:t>The free plan is for non-commercial use, so a paid plan is needed for a business site.</w:t>
            </w:r>
          </w:p>
        </w:tc>
      </w:tr>
      <w:tr>
        <w:trPr>
          <w:cantSplit/>
        </w:trPr>
        <w:tc>
          <w:tcPr>
            <w:tcW w:type="dxa" w:w="3456"/>
          </w:tcPr>
          <w:p>
            <w:pPr>
              <w:spacing w:after="0" w:line="264" w:lineRule="auto"/>
            </w:pPr>
            <w:r>
              <w:rPr/>
              <w:t>Database and backend (Convex)</w:t>
            </w:r>
          </w:p>
        </w:tc>
        <w:tc>
          <w:tcPr>
            <w:tcW w:type="dxa" w:w="1728"/>
          </w:tcPr>
          <w:p>
            <w:pPr>
              <w:spacing w:after="0" w:line="264" w:lineRule="auto"/>
            </w:pPr>
            <w:r>
              <w:rPr/>
              <w:t>Client or us</w:t>
            </w:r>
          </w:p>
        </w:tc>
        <w:tc>
          <w:tcPr>
            <w:tcW w:type="dxa" w:w="4176"/>
          </w:tcPr>
          <w:p>
            <w:pPr>
              <w:spacing w:after="0" w:line="264" w:lineRule="auto"/>
            </w:pPr>
            <w:r>
              <w:rPr/>
              <w:t>The development project is already over the free plan limits, so the production deployment needs a paid plan.</w:t>
            </w:r>
          </w:p>
        </w:tc>
      </w:tr>
      <w:tr>
        <w:trPr>
          <w:cantSplit/>
        </w:trPr>
        <w:tc>
          <w:tcPr>
            <w:tcW w:type="dxa" w:w="3456"/>
          </w:tcPr>
          <w:p>
            <w:pPr>
              <w:spacing w:after="0" w:line="264" w:lineRule="auto"/>
            </w:pPr>
            <w:r>
              <w:rPr/>
              <w:t>Domain renewal</w:t>
            </w:r>
          </w:p>
        </w:tc>
        <w:tc>
          <w:tcPr>
            <w:tcW w:type="dxa" w:w="1728"/>
          </w:tcPr>
          <w:p>
            <w:pPr>
              <w:spacing w:after="0" w:line="264" w:lineRule="auto"/>
            </w:pPr>
            <w:r>
              <w:rPr/>
              <w:t>Client</w:t>
            </w:r>
          </w:p>
        </w:tc>
        <w:tc>
          <w:tcPr>
            <w:tcW w:type="dxa" w:w="4176"/>
          </w:tcPr>
          <w:p>
            <w:pPr>
              <w:spacing w:after="0" w:line="264" w:lineRule="auto"/>
            </w:pPr>
            <w:r>
              <w:rPr/>
              <w:t>Confirm who owns and renews the domain.</w:t>
            </w:r>
          </w:p>
        </w:tc>
      </w:tr>
      <w:tr>
        <w:trPr>
          <w:cantSplit/>
        </w:trPr>
        <w:tc>
          <w:tcPr>
            <w:tcW w:type="dxa" w:w="3456"/>
          </w:tcPr>
          <w:p>
            <w:pPr>
              <w:spacing w:after="0" w:line="264" w:lineRule="auto"/>
            </w:pPr>
            <w:r>
              <w:rPr/>
              <w:t>Ownership after launch</w:t>
            </w:r>
          </w:p>
        </w:tc>
        <w:tc>
          <w:tcPr>
            <w:tcW w:type="dxa" w:w="1728"/>
          </w:tcPr>
          <w:p>
            <w:pPr>
              <w:spacing w:after="0" w:line="264" w:lineRule="auto"/>
            </w:pPr>
            <w:r>
              <w:rPr/>
              <w:t>Both</w:t>
            </w:r>
          </w:p>
        </w:tc>
        <w:tc>
          <w:tcPr>
            <w:tcW w:type="dxa" w:w="4176"/>
          </w:tcPr>
          <w:p>
            <w:pPr>
              <w:spacing w:after="0" w:line="264" w:lineRule="auto"/>
            </w:pPr>
            <w:r>
              <w:rPr/>
              <w:t>Decide whether the hosting accounts stay with us or are transferred to the client, and write it down.</w:t>
            </w:r>
          </w:p>
        </w:tc>
      </w:tr>
    </w:tbl>
    <w:p>
      <w:pPr>
        <w:spacing w:after="80"/>
      </w:pPr>
    </w:p>
    <w:p>
      <w:pPr>
        <w:pStyle w:val="Heading2"/>
      </w:pPr>
      <w:r>
        <w:t>7. Testing and sign-off</w:t>
      </w:r>
    </w:p>
    <w:tbl>
      <w:tblPr>
        <w:tblW w:type="auto" w:w="0"/>
        <w:jc w:val="center"/>
        <w:tblLayout w:type="fixed"/>
        <w:tblLook w:firstColumn="1" w:firstRow="1" w:lastColumn="0" w:lastRow="0" w:noHBand="0" w:noVBand="1" w:val="04A0"/>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CellMar>
          <w:top w:w="70" w:type="dxa"/>
          <w:left w:w="110" w:type="dxa"/>
          <w:bottom w:w="70" w:type="dxa"/>
          <w:right w:w="110" w:type="dxa"/>
        </w:tblCellMar>
      </w:tblPr>
      <w:tblGrid>
        <w:gridCol w:w="3120"/>
        <w:gridCol w:w="3120"/>
        <w:gridCol w:w="3120"/>
      </w:tblGrid>
      <w:tr>
        <w:trPr>
          <w:cantSplit/>
          <w:tblHeader/>
        </w:trPr>
        <w:tc>
          <w:tcPr>
            <w:tcW w:type="dxa" w:w="3456"/>
            <w:shd w:val="clear" w:color="auto" w:fill="E3EBDD"/>
          </w:tcPr>
          <w:p>
            <w:pPr>
              <w:spacing w:after="0" w:line="264" w:lineRule="auto"/>
            </w:pPr>
            <w:r>
              <w:rPr>
                <w:b/>
                <w:color w:val="1B4A32"/>
              </w:rPr>
              <w:t>Item</w:t>
            </w:r>
          </w:p>
        </w:tc>
        <w:tc>
          <w:tcPr>
            <w:tcW w:type="dxa" w:w="1728"/>
            <w:shd w:val="clear" w:color="auto" w:fill="E3EBDD"/>
          </w:tcPr>
          <w:p>
            <w:pPr>
              <w:spacing w:after="0" w:line="264" w:lineRule="auto"/>
            </w:pPr>
            <w:r>
              <w:rPr>
                <w:b/>
                <w:color w:val="1B4A32"/>
              </w:rPr>
              <w:t>Who</w:t>
            </w:r>
          </w:p>
        </w:tc>
        <w:tc>
          <w:tcPr>
            <w:tcW w:type="dxa" w:w="4176"/>
            <w:shd w:val="clear" w:color="auto" w:fill="E3EBDD"/>
          </w:tcPr>
          <w:p>
            <w:pPr>
              <w:spacing w:after="0" w:line="264" w:lineRule="auto"/>
            </w:pPr>
            <w:r>
              <w:rPr>
                <w:b/>
                <w:color w:val="1B4A32"/>
              </w:rPr>
              <w:t>Detail</w:t>
            </w:r>
          </w:p>
        </w:tc>
      </w:tr>
      <w:tr>
        <w:trPr>
          <w:cantSplit/>
        </w:trPr>
        <w:tc>
          <w:tcPr>
            <w:tcW w:type="dxa" w:w="3456"/>
          </w:tcPr>
          <w:p>
            <w:pPr>
              <w:spacing w:after="0" w:line="264" w:lineRule="auto"/>
            </w:pPr>
            <w:r>
              <w:rPr/>
              <w:t>Acceptance test</w:t>
            </w:r>
          </w:p>
        </w:tc>
        <w:tc>
          <w:tcPr>
            <w:tcW w:type="dxa" w:w="1728"/>
          </w:tcPr>
          <w:p>
            <w:pPr>
              <w:spacing w:after="0" w:line="264" w:lineRule="auto"/>
            </w:pPr>
            <w:r>
              <w:rPr/>
              <w:t>Client</w:t>
            </w:r>
          </w:p>
        </w:tc>
        <w:tc>
          <w:tcPr>
            <w:tcW w:type="dxa" w:w="4176"/>
          </w:tcPr>
          <w:p>
            <w:pPr>
              <w:spacing w:after="0" w:line="264" w:lineRule="auto"/>
            </w:pPr>
            <w:r>
              <w:rPr/>
              <w:t>Submit a request on a phone and on a desktop, open it in the on-site tool, save a visit, schedule a consultation, and check Jobber and their inbox.</w:t>
            </w:r>
          </w:p>
        </w:tc>
      </w:tr>
      <w:tr>
        <w:trPr>
          <w:cantSplit/>
        </w:trPr>
        <w:tc>
          <w:tcPr>
            <w:tcW w:type="dxa" w:w="3456"/>
          </w:tcPr>
          <w:p>
            <w:pPr>
              <w:spacing w:after="0" w:line="264" w:lineRule="auto"/>
            </w:pPr>
            <w:r>
              <w:rPr/>
              <w:t>Go-live approval</w:t>
            </w:r>
          </w:p>
        </w:tc>
        <w:tc>
          <w:tcPr>
            <w:tcW w:type="dxa" w:w="1728"/>
          </w:tcPr>
          <w:p>
            <w:pPr>
              <w:spacing w:after="0" w:line="264" w:lineRule="auto"/>
            </w:pPr>
            <w:r>
              <w:rPr/>
              <w:t>Client</w:t>
            </w:r>
          </w:p>
        </w:tc>
        <w:tc>
          <w:tcPr>
            <w:tcW w:type="dxa" w:w="4176"/>
          </w:tcPr>
          <w:p>
            <w:pPr>
              <w:spacing w:after="0" w:line="264" w:lineRule="auto"/>
            </w:pPr>
            <w:r>
              <w:rPr/>
              <w:t>Written approval before the link goes on the public website.</w:t>
            </w:r>
          </w:p>
        </w:tc>
      </w:tr>
    </w:tbl>
    <w:p>
      <w:pPr>
        <w:spacing w:after="80"/>
      </w:pPr>
    </w:p>
    <w:p>
      <w:pPr>
        <w:pStyle w:val="Heading1"/>
      </w:pPr>
      <w:r>
        <w:t>Part 2: Technical Steps</w:t>
      </w:r>
    </w:p>
    <w:p>
      <w:r>
        <w:rPr/>
        <w:t>Do these in order.</w:t>
      </w:r>
    </w:p>
    <w:p>
      <w:pPr>
        <w:tabs>
          <w:tab w:pos="504" w:val="left"/>
        </w:tabs>
        <w:spacing w:after="80"/>
        <w:ind w:left="504" w:hanging="360"/>
      </w:pPr>
      <w:r>
        <w:t>1.</w:t>
        <w:tab/>
      </w:r>
      <w:r>
        <w:rPr>
          <w:b/>
        </w:rPr>
        <w:t>Create the production backend.</w:t>
      </w:r>
      <w:r>
        <w:rPr/>
        <w:t xml:space="preserve"> Create the production Convex deployment and publish the functions with </w:t>
      </w:r>
      <w:r>
        <w:rPr>
          <w:rFonts w:ascii="Consolas" w:hAnsi="Consolas"/>
          <w:sz w:val="20"/>
        </w:rPr>
        <w:t>npm run convex:deploy</w:t>
      </w:r>
      <w:r>
        <w:rPr/>
        <w:t>.</w:t>
      </w:r>
    </w:p>
    <w:p>
      <w:pPr>
        <w:tabs>
          <w:tab w:pos="504" w:val="left"/>
        </w:tabs>
        <w:spacing w:after="80"/>
        <w:ind w:left="504" w:hanging="360"/>
      </w:pPr>
      <w:r>
        <w:t>2.</w:t>
        <w:tab/>
      </w:r>
      <w:r>
        <w:rPr>
          <w:b/>
        </w:rPr>
        <w:t>Set the secrets on that deployment.</w:t>
      </w:r>
      <w:r>
        <w:rPr/>
        <w:t xml:space="preserve"> </w:t>
      </w:r>
      <w:r>
        <w:rPr>
          <w:rFonts w:ascii="Consolas" w:hAnsi="Consolas"/>
          <w:sz w:val="20"/>
        </w:rPr>
        <w:t>SALES_EMAIL</w:t>
      </w:r>
      <w:r>
        <w:rPr/>
        <w:t xml:space="preserve">, </w:t>
      </w:r>
      <w:r>
        <w:rPr>
          <w:rFonts w:ascii="Consolas" w:hAnsi="Consolas"/>
          <w:sz w:val="20"/>
        </w:rPr>
        <w:t>SALES_PASSWORD</w:t>
      </w:r>
      <w:r>
        <w:rPr/>
        <w:t xml:space="preserve">, </w:t>
      </w:r>
      <w:r>
        <w:rPr>
          <w:rFonts w:ascii="Consolas" w:hAnsi="Consolas"/>
          <w:sz w:val="20"/>
        </w:rPr>
        <w:t>JOBBER_CLIENT_ID</w:t>
      </w:r>
      <w:r>
        <w:rPr/>
        <w:t xml:space="preserve">, </w:t>
      </w:r>
      <w:r>
        <w:rPr>
          <w:rFonts w:ascii="Consolas" w:hAnsi="Consolas"/>
          <w:sz w:val="20"/>
        </w:rPr>
        <w:t>JOBBER_CLIENT_SECRET</w:t>
      </w:r>
      <w:r>
        <w:rPr/>
        <w:t xml:space="preserve"> and </w:t>
      </w:r>
      <w:r>
        <w:rPr>
          <w:rFonts w:ascii="Consolas" w:hAnsi="Consolas"/>
          <w:sz w:val="20"/>
        </w:rPr>
        <w:t>JOBBER_CONNECT_KEY</w:t>
      </w:r>
      <w:r>
        <w:rPr/>
        <w:t>. Use a long random value for the connect key and keep it private.</w:t>
      </w:r>
    </w:p>
    <w:p>
      <w:pPr>
        <w:tabs>
          <w:tab w:pos="504" w:val="left"/>
        </w:tabs>
        <w:spacing w:after="80"/>
        <w:ind w:left="504" w:hanging="360"/>
      </w:pPr>
      <w:r>
        <w:t>3.</w:t>
        <w:tab/>
      </w:r>
      <w:r>
        <w:rPr>
          <w:b/>
        </w:rPr>
        <w:t>Add the production redirect address to the Jobber app.</w:t>
      </w:r>
      <w:r>
        <w:rPr/>
        <w:t xml:space="preserve"> It is the production backend address followed by </w:t>
      </w:r>
      <w:r>
        <w:rPr>
          <w:rFonts w:ascii="Consolas" w:hAnsi="Consolas"/>
          <w:sz w:val="20"/>
        </w:rPr>
        <w:t>/jobber/callback</w:t>
      </w:r>
      <w:r>
        <w:rPr/>
        <w:t xml:space="preserve">, for example </w:t>
      </w:r>
      <w:r>
        <w:rPr>
          <w:rFonts w:ascii="Consolas" w:hAnsi="Consolas"/>
          <w:sz w:val="20"/>
        </w:rPr>
        <w:t>https://&lt;deployment&gt;.convex.site/jobber/callback</w:t>
      </w:r>
      <w:r>
        <w:rPr/>
        <w:t>.</w:t>
      </w:r>
    </w:p>
    <w:p>
      <w:pPr>
        <w:tabs>
          <w:tab w:pos="504" w:val="left"/>
        </w:tabs>
        <w:spacing w:after="80"/>
        <w:ind w:left="504" w:hanging="360"/>
      </w:pPr>
      <w:r>
        <w:t>4.</w:t>
        <w:tab/>
      </w:r>
      <w:r>
        <w:rPr>
          <w:b/>
        </w:rPr>
        <w:t>Deploy the website.</w:t>
      </w:r>
      <w:r>
        <w:rPr/>
        <w:t xml:space="preserve"> Create the Vercel project from the repository and set </w:t>
      </w:r>
      <w:r>
        <w:rPr>
          <w:rFonts w:ascii="Consolas" w:hAnsi="Consolas"/>
          <w:sz w:val="20"/>
        </w:rPr>
        <w:t>NEXT_PUBLIC_CONVEX_URL</w:t>
      </w:r>
      <w:r>
        <w:rPr/>
        <w:t xml:space="preserve"> to the production deployment. Deploy and check the preview address first.</w:t>
      </w:r>
    </w:p>
    <w:p>
      <w:pPr>
        <w:tabs>
          <w:tab w:pos="504" w:val="left"/>
        </w:tabs>
        <w:spacing w:after="80"/>
        <w:ind w:left="504" w:hanging="360"/>
      </w:pPr>
      <w:r>
        <w:t>5.</w:t>
        <w:tab/>
      </w:r>
      <w:r>
        <w:rPr>
          <w:b/>
        </w:rPr>
        <w:t>Attach the domain.</w:t>
      </w:r>
      <w:r>
        <w:rPr/>
        <w:t xml:space="preserve"> Add the custom domain in Vercel, then have the client (or their DNS host) add the record Vercel shows. HTTPS is issued automatically.</w:t>
      </w:r>
    </w:p>
    <w:p>
      <w:pPr>
        <w:tabs>
          <w:tab w:pos="504" w:val="left"/>
        </w:tabs>
        <w:spacing w:after="80"/>
        <w:ind w:left="504" w:hanging="360"/>
      </w:pPr>
      <w:r>
        <w:t>6.</w:t>
        <w:tab/>
      </w:r>
      <w:r>
        <w:rPr>
          <w:b/>
        </w:rPr>
        <w:t>Connect Jobber.</w:t>
      </w:r>
      <w:r>
        <w:rPr/>
        <w:t xml:space="preserve"> With the client present, open </w:t>
      </w:r>
      <w:r>
        <w:rPr>
          <w:rFonts w:ascii="Consolas" w:hAnsi="Consolas"/>
          <w:sz w:val="20"/>
        </w:rPr>
        <w:t>https://&lt;deployment&gt;.convex.site/jobber/connect?key=&lt;connect key&gt;</w:t>
      </w:r>
      <w:r>
        <w:rPr/>
        <w:t xml:space="preserve"> while signed in to Jobber and click Allow.</w:t>
      </w:r>
    </w:p>
    <w:p>
      <w:pPr>
        <w:tabs>
          <w:tab w:pos="504" w:val="left"/>
        </w:tabs>
        <w:spacing w:after="80"/>
        <w:ind w:left="504" w:hanging="360"/>
      </w:pPr>
      <w:r>
        <w:t>7.</w:t>
        <w:tab/>
      </w:r>
      <w:r>
        <w:rPr>
          <w:b/>
        </w:rPr>
        <w:t>Sync the product catalogue.</w:t>
      </w:r>
      <w:r>
        <w:rPr/>
        <w:t xml:space="preserve"> Run the plan step against production to see what would change, review it, then create the new items and hide the replaced ones. Keep the saved plan file as a record of what was hidden.</w:t>
      </w:r>
    </w:p>
    <w:p>
      <w:pPr>
        <w:tabs>
          <w:tab w:pos="504" w:val="left"/>
        </w:tabs>
        <w:spacing w:after="80"/>
        <w:ind w:left="504" w:hanging="360"/>
      </w:pPr>
      <w:r>
        <w:t>8.</w:t>
        <w:tab/>
      </w:r>
      <w:r>
        <w:rPr>
          <w:b/>
        </w:rPr>
        <w:t>Clean out test data.</w:t>
      </w:r>
      <w:r>
        <w:rPr/>
        <w:t xml:space="preserve"> The production database starts empty, so no migration is needed. Delete any test clients, requests, quotes and appointments left in Jobber.</w:t>
      </w:r>
    </w:p>
    <w:p>
      <w:pPr>
        <w:tabs>
          <w:tab w:pos="504" w:val="left"/>
        </w:tabs>
        <w:spacing w:after="80"/>
        <w:ind w:left="504" w:hanging="360"/>
      </w:pPr>
      <w:r>
        <w:t>9.</w:t>
        <w:tab/>
      </w:r>
      <w:r>
        <w:rPr>
          <w:b/>
        </w:rPr>
        <w:t>Run the full smoke test</w:t>
      </w:r>
      <w:r>
        <w:rPr/>
        <w:t xml:space="preserve"> (below).</w:t>
      </w:r>
    </w:p>
    <w:p>
      <w:pPr>
        <w:tabs>
          <w:tab w:pos="504" w:val="left"/>
        </w:tabs>
        <w:spacing w:after="80"/>
        <w:ind w:left="504" w:hanging="360"/>
      </w:pPr>
      <w:r>
        <w:t>10.</w:t>
        <w:tab/>
      </w:r>
      <w:r>
        <w:rPr>
          <w:b/>
        </w:rPr>
        <w:t>Tighten up.</w:t>
      </w:r>
      <w:r>
        <w:rPr/>
        <w:t xml:space="preserve"> Set a strong shared password, confirm the connect key is not stored anywhere public, and keep the Convex dashboard open for the first few days to watch for errors.</w:t>
      </w:r>
    </w:p>
    <w:p>
      <w:pPr>
        <w:tabs>
          <w:tab w:pos="504" w:val="left"/>
        </w:tabs>
        <w:spacing w:after="80"/>
        <w:ind w:left="504" w:hanging="360"/>
      </w:pPr>
      <w:r>
        <w:t>11.</w:t>
        <w:tab/>
      </w:r>
      <w:r>
        <w:rPr>
          <w:b/>
        </w:rPr>
        <w:t>Update the project documentation</w:t>
      </w:r>
      <w:r>
        <w:rPr/>
        <w:t xml:space="preserve"> with the live addresses, and hand over the credentials and account ownership.</w:t>
      </w:r>
    </w:p>
    <w:p>
      <w:pPr>
        <w:pStyle w:val="Heading2"/>
      </w:pPr>
      <w:r>
        <w:t>Smoke test before going public</w:t>
      </w:r>
    </w:p>
    <w:p>
      <w:pPr>
        <w:tabs>
          <w:tab w:pos="504" w:val="left"/>
        </w:tabs>
        <w:spacing w:after="80"/>
        <w:ind w:left="504" w:hanging="360"/>
      </w:pPr>
      <w:r>
        <w:t>•</w:t>
        <w:tab/>
      </w:r>
      <w:r>
        <w:rPr/>
        <w:t>Submit a customer request. A request appears in Jobber, and no quote is created yet.</w:t>
      </w:r>
    </w:p>
    <w:p>
      <w:pPr>
        <w:tabs>
          <w:tab w:pos="504" w:val="left"/>
        </w:tabs>
        <w:spacing w:after="80"/>
        <w:ind w:left="504" w:hanging="360"/>
      </w:pPr>
      <w:r>
        <w:t>•</w:t>
        <w:tab/>
      </w:r>
      <w:r>
        <w:rPr/>
        <w:t>The customer sees the confirmation page, and the "request received" email arrives if it is switched on.</w:t>
      </w:r>
    </w:p>
    <w:p>
      <w:pPr>
        <w:tabs>
          <w:tab w:pos="504" w:val="left"/>
        </w:tabs>
        <w:spacing w:after="80"/>
        <w:ind w:left="504" w:hanging="360"/>
      </w:pPr>
      <w:r>
        <w:t>•</w:t>
        <w:tab/>
      </w:r>
      <w:r>
        <w:rPr/>
        <w:t>Open the project in the on-site tool, complete the visit and save. A draft quote appears in Jobber, linked to the request, with the correct items and prices.</w:t>
      </w:r>
    </w:p>
    <w:p>
      <w:pPr>
        <w:tabs>
          <w:tab w:pos="504" w:val="left"/>
        </w:tabs>
        <w:spacing w:after="80"/>
        <w:ind w:left="504" w:hanging="360"/>
      </w:pPr>
      <w:r>
        <w:t>•</w:t>
        <w:tab/>
      </w:r>
      <w:r>
        <w:rPr/>
        <w:t>Schedule a consultation. It appears on the Jobber calendar at the right time, and the confirmation email arrives.</w:t>
      </w:r>
    </w:p>
    <w:p>
      <w:pPr>
        <w:tabs>
          <w:tab w:pos="504" w:val="left"/>
        </w:tabs>
        <w:spacing w:after="80"/>
        <w:ind w:left="504" w:hanging="360"/>
      </w:pPr>
      <w:r>
        <w:t>•</w:t>
        <w:tab/>
      </w:r>
      <w:r>
        <w:rPr/>
        <w:t>Repeat the customer form and the on-site tool on a phone.</w:t>
      </w:r>
    </w:p>
    <w:p>
      <w:pPr>
        <w:tabs>
          <w:tab w:pos="504" w:val="left"/>
        </w:tabs>
        <w:spacing w:after="80"/>
        <w:ind w:left="504" w:hanging="360"/>
      </w:pPr>
      <w:r>
        <w:t>•</w:t>
        <w:tab/>
      </w:r>
      <w:r>
        <w:rPr/>
        <w:t>Try signing in with a wrong password and confirm it is refused.</w:t>
      </w:r>
    </w:p>
    <w:p>
      <w:pPr>
        <w:pStyle w:val="Heading1"/>
      </w:pPr>
      <w:r>
        <w:t>Part 3: Go-Live Day</w:t>
      </w:r>
    </w:p>
    <w:p>
      <w:pPr>
        <w:tabs>
          <w:tab w:pos="504" w:val="left"/>
        </w:tabs>
        <w:spacing w:after="80"/>
        <w:ind w:left="504" w:hanging="360"/>
      </w:pPr>
      <w:r>
        <w:t>1.</w:t>
        <w:tab/>
      </w:r>
      <w:r>
        <w:rPr/>
        <w:t>Confirm the smoke test passed and the client has approved.</w:t>
      </w:r>
    </w:p>
    <w:p>
      <w:pPr>
        <w:tabs>
          <w:tab w:pos="504" w:val="left"/>
        </w:tabs>
        <w:spacing w:after="80"/>
        <w:ind w:left="504" w:hanging="360"/>
      </w:pPr>
      <w:r>
        <w:t>2.</w:t>
        <w:tab/>
      </w:r>
      <w:r>
        <w:rPr/>
        <w:t>Add the "Get an estimate" link to the main website.</w:t>
      </w:r>
    </w:p>
    <w:p>
      <w:pPr>
        <w:tabs>
          <w:tab w:pos="504" w:val="left"/>
        </w:tabs>
        <w:spacing w:after="80"/>
        <w:ind w:left="504" w:hanging="360"/>
      </w:pPr>
      <w:r>
        <w:t>3.</w:t>
        <w:tab/>
      </w:r>
      <w:r>
        <w:rPr/>
        <w:t>Watch the first real requests arrive in Jobber and the Convex dashboard.</w:t>
      </w:r>
    </w:p>
    <w:p>
      <w:pPr>
        <w:tabs>
          <w:tab w:pos="504" w:val="left"/>
        </w:tabs>
        <w:spacing w:after="80"/>
        <w:ind w:left="504" w:hanging="360"/>
      </w:pPr>
      <w:r>
        <w:t>4.</w:t>
        <w:tab/>
      </w:r>
      <w:r>
        <w:rPr/>
        <w:t>If anything goes wrong, remove the link from the website. Nothing else needs to change, and no customer data is lost.</w:t>
      </w:r>
    </w:p>
    <w:p>
      <w:pPr>
        <w:pStyle w:val="Heading1"/>
      </w:pPr>
      <w:r>
        <w:t>Part 4: After Launch</w:t>
      </w:r>
    </w:p>
    <w:tbl>
      <w:tblPr>
        <w:tblW w:type="auto" w:w="0"/>
        <w:jc w:val="center"/>
        <w:tblLayout w:type="fixed"/>
        <w:tblLook w:firstColumn="1" w:firstRow="1" w:lastColumn="0" w:lastRow="0" w:noHBand="0" w:noVBand="1" w:val="04A0"/>
        <w:tblBorders>
          <w:top w:val="single" w:sz="4" w:space="0" w:color="C9D1CB"/>
          <w:left w:val="single" w:sz="4" w:space="0" w:color="C9D1CB"/>
          <w:bottom w:val="single" w:sz="4" w:space="0" w:color="C9D1CB"/>
          <w:right w:val="single" w:sz="4" w:space="0" w:color="C9D1CB"/>
          <w:insideH w:val="single" w:sz="4" w:space="0" w:color="C9D1CB"/>
          <w:insideV w:val="single" w:sz="4" w:space="0" w:color="C9D1CB"/>
        </w:tblBorders>
        <w:tblCellMar>
          <w:top w:w="70" w:type="dxa"/>
          <w:left w:w="110" w:type="dxa"/>
          <w:bottom w:w="70" w:type="dxa"/>
          <w:right w:w="110" w:type="dxa"/>
        </w:tblCellMar>
      </w:tblPr>
      <w:tblGrid>
        <w:gridCol w:w="4680"/>
        <w:gridCol w:w="4680"/>
      </w:tblGrid>
      <w:tr>
        <w:trPr>
          <w:cantSplit/>
          <w:tblHeader/>
        </w:trPr>
        <w:tc>
          <w:tcPr>
            <w:tcW w:type="dxa" w:w="3168"/>
            <w:shd w:val="clear" w:color="auto" w:fill="E3EBDD"/>
          </w:tcPr>
          <w:p>
            <w:pPr>
              <w:spacing w:after="0" w:line="264" w:lineRule="auto"/>
            </w:pPr>
            <w:r>
              <w:rPr>
                <w:b/>
                <w:color w:val="1B4A32"/>
              </w:rPr>
              <w:t>Item</w:t>
            </w:r>
          </w:p>
        </w:tc>
        <w:tc>
          <w:tcPr>
            <w:tcW w:type="dxa" w:w="6192"/>
            <w:shd w:val="clear" w:color="auto" w:fill="E3EBDD"/>
          </w:tcPr>
          <w:p>
            <w:pPr>
              <w:spacing w:after="0" w:line="264" w:lineRule="auto"/>
            </w:pPr>
            <w:r>
              <w:rPr>
                <w:b/>
                <w:color w:val="1B4A32"/>
              </w:rPr>
              <w:t>Detail</w:t>
            </w:r>
          </w:p>
        </w:tc>
      </w:tr>
      <w:tr>
        <w:trPr>
          <w:cantSplit/>
        </w:trPr>
        <w:tc>
          <w:tcPr>
            <w:tcW w:type="dxa" w:w="3168"/>
          </w:tcPr>
          <w:p>
            <w:pPr>
              <w:spacing w:after="0" w:line="264" w:lineRule="auto"/>
            </w:pPr>
            <w:r>
              <w:rPr/>
              <w:t>Individual sales accounts</w:t>
            </w:r>
          </w:p>
        </w:tc>
        <w:tc>
          <w:tcPr>
            <w:tcW w:type="dxa" w:w="6192"/>
          </w:tcPr>
          <w:p>
            <w:pPr>
              <w:spacing w:after="0" w:line="264" w:lineRule="auto"/>
            </w:pPr>
            <w:r>
              <w:rPr/>
              <w:t>Replace the shared login so each salesperson has their own account and the system can show who did what.</w:t>
            </w:r>
          </w:p>
        </w:tc>
      </w:tr>
      <w:tr>
        <w:trPr>
          <w:cantSplit/>
        </w:trPr>
        <w:tc>
          <w:tcPr>
            <w:tcW w:type="dxa" w:w="3168"/>
          </w:tcPr>
          <w:p>
            <w:pPr>
              <w:spacing w:after="0" w:line="264" w:lineRule="auto"/>
            </w:pPr>
            <w:r>
              <w:rPr/>
              <w:t>Real pricing for the remaining services</w:t>
            </w:r>
          </w:p>
        </w:tc>
        <w:tc>
          <w:tcPr>
            <w:tcW w:type="dxa" w:w="6192"/>
          </w:tcPr>
          <w:p>
            <w:pPr>
              <w:spacing w:after="0" w:line="264" w:lineRule="auto"/>
            </w:pPr>
            <w:r>
              <w:rPr/>
              <w:t>Add contractor and the 12 other services once the client supplies prices.</w:t>
            </w:r>
          </w:p>
        </w:tc>
      </w:tr>
      <w:tr>
        <w:trPr>
          <w:cantSplit/>
        </w:trPr>
        <w:tc>
          <w:tcPr>
            <w:tcW w:type="dxa" w:w="3168"/>
          </w:tcPr>
          <w:p>
            <w:pPr>
              <w:spacing w:after="0" w:line="264" w:lineRule="auto"/>
            </w:pPr>
            <w:r>
              <w:rPr/>
              <w:t>Backups and monitoring</w:t>
            </w:r>
          </w:p>
        </w:tc>
        <w:tc>
          <w:tcPr>
            <w:tcW w:type="dxa" w:w="6192"/>
          </w:tcPr>
          <w:p>
            <w:pPr>
              <w:spacing w:after="0" w:line="264" w:lineRule="auto"/>
            </w:pPr>
            <w:r>
              <w:rPr/>
              <w:t>Decide how often data should be backed up and who receives error alerts.</w:t>
            </w:r>
          </w:p>
        </w:tc>
      </w:tr>
      <w:tr>
        <w:trPr>
          <w:cantSplit/>
        </w:trPr>
        <w:tc>
          <w:tcPr>
            <w:tcW w:type="dxa" w:w="3168"/>
          </w:tcPr>
          <w:p>
            <w:pPr>
              <w:spacing w:after="0" w:line="264" w:lineRule="auto"/>
            </w:pPr>
            <w:r>
              <w:rPr/>
              <w:t>Annual price list update</w:t>
            </w:r>
          </w:p>
        </w:tc>
        <w:tc>
          <w:tcPr>
            <w:tcW w:type="dxa" w:w="6192"/>
          </w:tcPr>
          <w:p>
            <w:pPr>
              <w:spacing w:after="0" w:line="264" w:lineRule="auto"/>
            </w:pPr>
            <w:r>
              <w:rPr/>
              <w:t>Update the price list file and re-run the catalogue sync each year.</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D64"/>
        <w:sz w:val="18"/>
      </w:rPr>
      <w:t xml:space="preserve">Quality First Turf  |  Project Report  |  Page </w:t>
    </w:r>
    <w:r>
      <w:rPr>
        <w:color w:val="5D6D6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A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eastAsia="Calibri" w:cs="Calibri"/>
      <w:b/>
      <w:bCs/>
      <w:color w:val="1B4A32"/>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cs="Calibri"/>
      <w:b/>
      <w:bCs/>
      <w:color w:val="1B4A32"/>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cs="Calibri"/>
      <w:b/>
      <w:bCs/>
      <w:color w:val="1F2A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cs="Calibri"/>
      <w:b/>
      <w:color w:val="1B4A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First Turf: Project Report</dc:title>
  <dc:subject/>
  <dc:creator>Quality First Turf</dc:creator>
  <cp:keywords/>
  <dc:description>generated by python-docx</dc:description>
  <cp:lastModifiedBy/>
  <cp:revision>1</cp:revision>
  <dcterms:created xsi:type="dcterms:W3CDTF">2013-12-23T23:15:00Z</dcterms:created>
  <dcterms:modified xsi:type="dcterms:W3CDTF">2013-12-23T23:15:00Z</dcterms:modified>
  <cp:category/>
</cp:coreProperties>
</file>