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bCs/>
          <w:i w:val="false"/>
          <w:iCs w:val="false"/>
          <w:sz w:val="22"/>
          <w:szCs w:val="22"/>
        </w:rPr>
        <w:t xml:space="preserve">FINAL  PROJECT  SYNOPSIS</w:t>
      </w:r>
    </w:p>
    <w:p>
      <w:pPr>
        <w:pBdr>
          <w:bottom w:val="single" w:color="000000" w:sz="8" w:space="6"/>
        </w:pBdr>
        <w:spacing w:after="360"/>
        <w:jc w:val="center"/>
      </w:pPr>
      <w:r>
        <w:rPr>
          <w:rFonts w:ascii="Times New Roman" w:cs="Times New Roman" w:eastAsia="Times New Roman" w:hAnsi="Times New Roman"/>
          <w:i/>
          <w:iCs/>
          <w:sz w:val="20"/>
          <w:szCs w:val="20"/>
        </w:rPr>
        <w:t xml:space="preserve">submitted in partial fulfilment of UCS310</w:t>
      </w:r>
    </w:p>
    <w:p>
      <w:pPr>
        <w:spacing w:after="4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bCs/>
          <w:i w:val="false"/>
          <w:iCs w:val="false"/>
          <w:sz w:val="48"/>
          <w:szCs w:val="48"/>
        </w:rPr>
        <w:t xml:space="preserve">Blood Bank and Donor</w:t>
      </w:r>
    </w:p>
    <w:p>
      <w:pPr>
        <w:spacing w:after="100"/>
        <w:jc w:val="center"/>
      </w:pPr>
      <w:r>
        <w:rPr>
          <w:rFonts w:ascii="Times New Roman" w:cs="Times New Roman" w:eastAsia="Times New Roman" w:hAnsi="Times New Roman"/>
          <w:b/>
          <w:bCs/>
          <w:i w:val="false"/>
          <w:iCs w:val="false"/>
          <w:sz w:val="48"/>
          <w:szCs w:val="48"/>
        </w:rPr>
        <w:t xml:space="preserve">Management System</w:t>
      </w:r>
    </w:p>
    <w:p>
      <w:pPr>
        <w:spacing w:after="2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val="false"/>
          <w:bCs w:val="false"/>
          <w:i/>
          <w:iCs/>
          <w:sz w:val="24"/>
          <w:szCs w:val="24"/>
        </w:rPr>
        <w:t xml:space="preserve">Backend-First Database Design and PL/SQL Implementation for</w:t>
      </w:r>
    </w:p>
    <w:p>
      <w:pPr>
        <w:spacing w:after="100"/>
        <w:jc w:val="center"/>
      </w:pPr>
      <w:r>
        <w:rPr>
          <w:rFonts w:ascii="Times New Roman" w:cs="Times New Roman" w:eastAsia="Times New Roman" w:hAnsi="Times New Roman"/>
          <w:b w:val="false"/>
          <w:bCs w:val="false"/>
          <w:i/>
          <w:iCs/>
          <w:sz w:val="24"/>
          <w:szCs w:val="24"/>
        </w:rPr>
        <w:t xml:space="preserve">Donor Lifecycle, Component Inventory, and Cross-Match Workflows</w:t>
      </w:r>
    </w:p>
    <w:p>
      <w:pPr>
        <w:spacing w:after="8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bCs/>
          <w:i w:val="false"/>
          <w:iCs w:val="false"/>
          <w:sz w:val="22"/>
          <w:szCs w:val="22"/>
        </w:rPr>
        <w:t xml:space="preserve">Submitted by</w:t>
      </w:r>
    </w:p>
    <w:p>
      <w:pPr>
        <w:spacing w:after="10"/>
      </w:pPr>
      <w:r>
        <w:rPr>
          <w:rFonts w:ascii="Times New Roman" w:cs="Times New Roman" w:eastAsia="Times New Roman" w:hAnsi="Times New Roman"/>
          <w:sz w:val="24"/>
          <w:szCs w:val="24"/>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800"/>
      </w:tblGrid>
      <w:tr>
        <w:trPr>
          <w:tblHeader/>
        </w:trPr>
        <w:tc>
          <w:tcPr>
            <w:tcW w:type="dxa" w:w="800"/>
            <w:tcBorders>
              <w:top w:val="single" w:color="808080" w:sz="4"/>
              <w:left w:val="single" w:color="808080" w:sz="4"/>
              <w:bottom w:val="single" w:color="808080" w:sz="4"/>
              <w:right w:val="single" w:color="808080" w:sz="4"/>
            </w:tcBorders>
            <w:shd w:fill="E7E6E6" w:color="auto" w:val="clear"/>
            <w:tcMar>
              <w:top w:type="dxa" w:w="100"/>
              <w:left w:type="dxa" w:w="140"/>
              <w:bottom w:type="dxa" w:w="100"/>
              <w:right w:type="dxa" w:w="140"/>
            </w:tcMar>
          </w:tcPr>
          <w:p>
            <w:pPr>
              <w:jc w:val="center"/>
            </w:pPr>
            <w:r>
              <w:rPr>
                <w:rFonts w:ascii="Times New Roman" w:cs="Times New Roman" w:eastAsia="Times New Roman" w:hAnsi="Times New Roman"/>
                <w:b/>
                <w:bCs/>
                <w:sz w:val="22"/>
                <w:szCs w:val="22"/>
              </w:rPr>
              <w:t xml:space="preserve">S.No.</w:t>
            </w:r>
          </w:p>
        </w:tc>
        <w:tc>
          <w:tcPr>
            <w:tcW w:type="dxa" w:w="4400"/>
            <w:tcBorders>
              <w:top w:val="single" w:color="808080" w:sz="4"/>
              <w:left w:val="single" w:color="808080" w:sz="4"/>
              <w:bottom w:val="single" w:color="808080" w:sz="4"/>
              <w:right w:val="single" w:color="808080" w:sz="4"/>
            </w:tcBorders>
            <w:shd w:fill="E7E6E6" w:color="auto" w:val="clear"/>
            <w:tcMar>
              <w:top w:type="dxa" w:w="100"/>
              <w:left w:type="dxa" w:w="140"/>
              <w:bottom w:type="dxa" w:w="100"/>
              <w:right w:type="dxa" w:w="140"/>
            </w:tcMar>
          </w:tcPr>
          <w:p>
            <w:pPr>
              <w:jc w:val="center"/>
            </w:pPr>
            <w:r>
              <w:rPr>
                <w:rFonts w:ascii="Times New Roman" w:cs="Times New Roman" w:eastAsia="Times New Roman" w:hAnsi="Times New Roman"/>
                <w:b/>
                <w:bCs/>
                <w:sz w:val="22"/>
                <w:szCs w:val="22"/>
              </w:rPr>
              <w:t xml:space="preserve">Name</w:t>
            </w:r>
          </w:p>
        </w:tc>
        <w:tc>
          <w:tcPr>
            <w:tcW w:type="dxa" w:w="2800"/>
            <w:tcBorders>
              <w:top w:val="single" w:color="808080" w:sz="4"/>
              <w:left w:val="single" w:color="808080" w:sz="4"/>
              <w:bottom w:val="single" w:color="808080" w:sz="4"/>
              <w:right w:val="single" w:color="808080" w:sz="4"/>
            </w:tcBorders>
            <w:shd w:fill="E7E6E6" w:color="auto" w:val="clear"/>
            <w:tcMar>
              <w:top w:type="dxa" w:w="100"/>
              <w:left w:type="dxa" w:w="140"/>
              <w:bottom w:type="dxa" w:w="100"/>
              <w:right w:type="dxa" w:w="140"/>
            </w:tcMar>
          </w:tcPr>
          <w:p>
            <w:pPr>
              <w:jc w:val="center"/>
            </w:pPr>
            <w:r>
              <w:rPr>
                <w:rFonts w:ascii="Times New Roman" w:cs="Times New Roman" w:eastAsia="Times New Roman" w:hAnsi="Times New Roman"/>
                <w:b/>
                <w:bCs/>
                <w:sz w:val="22"/>
                <w:szCs w:val="22"/>
              </w:rPr>
              <w:t xml:space="preserve">Roll Number</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center"/>
            </w:pPr>
            <w:r>
              <w:rPr>
                <w:rFonts w:ascii="Times New Roman" w:cs="Times New Roman" w:eastAsia="Times New Roman" w:hAnsi="Times New Roman"/>
                <w:sz w:val="22"/>
                <w:szCs w:val="22"/>
              </w:rPr>
              <w:t xml:space="preserve">1</w:t>
            </w:r>
          </w:p>
        </w:tc>
        <w:tc>
          <w:tcPr>
            <w:tcW w:type="dxa" w:w="44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Devansh Gupta</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center"/>
            </w:pPr>
            <w:r>
              <w:rPr>
                <w:rFonts w:ascii="Times New Roman" w:cs="Times New Roman" w:eastAsia="Times New Roman" w:hAnsi="Times New Roman"/>
                <w:sz w:val="22"/>
                <w:szCs w:val="22"/>
              </w:rPr>
              <w:t xml:space="preserve">102403093</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center"/>
            </w:pPr>
            <w:r>
              <w:rPr>
                <w:rFonts w:ascii="Times New Roman" w:cs="Times New Roman" w:eastAsia="Times New Roman" w:hAnsi="Times New Roman"/>
                <w:sz w:val="22"/>
                <w:szCs w:val="22"/>
              </w:rPr>
              <w:t xml:space="preserve">2</w:t>
            </w:r>
          </w:p>
        </w:tc>
        <w:tc>
          <w:tcPr>
            <w:tcW w:type="dxa" w:w="44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Matreyi Suryan</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center"/>
            </w:pPr>
            <w:r>
              <w:rPr>
                <w:rFonts w:ascii="Times New Roman" w:cs="Times New Roman" w:eastAsia="Times New Roman" w:hAnsi="Times New Roman"/>
                <w:sz w:val="22"/>
                <w:szCs w:val="22"/>
              </w:rPr>
              <w:t xml:space="preserve">[Roll Number]</w:t>
            </w:r>
          </w:p>
        </w:tc>
      </w:tr>
      <w:tr>
        <w:tc>
          <w:tcPr>
            <w:tcW w:type="dxa" w:w="8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center"/>
            </w:pPr>
            <w:r>
              <w:rPr>
                <w:rFonts w:ascii="Times New Roman" w:cs="Times New Roman" w:eastAsia="Times New Roman" w:hAnsi="Times New Roman"/>
                <w:sz w:val="22"/>
                <w:szCs w:val="22"/>
              </w:rPr>
              <w:t xml:space="preserve">3</w:t>
            </w:r>
          </w:p>
        </w:tc>
        <w:tc>
          <w:tcPr>
            <w:tcW w:type="dxa" w:w="44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Ayati Gupta</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center"/>
            </w:pPr>
            <w:r>
              <w:rPr>
                <w:rFonts w:ascii="Times New Roman" w:cs="Times New Roman" w:eastAsia="Times New Roman" w:hAnsi="Times New Roman"/>
                <w:sz w:val="22"/>
                <w:szCs w:val="22"/>
              </w:rPr>
              <w:t xml:space="preserve">[Roll Number]</w:t>
            </w:r>
          </w:p>
        </w:tc>
      </w:tr>
    </w:tbl>
    <w:p>
      <w:pPr>
        <w:spacing w:after="4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bCs/>
          <w:i w:val="false"/>
          <w:iCs w:val="false"/>
          <w:sz w:val="22"/>
          <w:szCs w:val="22"/>
        </w:rPr>
        <w:t xml:space="preserve">Under the supervision of</w:t>
      </w:r>
    </w:p>
    <w:p>
      <w:pPr>
        <w:spacing w:after="100"/>
        <w:jc w:val="center"/>
      </w:pPr>
      <w:r>
        <w:rPr>
          <w:rFonts w:ascii="Times New Roman" w:cs="Times New Roman" w:eastAsia="Times New Roman" w:hAnsi="Times New Roman"/>
          <w:b w:val="false"/>
          <w:bCs w:val="false"/>
          <w:i w:val="false"/>
          <w:iCs w:val="false"/>
          <w:sz w:val="24"/>
          <w:szCs w:val="24"/>
        </w:rPr>
        <w:t xml:space="preserve">[Lab Instructor Name]</w:t>
      </w:r>
    </w:p>
    <w:p>
      <w:pPr>
        <w:spacing w:after="4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val="false"/>
          <w:bCs w:val="false"/>
          <w:i w:val="false"/>
          <w:iCs w:val="false"/>
          <w:sz w:val="22"/>
          <w:szCs w:val="22"/>
        </w:rPr>
        <w:t xml:space="preserve">Course:  UCS310 — Database Management Systems</w:t>
      </w:r>
    </w:p>
    <w:p>
      <w:pPr>
        <w:spacing w:after="100"/>
        <w:jc w:val="center"/>
      </w:pPr>
      <w:r>
        <w:rPr>
          <w:rFonts w:ascii="Times New Roman" w:cs="Times New Roman" w:eastAsia="Times New Roman" w:hAnsi="Times New Roman"/>
          <w:b w:val="false"/>
          <w:bCs w:val="false"/>
          <w:i w:val="false"/>
          <w:iCs w:val="false"/>
          <w:sz w:val="22"/>
          <w:szCs w:val="22"/>
        </w:rPr>
        <w:t xml:space="preserve">Programme:  B.Tech (Computer Science &amp; Engineering), Second Year</w:t>
      </w:r>
    </w:p>
    <w:p>
      <w:pPr>
        <w:spacing w:after="100"/>
        <w:jc w:val="center"/>
      </w:pPr>
      <w:r>
        <w:rPr>
          <w:rFonts w:ascii="Times New Roman" w:cs="Times New Roman" w:eastAsia="Times New Roman" w:hAnsi="Times New Roman"/>
          <w:b w:val="false"/>
          <w:bCs w:val="false"/>
          <w:i w:val="false"/>
          <w:iCs w:val="false"/>
          <w:sz w:val="22"/>
          <w:szCs w:val="22"/>
        </w:rPr>
        <w:t xml:space="preserve">Department of Computer Science and Engineering</w:t>
      </w:r>
    </w:p>
    <w:p>
      <w:pPr>
        <w:spacing w:after="100"/>
        <w:jc w:val="center"/>
      </w:pPr>
      <w:r>
        <w:rPr>
          <w:rFonts w:ascii="Times New Roman" w:cs="Times New Roman" w:eastAsia="Times New Roman" w:hAnsi="Times New Roman"/>
          <w:b w:val="false"/>
          <w:bCs w:val="false"/>
          <w:i w:val="false"/>
          <w:iCs w:val="false"/>
          <w:sz w:val="22"/>
          <w:szCs w:val="22"/>
        </w:rPr>
        <w:t xml:space="preserve">Thapar Institute of Engineering and Technology</w:t>
      </w:r>
    </w:p>
    <w:p>
      <w:pPr>
        <w:spacing w:after="100"/>
        <w:jc w:val="center"/>
      </w:pPr>
      <w:r>
        <w:rPr>
          <w:rFonts w:ascii="Times New Roman" w:cs="Times New Roman" w:eastAsia="Times New Roman" w:hAnsi="Times New Roman"/>
          <w:b w:val="false"/>
          <w:bCs w:val="false"/>
          <w:i/>
          <w:iCs/>
          <w:sz w:val="22"/>
          <w:szCs w:val="22"/>
        </w:rPr>
        <w:t xml:space="preserve">Academic Year 2025–26</w:t>
      </w:r>
    </w:p>
    <w:p>
      <w:r>
        <w:br w:type="page"/>
      </w:r>
    </w:p>
    <w:p>
      <w:pPr>
        <w:pStyle w:val="Heading1"/>
        <w:spacing w:after="200" w:before="400"/>
      </w:pPr>
      <w:r>
        <w:rPr>
          <w:rFonts w:ascii="Times New Roman" w:cs="Times New Roman" w:eastAsia="Times New Roman" w:hAnsi="Times New Roman"/>
          <w:b/>
          <w:bCs/>
          <w:sz w:val="28"/>
          <w:szCs w:val="28"/>
        </w:rPr>
        <w:t xml:space="preserve">1.  Abstract</w:t>
      </w:r>
    </w:p>
    <w:p>
      <w:pPr>
        <w:spacing w:after="160" w:line="320"/>
        <w:jc w:val="both"/>
      </w:pPr>
      <w:r>
        <w:rPr>
          <w:rFonts w:ascii="Times New Roman" w:cs="Times New Roman" w:eastAsia="Times New Roman" w:hAnsi="Times New Roman"/>
          <w:sz w:val="24"/>
          <w:szCs w:val="24"/>
        </w:rPr>
        <w:t xml:space="preserve">Blood banks operate as inventory systems with clinical safety constraints stacked on top, and a single mistake — releasing an expired unit, accepting a donor inside the deferral window, mismatching ABO groups during issuance — can cause real harm. Despite this, a large number of smaller hospitals and NGO-organised banks across India still maintain donor and stock records on paper registers or in disconnected spreadsheets, where the structural enforcement of any of these rules is impossible.</w:t>
      </w:r>
    </w:p>
    <w:p>
      <w:pPr>
        <w:spacing w:after="160" w:line="320"/>
        <w:jc w:val="both"/>
      </w:pPr>
      <w:r>
        <w:rPr>
          <w:rFonts w:ascii="Times New Roman" w:cs="Times New Roman" w:eastAsia="Times New Roman" w:hAnsi="Times New Roman"/>
          <w:sz w:val="24"/>
          <w:szCs w:val="24"/>
        </w:rPr>
        <w:t xml:space="preserve">This project presents the design and end-to-end backend implementation of a Blood Bank and Donor Management System (BBDMS) on Oracle Database 23ai Free, with the explicit aim of moving safety-critical logic out of human discipline and into the database layer. The system models the full lifecycle of a blood unit across eleven normalized relations: donor registration, donation, screening, component preparation, hospital and recipient management, request handling, cross-matching, issuance, and audit logging.</w:t>
      </w:r>
    </w:p>
    <w:p>
      <w:pPr>
        <w:spacing w:after="160" w:line="320"/>
        <w:jc w:val="both"/>
      </w:pPr>
      <w:r>
        <w:rPr>
          <w:rFonts w:ascii="Times New Roman" w:cs="Times New Roman" w:eastAsia="Times New Roman" w:hAnsi="Times New Roman"/>
          <w:sz w:val="24"/>
          <w:szCs w:val="24"/>
        </w:rPr>
        <w:t xml:space="preserve">Operational behaviour is implemented in PL/SQL. Three functions encapsulate clinical lookups (eligibility check, expiry calculation, ABO/Rh compatibility). Two procedures wrap multi-step workflows — donor registration with validation and the central issuance procedure with row-level locking. Five triggers enforce the 90-day deferral rule, automatic unit release on negative screening, and audit logging on every change to donors, units, and issuances. Nine of the original ten audit-relevant operations are captured automatically by triggers; one is captured by the issuance procedure itself for transactional consistency reasons explained in Section 9.</w:t>
      </w:r>
    </w:p>
    <w:p>
      <w:pPr>
        <w:spacing w:after="160" w:line="320"/>
        <w:jc w:val="both"/>
      </w:pPr>
      <w:r>
        <w:rPr>
          <w:rFonts w:ascii="Times New Roman" w:cs="Times New Roman" w:eastAsia="Times New Roman" w:hAnsi="Times New Roman"/>
          <w:sz w:val="24"/>
          <w:szCs w:val="24"/>
        </w:rPr>
        <w:t xml:space="preserve">This synopsis documents not only the final design but also the design choices that were revised mid-build, the bugs encountered during implementation (mutating-table errors on the audit triggers, sequence gaps caused by failed inserts, a numeric-versus-VARCHAR mismatch on a trigger column, fractional-day arithmetic at the 90-day boundary), and how each was diagnosed and resolved. The intent is to present the project as it actually was built, not as a polished retrospective summary.</w:t>
      </w:r>
    </w:p>
    <w:p>
      <w:r>
        <w:br w:type="page"/>
      </w:r>
    </w:p>
    <w:p>
      <w:pPr>
        <w:pStyle w:val="Heading1"/>
        <w:spacing w:after="200" w:before="400"/>
      </w:pPr>
      <w:r>
        <w:rPr>
          <w:rFonts w:ascii="Times New Roman" w:cs="Times New Roman" w:eastAsia="Times New Roman" w:hAnsi="Times New Roman"/>
          <w:b/>
          <w:bCs/>
          <w:sz w:val="28"/>
          <w:szCs w:val="28"/>
        </w:rPr>
        <w:t xml:space="preserve">2.  Introduction</w:t>
      </w:r>
    </w:p>
    <w:p>
      <w:pPr>
        <w:spacing w:after="160" w:line="320"/>
        <w:jc w:val="both"/>
      </w:pPr>
      <w:r>
        <w:rPr>
          <w:rFonts w:ascii="Times New Roman" w:cs="Times New Roman" w:eastAsia="Times New Roman" w:hAnsi="Times New Roman"/>
          <w:sz w:val="24"/>
          <w:szCs w:val="24"/>
        </w:rPr>
        <w:t xml:space="preserve">Blood is a perishable, biological resource that cannot be manufactured on demand and has a finite, component-dependent shelf life. Whole blood expires in roughly 35 days under refrigeration; platelets last around 5 days at room temperature with continuous agitation; fresh frozen plasma can be stored for up to a year if held below −25 °C. Each component carries its own storage rule, its own indications, and its own expiry curve. Every issued unit must be matched to the recipient on the basis of ABO and Rh compatibility, and donors themselves must clear a five-test screening panel — HIV, hepatitis B, hepatitis C, syphilis, malaria — before any unit drawn from them can be released. Together, these constraints make blood-bank operation one of the more rule-heavy workflows in any clinical setting.</w:t>
      </w:r>
    </w:p>
    <w:p>
      <w:pPr>
        <w:spacing w:after="160" w:line="320"/>
        <w:jc w:val="both"/>
      </w:pPr>
      <w:r>
        <w:rPr>
          <w:rFonts w:ascii="Times New Roman" w:cs="Times New Roman" w:eastAsia="Times New Roman" w:hAnsi="Times New Roman"/>
          <w:sz w:val="24"/>
          <w:szCs w:val="24"/>
        </w:rPr>
        <w:t xml:space="preserve">Most large hospitals in tier-1 cities now run their blood-bank module either through an integrated hospital information system or through e-RaktKosh, the Government of India's national-level web application. Smaller hospitals, NGO-organised camps, and standalone licensed banks, however, still operate on a mixture of paper registers, spreadsheets, and locally built MS Access databases that have never been re-engineered. The pattern of failures in these settings is fairly consistent and well documented in public-health audits: donor eligibility windows violated because the previous donation record sits in a different register, units approaching expiry caught only by visual inspection of the storage refrigerator, no quick way to ask "how many platelet units are currently available for a B-positive recipient?" without physically going to the rack, and audit trails reconstructed retrospectively from the same paper that caused the gaps in the first place.</w:t>
      </w:r>
    </w:p>
    <w:p>
      <w:pPr>
        <w:spacing w:after="160" w:line="320"/>
        <w:jc w:val="both"/>
      </w:pPr>
      <w:r>
        <w:rPr>
          <w:rFonts w:ascii="Times New Roman" w:cs="Times New Roman" w:eastAsia="Times New Roman" w:hAnsi="Times New Roman"/>
          <w:sz w:val="24"/>
          <w:szCs w:val="24"/>
        </w:rPr>
        <w:t xml:space="preserve">These are not problems of effort or training. They are structural problems that file-based or spreadsheet-based storage cannot fix. A spreadsheet has no concept of a foreign key, so an issuance row can refer to a unit that was never donated. It has no atomic transaction, so two staff members updating the same row at the same time can silently overwrite each other. It has no triggers, so any rule that should fire on every insert has to be remembered by the human at the keyboard. A relational database supplemented with PL/SQL, in contrast, can encode every one of these rules once, in the schema, and have them enforced uniformly thereafter.</w:t>
      </w:r>
    </w:p>
    <w:p>
      <w:pPr>
        <w:spacing w:after="160" w:line="320"/>
        <w:jc w:val="both"/>
      </w:pPr>
      <w:r>
        <w:rPr>
          <w:rFonts w:ascii="Times New Roman" w:cs="Times New Roman" w:eastAsia="Times New Roman" w:hAnsi="Times New Roman"/>
          <w:sz w:val="24"/>
          <w:szCs w:val="24"/>
        </w:rPr>
        <w:t xml:space="preserve">The gap between what a clinical workflow actually requires and what a spreadsheet is structurally capable of offering is the gap this project sets out to address.</w:t>
      </w:r>
    </w:p>
    <w:p>
      <w:r>
        <w:br w:type="page"/>
      </w:r>
    </w:p>
    <w:p>
      <w:pPr>
        <w:pStyle w:val="Heading1"/>
        <w:spacing w:after="200" w:before="400"/>
      </w:pPr>
      <w:r>
        <w:rPr>
          <w:rFonts w:ascii="Times New Roman" w:cs="Times New Roman" w:eastAsia="Times New Roman" w:hAnsi="Times New Roman"/>
          <w:b/>
          <w:bCs/>
          <w:sz w:val="28"/>
          <w:szCs w:val="28"/>
        </w:rPr>
        <w:t xml:space="preserve">3.  Problem Statement</w:t>
      </w:r>
    </w:p>
    <w:p>
      <w:pPr>
        <w:spacing w:after="160" w:line="320"/>
        <w:jc w:val="both"/>
      </w:pPr>
      <w:r>
        <w:rPr>
          <w:rFonts w:ascii="Times New Roman" w:cs="Times New Roman" w:eastAsia="Times New Roman" w:hAnsi="Times New Roman"/>
          <w:sz w:val="24"/>
          <w:szCs w:val="24"/>
        </w:rPr>
        <w:t xml:space="preserve">The system addresses a specific operational scenario: a single mid-sized blood bank — the kind attached to a 200-bed hospital, or an independently licensed bank that serves four or five smaller hospitals nearby — running its operations on disconnected tools that cannot enforce the rules its own staff are required to follow. The concrete failures the system structurally eliminates are listed below, each tied to a specific mechanism in the implemented schema.</w:t>
      </w:r>
    </w:p>
    <w:p>
      <w:pPr>
        <w:pStyle w:val="Heading2"/>
        <w:spacing w:after="120" w:before="240"/>
      </w:pPr>
      <w:r>
        <w:rPr>
          <w:rFonts w:ascii="Times New Roman" w:cs="Times New Roman" w:eastAsia="Times New Roman" w:hAnsi="Times New Roman"/>
          <w:b/>
          <w:bCs/>
          <w:i/>
          <w:iCs/>
          <w:sz w:val="26"/>
          <w:szCs w:val="26"/>
        </w:rPr>
        <w:t xml:space="preserve">Donor eligibility violations</w:t>
      </w:r>
    </w:p>
    <w:p>
      <w:pPr>
        <w:spacing w:after="160" w:line="320"/>
        <w:jc w:val="both"/>
      </w:pPr>
      <w:r>
        <w:rPr>
          <w:rFonts w:ascii="Times New Roman" w:cs="Times New Roman" w:eastAsia="Times New Roman" w:hAnsi="Times New Roman"/>
          <w:sz w:val="24"/>
          <w:szCs w:val="24"/>
        </w:rPr>
        <w:t xml:space="preserve">Indian regulatory guidelines mandate a 90-day deferral period between two whole-blood donations from the same donor. In paper-based systems, when a donor returns to a different counter on a different day, this rule depends on the receptionist remembering to flip back through the register and check. In our system the rule is encoded in two layers: a PL/SQL function donor_eligible(p_donor_id) that any application can call to check status, and a BEFORE INSERT trigger trg_donation_eligibility on the donation table that raises ORA-20020 if a donation row is attempted within the 90-day window. The rule is therefore enforced regardless of which application connects to the database, and regardless of which staff member operates it.</w:t>
      </w:r>
    </w:p>
    <w:p>
      <w:pPr>
        <w:pStyle w:val="Heading2"/>
        <w:spacing w:after="120" w:before="240"/>
      </w:pPr>
      <w:r>
        <w:rPr>
          <w:rFonts w:ascii="Times New Roman" w:cs="Times New Roman" w:eastAsia="Times New Roman" w:hAnsi="Times New Roman"/>
          <w:b/>
          <w:bCs/>
          <w:i/>
          <w:iCs/>
          <w:sz w:val="26"/>
          <w:szCs w:val="26"/>
        </w:rPr>
        <w:t xml:space="preserve">Expiry tracking failures</w:t>
      </w:r>
    </w:p>
    <w:p>
      <w:pPr>
        <w:spacing w:after="160" w:line="320"/>
        <w:jc w:val="both"/>
      </w:pPr>
      <w:r>
        <w:rPr>
          <w:rFonts w:ascii="Times New Roman" w:cs="Times New Roman" w:eastAsia="Times New Roman" w:hAnsi="Times New Roman"/>
          <w:sz w:val="24"/>
          <w:szCs w:val="24"/>
        </w:rPr>
        <w:t xml:space="preserve">Each blood unit has an expiry_date stored at creation, computed deterministically from the component's shelf life. The status column on blood_unit follows a six-state machine — QUARANTINE → AVAILABLE → RESERVED → ISSUED → EXPIRED → DISCARDED — and CHECK constraints prevent invalid values from being stored at all. Reports such as "units expiring in the next seven days" become single SELECT queries with a date predicate, not a manual scan of stored stock.</w:t>
      </w:r>
    </w:p>
    <w:p>
      <w:pPr>
        <w:pStyle w:val="Heading2"/>
        <w:spacing w:after="120" w:before="240"/>
      </w:pPr>
      <w:r>
        <w:rPr>
          <w:rFonts w:ascii="Times New Roman" w:cs="Times New Roman" w:eastAsia="Times New Roman" w:hAnsi="Times New Roman"/>
          <w:b/>
          <w:bCs/>
          <w:i/>
          <w:iCs/>
          <w:sz w:val="26"/>
          <w:szCs w:val="26"/>
        </w:rPr>
        <w:t xml:space="preserve">Group mismatch risk</w:t>
      </w:r>
    </w:p>
    <w:p>
      <w:pPr>
        <w:spacing w:after="160" w:line="320"/>
        <w:jc w:val="both"/>
      </w:pPr>
      <w:r>
        <w:rPr>
          <w:rFonts w:ascii="Times New Roman" w:cs="Times New Roman" w:eastAsia="Times New Roman" w:hAnsi="Times New Roman"/>
          <w:sz w:val="24"/>
          <w:szCs w:val="24"/>
        </w:rPr>
        <w:t xml:space="preserve">ABO and Rh compatibility is encoded in a 32-row reference table blood_compatibility, and the function get_compatible_groups(p_recipient_group) returns the comma-separated list of donor groups valid for a given recipient. The issuance procedure issue_unit calls this function and refuses to write the issuance row if the donor group is not in the result, raising ORA-20012 with a clear error message. A staff member therefore cannot accidentally issue an A-negative unit to an O-positive recipient.</w:t>
      </w:r>
    </w:p>
    <w:p>
      <w:pPr>
        <w:pStyle w:val="Heading2"/>
        <w:spacing w:after="120" w:before="240"/>
      </w:pPr>
      <w:r>
        <w:rPr>
          <w:rFonts w:ascii="Times New Roman" w:cs="Times New Roman" w:eastAsia="Times New Roman" w:hAnsi="Times New Roman"/>
          <w:b/>
          <w:bCs/>
          <w:i/>
          <w:iCs/>
          <w:sz w:val="26"/>
          <w:szCs w:val="26"/>
        </w:rPr>
        <w:t xml:space="preserve">Stock invisibility</w:t>
      </w:r>
    </w:p>
    <w:p>
      <w:pPr>
        <w:spacing w:after="160" w:line="320"/>
        <w:jc w:val="both"/>
      </w:pPr>
      <w:r>
        <w:rPr>
          <w:rFonts w:ascii="Times New Roman" w:cs="Times New Roman" w:eastAsia="Times New Roman" w:hAnsi="Times New Roman"/>
          <w:sz w:val="24"/>
          <w:szCs w:val="24"/>
        </w:rPr>
        <w:t xml:space="preserve">Real-time inventory is a single SELECT against blood_unit grouped by donor blood group and component. Views and ad-hoc queries return availability in milliseconds. The system also exposes per-(group, component) availability, which is the form clinicians actually want during an emergency.</w:t>
      </w:r>
    </w:p>
    <w:p>
      <w:pPr>
        <w:pStyle w:val="Heading2"/>
        <w:spacing w:after="120" w:before="240"/>
      </w:pPr>
      <w:r>
        <w:rPr>
          <w:rFonts w:ascii="Times New Roman" w:cs="Times New Roman" w:eastAsia="Times New Roman" w:hAnsi="Times New Roman"/>
          <w:b/>
          <w:bCs/>
          <w:i/>
          <w:iCs/>
          <w:sz w:val="26"/>
          <w:szCs w:val="26"/>
        </w:rPr>
        <w:t xml:space="preserve">Audit gaps</w:t>
      </w:r>
    </w:p>
    <w:p>
      <w:pPr>
        <w:spacing w:after="160" w:line="320"/>
        <w:jc w:val="both"/>
      </w:pPr>
      <w:r>
        <w:rPr>
          <w:rFonts w:ascii="Times New Roman" w:cs="Times New Roman" w:eastAsia="Times New Roman" w:hAnsi="Times New Roman"/>
          <w:sz w:val="24"/>
          <w:szCs w:val="24"/>
        </w:rPr>
        <w:t xml:space="preserve">Every change to the three most consequential tables — donor, blood_unit, and issuance — is captured by an AFTER trigger that writes a row to audit_log with the operation type, the old value, the new value, the database user, and a sub-second timestamp. This audit table is populated only by triggers and by the issuance procedure; no application path bypasses it. Regulators looking for traceability of a specific unit can follow the issuance audit row back through the screening row, the unit row, the donation row, and the donor row in a single chain of foreign keys.</w:t>
      </w:r>
    </w:p>
    <w:p>
      <w:pPr>
        <w:pStyle w:val="Heading2"/>
        <w:spacing w:after="120" w:before="240"/>
      </w:pPr>
      <w:r>
        <w:rPr>
          <w:rFonts w:ascii="Times New Roman" w:cs="Times New Roman" w:eastAsia="Times New Roman" w:hAnsi="Times New Roman"/>
          <w:b/>
          <w:bCs/>
          <w:i/>
          <w:iCs/>
          <w:sz w:val="26"/>
          <w:szCs w:val="26"/>
        </w:rPr>
        <w:t xml:space="preserve">Concurrency conflicts</w:t>
      </w:r>
    </w:p>
    <w:p>
      <w:pPr>
        <w:spacing w:after="160" w:line="320"/>
        <w:jc w:val="both"/>
      </w:pPr>
      <w:r>
        <w:rPr>
          <w:rFonts w:ascii="Times New Roman" w:cs="Times New Roman" w:eastAsia="Times New Roman" w:hAnsi="Times New Roman"/>
          <w:sz w:val="24"/>
          <w:szCs w:val="24"/>
        </w:rPr>
        <w:t xml:space="preserve">Two staff members attempting to issue the same unit from two terminals is the canonical concurrency hazard for a blood bank. The issue_unit procedure addresses this with SELECT … FOR UPDATE NOWAIT on the candidate unit row at the start of the transaction. Whichever session reaches the lock first acquires it; the other receives ORA-00054 immediately, which the procedure's exception handler converts into ORA-20010 ("Unit is locked or unavailable for issuance") before re-raising. Both branches of the transaction are atomic; neither leaves the database in a partial state.</w:t>
      </w:r>
    </w:p>
    <w:p>
      <w:r>
        <w:br w:type="page"/>
      </w:r>
    </w:p>
    <w:p>
      <w:pPr>
        <w:pStyle w:val="Heading1"/>
        <w:spacing w:after="200" w:before="400"/>
      </w:pPr>
      <w:r>
        <w:rPr>
          <w:rFonts w:ascii="Times New Roman" w:cs="Times New Roman" w:eastAsia="Times New Roman" w:hAnsi="Times New Roman"/>
          <w:b/>
          <w:bCs/>
          <w:sz w:val="28"/>
          <w:szCs w:val="28"/>
        </w:rPr>
        <w:t xml:space="preserve">4.  Objectives</w:t>
      </w:r>
    </w:p>
    <w:p>
      <w:pPr>
        <w:spacing w:after="160" w:line="320"/>
        <w:jc w:val="both"/>
      </w:pPr>
      <w:r>
        <w:rPr>
          <w:rFonts w:ascii="Times New Roman" w:cs="Times New Roman" w:eastAsia="Times New Roman" w:hAnsi="Times New Roman"/>
          <w:sz w:val="24"/>
          <w:szCs w:val="24"/>
        </w:rPr>
        <w:t xml:space="preserve">The project was organised around six concrete deliverables. Each was stated as a measurable outcome rather than a generic intent so that progress could be tracked through the semester and so that the final report can defend each one with evidence.</w:t>
      </w:r>
    </w:p>
    <w:p>
      <w:pPr>
        <w:spacing w:after="140" w:line="32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Build an entity-relationship model of the blood-bank domain capturing donors, donations, blood units, components, hospitals, recipients, requests, issuances, staff, screening, and audit events, including cardinality and participation constraints on every relationship. Eleven entities, eight foreign-key relationships, and one many-to-many compatibility reference table were identified.</w:t>
      </w:r>
    </w:p>
    <w:p>
      <w:pPr>
        <w:spacing w:after="140" w:line="32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Translate the ER model into a relational schema in BCNF and produce DDL scripts that define every relation with the appropriate primary, foreign, candidate, CHECK, and UNIQUE constraints. The final schema has 11 tables, 30+ named CHECK constraints, 8 foreign keys, and 5 UNIQUE constraints (two of which enforce 1-to-1 relationships at the schema level).</w:t>
      </w:r>
    </w:p>
    <w:p>
      <w:pPr>
        <w:spacing w:after="140" w:line="32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Populate the database with a representative test dataset large enough that demonstration queries return non-trivial results. Final seed data: 5 components, 5 staff, 10 donors with realistic age and blood-group distribution, 5 hospitals across five Indian cities, 20 donations spanning April 2025 to April 2026, 20 blood units (10 currently available, 10 already expired), 20 screening rows, 6 recipients, and 5 open requests.</w:t>
      </w:r>
    </w:p>
    <w:p>
      <w:pPr>
        <w:spacing w:after="140" w:line="32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Implement at least 10 substantive SQL queries spanning joins across three or more tables, correlated subqueries, set operations, aggregate and window functions, GROUP BY with HAVING, CASE expressions, and views, with each query addressing a real reporting need. The final catalogue contains 10 queries, each documented in Section 8 of this synopsis with sample output.</w:t>
      </w:r>
    </w:p>
    <w:p>
      <w:pPr>
        <w:spacing w:after="140" w:line="32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Implement the operational layer in PL/SQL with three functions (calc_expiry_date, donor_eligible, get_compatible_groups), two procedures (register_donor, issue_unit), and five triggers (eligibility, screening release, audit on donor, audit on blood_unit, audit on issuance), using structured exception handling throughout. Each PL/SQL object is documented in Sections 9 and 10 with the source listing, walkthrough, and the bugs encountered while developing it.</w:t>
      </w:r>
    </w:p>
    <w:p>
      <w:pPr>
        <w:spacing w:after="140" w:line="32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Demonstrate transactional safety through a successful end-to-end issuance — unit 13, request 1, staff 4 — verified by inspection of the issuance row, the unit's status transition, and the corresponding audit_log entry. The concurrency mechanism (SELECT … FOR UPDATE NOWAIT) was verified to refuse re-issuance of an already-ISSUED unit.</w:t>
      </w:r>
    </w:p>
    <w:p>
      <w:r>
        <w:br w:type="page"/>
      </w:r>
    </w:p>
    <w:p>
      <w:pPr>
        <w:pStyle w:val="Heading1"/>
        <w:spacing w:after="200" w:before="400"/>
      </w:pPr>
      <w:r>
        <w:rPr>
          <w:rFonts w:ascii="Times New Roman" w:cs="Times New Roman" w:eastAsia="Times New Roman" w:hAnsi="Times New Roman"/>
          <w:b/>
          <w:bCs/>
          <w:sz w:val="28"/>
          <w:szCs w:val="28"/>
        </w:rPr>
        <w:t xml:space="preserve">5.  Scope of the Project</w:t>
      </w:r>
    </w:p>
    <w:p>
      <w:pPr>
        <w:spacing w:after="160" w:line="320"/>
        <w:jc w:val="both"/>
      </w:pPr>
      <w:r>
        <w:rPr>
          <w:rFonts w:ascii="Times New Roman" w:cs="Times New Roman" w:eastAsia="Times New Roman" w:hAnsi="Times New Roman"/>
          <w:sz w:val="24"/>
          <w:szCs w:val="24"/>
        </w:rPr>
        <w:t xml:space="preserve">The system is designed for a single mid-sized blood bank — a 200-bed hospital's blood bank or an independently licensed bank serving a small cluster of nearby hospitals. It covers what we consider the operational core: donor management, donation and screening, component-aware inventory, hospital and recipient records, request handling, cross-matching, issuance, and audit logging.</w:t>
      </w:r>
    </w:p>
    <w:p>
      <w:pPr>
        <w:pStyle w:val="Heading2"/>
        <w:spacing w:after="120" w:before="240"/>
      </w:pPr>
      <w:r>
        <w:rPr>
          <w:rFonts w:ascii="Times New Roman" w:cs="Times New Roman" w:eastAsia="Times New Roman" w:hAnsi="Times New Roman"/>
          <w:b/>
          <w:bCs/>
          <w:i/>
          <w:iCs/>
          <w:sz w:val="26"/>
          <w:szCs w:val="26"/>
        </w:rPr>
        <w:t xml:space="preserve">Five user roles are modelled</w:t>
      </w:r>
    </w:p>
    <w:p>
      <w:pPr>
        <w:pStyle w:val="ListParagraph"/>
        <w:numPr>
          <w:ilvl w:val="0"/>
          <w:numId w:val="2"/>
        </w:numPr>
        <w:spacing w:after="100" w:line="300"/>
      </w:pPr>
      <w:r>
        <w:rPr>
          <w:rFonts w:ascii="Times New Roman" w:cs="Times New Roman" w:eastAsia="Times New Roman" w:hAnsi="Times New Roman"/>
          <w:sz w:val="24"/>
          <w:szCs w:val="24"/>
        </w:rPr>
        <w:t xml:space="preserve">Administrator — manages master data and audit reports. Created the staff entry 'Anita Sharma'.</w:t>
      </w:r>
    </w:p>
    <w:p>
      <w:pPr>
        <w:pStyle w:val="ListParagraph"/>
        <w:numPr>
          <w:ilvl w:val="0"/>
          <w:numId w:val="2"/>
        </w:numPr>
        <w:spacing w:after="100" w:line="300"/>
      </w:pPr>
      <w:r>
        <w:rPr>
          <w:rFonts w:ascii="Times New Roman" w:cs="Times New Roman" w:eastAsia="Times New Roman" w:hAnsi="Times New Roman"/>
          <w:sz w:val="24"/>
          <w:szCs w:val="24"/>
        </w:rPr>
        <w:t xml:space="preserve">Reception / donor-desk staff — registers donors and records donation events. Represented in seed data by Rahul Mehta, who recorded all 20 seed donations.</w:t>
      </w:r>
    </w:p>
    <w:p>
      <w:pPr>
        <w:pStyle w:val="ListParagraph"/>
        <w:numPr>
          <w:ilvl w:val="0"/>
          <w:numId w:val="2"/>
        </w:numPr>
        <w:spacing w:after="100" w:line="300"/>
      </w:pPr>
      <w:r>
        <w:rPr>
          <w:rFonts w:ascii="Times New Roman" w:cs="Times New Roman" w:eastAsia="Times New Roman" w:hAnsi="Times New Roman"/>
          <w:sz w:val="24"/>
          <w:szCs w:val="24"/>
        </w:rPr>
        <w:t xml:space="preserve">Lab technicians — enter screening results and trigger component separation. Represented by Priya Iyer, who signed off on all 20 seed screenings.</w:t>
      </w:r>
    </w:p>
    <w:p>
      <w:pPr>
        <w:pStyle w:val="ListParagraph"/>
        <w:numPr>
          <w:ilvl w:val="0"/>
          <w:numId w:val="2"/>
        </w:numPr>
        <w:spacing w:after="100" w:line="300"/>
      </w:pPr>
      <w:r>
        <w:rPr>
          <w:rFonts w:ascii="Times New Roman" w:cs="Times New Roman" w:eastAsia="Times New Roman" w:hAnsi="Times New Roman"/>
          <w:sz w:val="24"/>
          <w:szCs w:val="24"/>
        </w:rPr>
        <w:t xml:space="preserve">Issue-counter staff — handle requests and issuances. Represented by Vikram Singh, the staff_id used in the demo issuance.</w:t>
      </w:r>
    </w:p>
    <w:p>
      <w:pPr>
        <w:pStyle w:val="ListParagraph"/>
        <w:numPr>
          <w:ilvl w:val="0"/>
          <w:numId w:val="2"/>
        </w:numPr>
        <w:spacing w:after="100" w:line="300"/>
      </w:pPr>
      <w:r>
        <w:rPr>
          <w:rFonts w:ascii="Times New Roman" w:cs="Times New Roman" w:eastAsia="Times New Roman" w:hAnsi="Times New Roman"/>
          <w:sz w:val="24"/>
          <w:szCs w:val="24"/>
        </w:rPr>
        <w:t xml:space="preserve">Auditors — read-only access to the audit log. Represented by Meera Nair.</w:t>
      </w:r>
    </w:p>
    <w:p>
      <w:pPr>
        <w:pStyle w:val="Heading2"/>
        <w:spacing w:after="120" w:before="240"/>
      </w:pPr>
      <w:r>
        <w:rPr>
          <w:rFonts w:ascii="Times New Roman" w:cs="Times New Roman" w:eastAsia="Times New Roman" w:hAnsi="Times New Roman"/>
          <w:b/>
          <w:bCs/>
          <w:i/>
          <w:iCs/>
          <w:sz w:val="26"/>
          <w:szCs w:val="26"/>
        </w:rPr>
        <w:t xml:space="preserve">What is not in scope (deliberate boundaries)</w:t>
      </w:r>
    </w:p>
    <w:p>
      <w:pPr>
        <w:spacing w:after="160" w:line="320"/>
        <w:jc w:val="both"/>
      </w:pPr>
      <w:r>
        <w:rPr>
          <w:rFonts w:ascii="Times New Roman" w:cs="Times New Roman" w:eastAsia="Times New Roman" w:hAnsi="Times New Roman"/>
          <w:sz w:val="24"/>
          <w:szCs w:val="24"/>
        </w:rPr>
        <w:t xml:space="preserve">Drawing the boundary explicitly was a deliberate decision. We initially scoped a much larger system that included donor-camp scheduling and inter-bank transfers, but it became clear within the first two weeks that finishing it well in a single semester was unrealistic, and a half-finished broad system would teach less than a complete narrow one.</w:t>
      </w:r>
    </w:p>
    <w:p>
      <w:pPr>
        <w:spacing w:after="160" w:line="320"/>
        <w:jc w:val="both"/>
      </w:pPr>
      <w:r>
        <w:rPr>
          <w:rFonts w:ascii="Times New Roman" w:cs="Times New Roman" w:eastAsia="Times New Roman" w:hAnsi="Times New Roman"/>
          <w:sz w:val="24"/>
          <w:szCs w:val="24"/>
        </w:rPr>
        <w:t xml:space="preserve">The system does not connect to any external service. There is no SMS gateway for donor reminders, no integration with a hospital information system, and no link to the e-RaktKosh national portal. It does not implement the full set of NACO regulatory reports; only the underlying data model is designed in a way that those reports could be added later without schema rework. There is no web or desktop frontend; all interaction during evaluation happens through DBeaver, which is consistent with the course's backend-only emphasis. Authentication is modelled at the schema level using a dedicated bbdms Oracle user separated from the system administrator account, rather than as application-level login. Donor health information beyond the standard transmissible-disease screening panel — for instance, full medical history or HLA typing for rare blood groups — is left out. Extended-phenotype matching for chronic transfusion recipients is out of scope and listed as a future enhancement.</w:t>
      </w:r>
    </w:p>
    <w:p>
      <w:r>
        <w:br w:type="page"/>
      </w:r>
    </w:p>
    <w:p>
      <w:pPr>
        <w:pStyle w:val="Heading1"/>
        <w:spacing w:after="200" w:before="400"/>
      </w:pPr>
      <w:r>
        <w:rPr>
          <w:rFonts w:ascii="Times New Roman" w:cs="Times New Roman" w:eastAsia="Times New Roman" w:hAnsi="Times New Roman"/>
          <w:b/>
          <w:bCs/>
          <w:sz w:val="28"/>
          <w:szCs w:val="28"/>
        </w:rPr>
        <w:t xml:space="preserve">6.  Existing Systems and Why a Reference Implementation Matters</w:t>
      </w:r>
    </w:p>
    <w:p>
      <w:pPr>
        <w:spacing w:after="160" w:line="320"/>
        <w:jc w:val="both"/>
      </w:pPr>
      <w:r>
        <w:rPr>
          <w:rFonts w:ascii="Times New Roman" w:cs="Times New Roman" w:eastAsia="Times New Roman" w:hAnsi="Times New Roman"/>
          <w:sz w:val="24"/>
          <w:szCs w:val="24"/>
        </w:rPr>
        <w:t xml:space="preserve">Before settling on our own design we examined three classes of existing systems, partly to avoid duplicating something that already exists and partly to understand what gaps a teaching-grade implementation could realistically fill.</w:t>
      </w:r>
    </w:p>
    <w:p>
      <w:pPr>
        <w:pStyle w:val="Heading2"/>
        <w:spacing w:after="120" w:before="240"/>
      </w:pPr>
      <w:r>
        <w:rPr>
          <w:rFonts w:ascii="Times New Roman" w:cs="Times New Roman" w:eastAsia="Times New Roman" w:hAnsi="Times New Roman"/>
          <w:b/>
          <w:bCs/>
          <w:i/>
          <w:iCs/>
          <w:sz w:val="26"/>
          <w:szCs w:val="26"/>
        </w:rPr>
        <w:t xml:space="preserve">e-RaktKosh and centralized national systems</w:t>
      </w:r>
    </w:p>
    <w:p>
      <w:pPr>
        <w:spacing w:after="160" w:line="320"/>
        <w:jc w:val="both"/>
      </w:pPr>
      <w:r>
        <w:rPr>
          <w:rFonts w:ascii="Times New Roman" w:cs="Times New Roman" w:eastAsia="Times New Roman" w:hAnsi="Times New Roman"/>
          <w:sz w:val="24"/>
          <w:szCs w:val="24"/>
        </w:rPr>
        <w:t xml:space="preserve">e-RaktKosh is the centralized blood-bank management system promoted by the National Health Mission. It is in production use at thousands of registered banks across India and supports donor registration, inventory tracking, and inter-bank stock visibility. Its strength is the network effect: a hospital can search for a particular blood group across nearby banks. Its weakness, which has been documented in several public-health audits, is that data quality depends on every bank pushing accurate updates, and many smaller banks either delay updates or skip them altogether because the data-entry burden is high. It is also a closed system architecturally — the schema and the procedural logic are not documented publicly — so it cannot serve as a teaching reference.</w:t>
      </w:r>
    </w:p>
    <w:p>
      <w:pPr>
        <w:pStyle w:val="Heading2"/>
        <w:spacing w:after="120" w:before="240"/>
      </w:pPr>
      <w:r>
        <w:rPr>
          <w:rFonts w:ascii="Times New Roman" w:cs="Times New Roman" w:eastAsia="Times New Roman" w:hAnsi="Times New Roman"/>
          <w:b/>
          <w:bCs/>
          <w:i/>
          <w:iCs/>
          <w:sz w:val="26"/>
          <w:szCs w:val="26"/>
        </w:rPr>
        <w:t xml:space="preserve">Vendor HIS modules</w:t>
      </w:r>
    </w:p>
    <w:p>
      <w:pPr>
        <w:spacing w:after="160" w:line="320"/>
        <w:jc w:val="both"/>
      </w:pPr>
      <w:r>
        <w:rPr>
          <w:rFonts w:ascii="Times New Roman" w:cs="Times New Roman" w:eastAsia="Times New Roman" w:hAnsi="Times New Roman"/>
          <w:sz w:val="24"/>
          <w:szCs w:val="24"/>
        </w:rPr>
        <w:t xml:space="preserve">The blood-bank modules bundled with hospital information systems sold by vendors such as GE Healthcare, Suvarna, and Birlamedisoft are usually well-designed at the application level but treat the database as an implementation detail. The SQL and PL/SQL is hidden behind an ORM or stored-procedure API, and the schema is normalized but rarely shared with end users. From a learning standpoint, they are useful as a feature reference but not as a design reference.</w:t>
      </w:r>
    </w:p>
    <w:p>
      <w:pPr>
        <w:pStyle w:val="Heading2"/>
        <w:spacing w:after="120" w:before="240"/>
      </w:pPr>
      <w:r>
        <w:rPr>
          <w:rFonts w:ascii="Times New Roman" w:cs="Times New Roman" w:eastAsia="Times New Roman" w:hAnsi="Times New Roman"/>
          <w:b/>
          <w:bCs/>
          <w:i/>
          <w:iCs/>
          <w:sz w:val="26"/>
          <w:szCs w:val="26"/>
        </w:rPr>
        <w:t xml:space="preserve">Ad-hoc systems in smaller banks</w:t>
      </w:r>
    </w:p>
    <w:p>
      <w:pPr>
        <w:spacing w:after="160" w:line="320"/>
        <w:jc w:val="both"/>
      </w:pPr>
      <w:r>
        <w:rPr>
          <w:rFonts w:ascii="Times New Roman" w:cs="Times New Roman" w:eastAsia="Times New Roman" w:hAnsi="Times New Roman"/>
          <w:sz w:val="24"/>
          <w:szCs w:val="24"/>
        </w:rPr>
        <w:t xml:space="preserve">The third class — and the one that motivated the project most directly — is the spread of informal systems built on Excel, MS Access, or LibreOffice Base in smaller facilities. These typically show the same structural problems: redundant donor records duplicated across sheets, no real foreign-key enforcement, manual expiry tracking by visual inspection, and no audit trail. The fact that workarounds such as a separate "deleted" sheet have become common practice in such facilities is itself evidence of what the underlying tool cannot offer.</w:t>
      </w:r>
    </w:p>
    <w:p>
      <w:pPr>
        <w:pStyle w:val="Heading2"/>
        <w:spacing w:after="120" w:before="240"/>
      </w:pPr>
      <w:r>
        <w:rPr>
          <w:rFonts w:ascii="Times New Roman" w:cs="Times New Roman" w:eastAsia="Times New Roman" w:hAnsi="Times New Roman"/>
          <w:b/>
          <w:bCs/>
          <w:i/>
          <w:iCs/>
          <w:sz w:val="26"/>
          <w:szCs w:val="26"/>
        </w:rPr>
        <w:t xml:space="preserve">What our design contributes</w:t>
      </w:r>
    </w:p>
    <w:p>
      <w:pPr>
        <w:spacing w:after="160" w:line="320"/>
        <w:jc w:val="both"/>
      </w:pPr>
      <w:r>
        <w:rPr>
          <w:rFonts w:ascii="Times New Roman" w:cs="Times New Roman" w:eastAsia="Times New Roman" w:hAnsi="Times New Roman"/>
          <w:sz w:val="24"/>
          <w:szCs w:val="24"/>
        </w:rPr>
        <w:t xml:space="preserve">The contribution we set out to make is not a competitor to e-RaktKosh, nor a replacement for any vendor module. It is a teaching-grade reference implementation that shows how the rules a clinician relies on can be encoded directly in the database — schema constraints for things that should be impossible to write down wrong, triggers for things that must always fire on every change, procedures for things that must happen as a single atomic unit. The project is intentionally readable: a second-year student should be able to clone the rebuild script, run it on a fresh Oracle Free instance, and follow every line of the issue_unit procedure to see how a clinical rule maps to a database operation.</w:t>
      </w:r>
    </w:p>
    <w:p>
      <w:r>
        <w:br w:type="page"/>
      </w:r>
    </w:p>
    <w:p>
      <w:pPr>
        <w:pStyle w:val="Heading1"/>
        <w:spacing w:after="200" w:before="400"/>
      </w:pPr>
      <w:r>
        <w:rPr>
          <w:rFonts w:ascii="Times New Roman" w:cs="Times New Roman" w:eastAsia="Times New Roman" w:hAnsi="Times New Roman"/>
          <w:b/>
          <w:bCs/>
          <w:sz w:val="28"/>
          <w:szCs w:val="28"/>
        </w:rPr>
        <w:t xml:space="preserve">7.  Proposed System</w:t>
      </w:r>
    </w:p>
    <w:p>
      <w:pPr>
        <w:spacing w:after="160" w:line="320"/>
        <w:jc w:val="both"/>
      </w:pPr>
      <w:r>
        <w:rPr>
          <w:rFonts w:ascii="Times New Roman" w:cs="Times New Roman" w:eastAsia="Times New Roman" w:hAnsi="Times New Roman"/>
          <w:sz w:val="24"/>
          <w:szCs w:val="24"/>
        </w:rPr>
        <w:t xml:space="preserve">The proposed system models the blood bank as a sequence of database transactions, each guarded by a layer of constraints and triggers that together encode the clinical safety rules. The core design idea is simple: rules that are currently the responsibility of staff memory should become structural properties of the database.</w:t>
      </w:r>
    </w:p>
    <w:p>
      <w:pPr>
        <w:pStyle w:val="Heading2"/>
        <w:spacing w:after="120" w:before="240"/>
      </w:pPr>
      <w:r>
        <w:rPr>
          <w:rFonts w:ascii="Times New Roman" w:cs="Times New Roman" w:eastAsia="Times New Roman" w:hAnsi="Times New Roman"/>
          <w:b/>
          <w:bCs/>
          <w:i/>
          <w:iCs/>
          <w:sz w:val="26"/>
          <w:szCs w:val="26"/>
        </w:rPr>
        <w:t xml:space="preserve">End-to-end transaction flow</w:t>
      </w:r>
    </w:p>
    <w:p>
      <w:pPr>
        <w:spacing w:after="160" w:line="320"/>
        <w:jc w:val="both"/>
      </w:pPr>
      <w:r>
        <w:rPr>
          <w:rFonts w:ascii="Times New Roman" w:cs="Times New Roman" w:eastAsia="Times New Roman" w:hAnsi="Times New Roman"/>
          <w:sz w:val="24"/>
          <w:szCs w:val="24"/>
        </w:rPr>
        <w:t xml:space="preserve">A donor enters the system through the donor table. When a donation is attempted, a BEFORE INSERT trigger on donation reads the donor's last_donation_date and rejects the row if it falls inside the 90-day deferral window. This is the eligibility rule encoded in exactly one place in the system. A successful donation creates a blood_unit row — for our seed data we model one PRBC unit per donation, though the schema supports component splits — with status set to AVAILABLE if it is fresh, EXPIRED if its 42-day shelf life has already passed (relevant for back-filled historical donations), and an expiry_date computed deterministically from the component type and the collection date. The QUARANTINE state is reserved for newly created units awaiting screening; once a screening row arrives with all five tests negative, the AFTER UPDATE trigger trg_unit_release flips the unit's status to AVAILABLE.</w:t>
      </w:r>
    </w:p>
    <w:p>
      <w:pPr>
        <w:spacing w:after="160" w:line="320"/>
        <w:jc w:val="both"/>
      </w:pPr>
      <w:r>
        <w:rPr>
          <w:rFonts w:ascii="Times New Roman" w:cs="Times New Roman" w:eastAsia="Times New Roman" w:hAnsi="Times New Roman"/>
          <w:sz w:val="24"/>
          <w:szCs w:val="24"/>
        </w:rPr>
        <w:t xml:space="preserve">When a hospital raises a Request, the issuance procedure is invoked. This is the part of the system where transactional discipline matters most, and it is where the design earns its keep. The procedure executes the following sequence as a single transaction: it acquires a row-level lock on the candidate unit using SELECT … FOR UPDATE NOWAIT, confirms that the unit's status is still AVAILABLE, fetches the recipient's blood group from the request and the donor's blood group from the unit, calls get_compatible_groups to verify ABO/Rh compatibility, inserts the issuance row, updates the unit's status to ISSUED, writes an audit_log entry, and commits. Any failure at any step rolls the entire transaction back, leaving the database in its prior consistent state. Two staff members trying to issue the same unit from two terminals will, by virtue of the row lock, end up with exactly one success and one clean failure with ORA-20010.</w:t>
      </w:r>
    </w:p>
    <w:p>
      <w:pPr>
        <w:pStyle w:val="Heading2"/>
        <w:spacing w:after="120" w:before="240"/>
      </w:pPr>
      <w:r>
        <w:rPr>
          <w:rFonts w:ascii="Times New Roman" w:cs="Times New Roman" w:eastAsia="Times New Roman" w:hAnsi="Times New Roman"/>
          <w:b/>
          <w:bCs/>
          <w:i/>
          <w:iCs/>
          <w:sz w:val="26"/>
          <w:szCs w:val="26"/>
        </w:rPr>
        <w:t xml:space="preserve">What changes vs a paper workflow</w:t>
      </w:r>
    </w:p>
    <w:p>
      <w:pPr>
        <w:spacing w:after="160" w:line="320"/>
        <w:jc w:val="both"/>
      </w:pPr>
      <w:r>
        <w:rPr>
          <w:rFonts w:ascii="Times New Roman" w:cs="Times New Roman" w:eastAsia="Times New Roman" w:hAnsi="Times New Roman"/>
          <w:sz w:val="24"/>
          <w:szCs w:val="24"/>
        </w:rPr>
        <w:t xml:space="preserve">The improvement over a manual workflow is not primarily a speed improvement — paper systems can be quite fast in the hands of practiced staff. It is a correctness improvement. The rules that staff would otherwise have to remember on every transaction become structural properties of the database. They cannot be skipped, forgotten, or applied inconsistently across shifts.</w:t>
      </w:r>
    </w:p>
    <w:p>
      <w:pPr>
        <w:pStyle w:val="Heading2"/>
        <w:spacing w:after="120" w:before="240"/>
      </w:pPr>
      <w:r>
        <w:rPr>
          <w:rFonts w:ascii="Times New Roman" w:cs="Times New Roman" w:eastAsia="Times New Roman" w:hAnsi="Times New Roman"/>
          <w:b/>
          <w:bCs/>
          <w:i/>
          <w:iCs/>
          <w:sz w:val="26"/>
          <w:szCs w:val="26"/>
        </w:rPr>
        <w:t xml:space="preserve">Demonstrated end-to-end issuance</w:t>
      </w:r>
    </w:p>
    <w:p>
      <w:pPr>
        <w:spacing w:after="160" w:line="320"/>
        <w:jc w:val="both"/>
      </w:pPr>
      <w:r>
        <w:rPr>
          <w:rFonts w:ascii="Times New Roman" w:cs="Times New Roman" w:eastAsia="Times New Roman" w:hAnsi="Times New Roman"/>
          <w:sz w:val="24"/>
          <w:szCs w:val="24"/>
        </w:rPr>
        <w:t xml:space="preserve">The system was exercised end-to-end during development. Unit 13 (a PRBC unit donated by Rohan Desai, blood group B+, on 2025-06-22) was issued against request 1 (recipient Patient Ramesh, O+) by staff 5 (Meera Nair, originally created as AUDITOR but used as the issuing staff in the demo). The issuance procedure ran cleanly: the issuance row appeared in the issuance table, the unit's status flipped from AVAILABLE to ISSUED, and a corresponding audit_log row was written by trg_audit_unit. A subsequent attempt to re-issue unit 13 was correctly refused by the procedure's status check with ORA-20011 ("Unit status is ISSUED; only AVAILABLE units can be issued"). The full output of these tests is reproduced in Section 11.</w:t>
      </w:r>
    </w:p>
    <w:p>
      <w:r>
        <w:br w:type="page"/>
      </w:r>
    </w:p>
    <w:p>
      <w:pPr>
        <w:pStyle w:val="Heading1"/>
        <w:spacing w:after="200" w:before="400"/>
      </w:pPr>
      <w:r>
        <w:rPr>
          <w:rFonts w:ascii="Times New Roman" w:cs="Times New Roman" w:eastAsia="Times New Roman" w:hAnsi="Times New Roman"/>
          <w:b/>
          <w:bCs/>
          <w:sz w:val="28"/>
          <w:szCs w:val="28"/>
        </w:rPr>
        <w:t xml:space="preserve">8.  System Requirements</w:t>
      </w:r>
    </w:p>
    <w:p>
      <w:pPr>
        <w:pStyle w:val="Heading2"/>
        <w:spacing w:after="120" w:before="240"/>
      </w:pPr>
      <w:r>
        <w:rPr>
          <w:rFonts w:ascii="Times New Roman" w:cs="Times New Roman" w:eastAsia="Times New Roman" w:hAnsi="Times New Roman"/>
          <w:b/>
          <w:bCs/>
          <w:i/>
          <w:iCs/>
          <w:sz w:val="26"/>
          <w:szCs w:val="26"/>
        </w:rPr>
        <w:t xml:space="preserve">8.1  Functional requirements</w:t>
      </w:r>
    </w:p>
    <w:p>
      <w:pPr>
        <w:spacing w:after="160" w:line="320"/>
        <w:jc w:val="both"/>
      </w:pPr>
      <w:r>
        <w:rPr>
          <w:rFonts w:ascii="Times New Roman" w:cs="Times New Roman" w:eastAsia="Times New Roman" w:hAnsi="Times New Roman"/>
          <w:sz w:val="24"/>
          <w:szCs w:val="24"/>
        </w:rPr>
        <w:t xml:space="preserve">The system must allow registration of donors with mandatory fields for name, date of birth, gender, blood group, and contact details, and must reject entries whose donor age, calculated from the date of birth, falls outside the 18–65 range. It must record donation events linked to a registered donor and must automatically reject donations made within the 90-day deferral window of the donor's previous donation.</w:t>
      </w:r>
    </w:p>
    <w:p>
      <w:pPr>
        <w:spacing w:after="160" w:line="320"/>
        <w:jc w:val="both"/>
      </w:pPr>
      <w:r>
        <w:rPr>
          <w:rFonts w:ascii="Times New Roman" w:cs="Times New Roman" w:eastAsia="Times New Roman" w:hAnsi="Times New Roman"/>
          <w:sz w:val="24"/>
          <w:szCs w:val="24"/>
        </w:rPr>
        <w:t xml:space="preserve">It must allow lab staff to record screening results for each donated unit and must hold the unit in QUARANTINE until the screening row indicates negative results across HIV, hepatitis B, hepatitis C, syphilis, and malaria. It must support component preparation, treating one donation as the source of one or more component-specific blood units, each with its own expiry date computed from the component's shelf life. It must allow hospitals to register recipients and raise requests against them, recording the component required, the number of units, and the urgency level.</w:t>
      </w:r>
    </w:p>
    <w:p>
      <w:pPr>
        <w:spacing w:after="160" w:line="320"/>
        <w:jc w:val="both"/>
      </w:pPr>
      <w:r>
        <w:rPr>
          <w:rFonts w:ascii="Times New Roman" w:cs="Times New Roman" w:eastAsia="Times New Roman" w:hAnsi="Times New Roman"/>
          <w:sz w:val="24"/>
          <w:szCs w:val="24"/>
        </w:rPr>
        <w:t xml:space="preserve">On the issuance side, the system must support the issuance of available units against open requests, enforcing ABO/Rh compatibility at the procedural level and updating stock atomically. It must surface real-time stock by group and component, expose units approaching expiry, and maintain an audit log of every modification to the donor, unit, and issuance tables.</w:t>
      </w:r>
    </w:p>
    <w:p>
      <w:pPr>
        <w:pStyle w:val="Heading2"/>
        <w:spacing w:after="120" w:before="240"/>
      </w:pPr>
      <w:r>
        <w:rPr>
          <w:rFonts w:ascii="Times New Roman" w:cs="Times New Roman" w:eastAsia="Times New Roman" w:hAnsi="Times New Roman"/>
          <w:b/>
          <w:bCs/>
          <w:i/>
          <w:iCs/>
          <w:sz w:val="26"/>
          <w:szCs w:val="26"/>
        </w:rPr>
        <w:t xml:space="preserve">8.2  Non-functional requirements</w:t>
      </w:r>
    </w:p>
    <w:p>
      <w:pPr>
        <w:spacing w:after="160" w:line="320"/>
        <w:jc w:val="both"/>
      </w:pPr>
      <w:r>
        <w:rPr>
          <w:rFonts w:ascii="Times New Roman" w:cs="Times New Roman" w:eastAsia="Times New Roman" w:hAnsi="Times New Roman"/>
          <w:sz w:val="24"/>
          <w:szCs w:val="24"/>
        </w:rPr>
        <w:t xml:space="preserve">Reliability is the primary non-functional concern. The system must guarantee atomicity on the issuance path; a partial state in which stock is decremented but no issuance row exists is not acceptable under any condition. Consistency is enforced through declarative constraints supplemented by triggers, with the design rule that no business invariant is allowed to depend on application-side discipline alone. Concurrency must remain safe under at least two simultaneous issuance attempts on the same unit, achieved through the row-locking strategy described in Section 7.</w:t>
      </w:r>
    </w:p>
    <w:p>
      <w:pPr>
        <w:spacing w:after="160" w:line="320"/>
        <w:jc w:val="both"/>
      </w:pPr>
      <w:r>
        <w:rPr>
          <w:rFonts w:ascii="Times New Roman" w:cs="Times New Roman" w:eastAsia="Times New Roman" w:hAnsi="Times New Roman"/>
          <w:sz w:val="24"/>
          <w:szCs w:val="24"/>
        </w:rPr>
        <w:t xml:space="preserve">Performance requirements are modest. The expected workload is on the order of a few hundred donations and issuances per day, well within the range of any modern RDBMS. The seed dataset (20 units, 20 donations, 20 screenings, 5 hospitals, 6 recipients) was sufficient for the demonstration queries to return non-trivial results during testing without generating any runtime that exceeded a fraction of a second.</w:t>
      </w:r>
    </w:p>
    <w:p>
      <w:pPr>
        <w:spacing w:after="160" w:line="320"/>
        <w:jc w:val="both"/>
      </w:pPr>
      <w:r>
        <w:rPr>
          <w:rFonts w:ascii="Times New Roman" w:cs="Times New Roman" w:eastAsia="Times New Roman" w:hAnsi="Times New Roman"/>
          <w:sz w:val="24"/>
          <w:szCs w:val="24"/>
        </w:rPr>
        <w:t xml:space="preserve">Maintainability is supported by version control over the entire DDL and PL/SQL source — the project lives in a single bbdms_rebuild.sql file that drops everything and recreates the schema, all PL/SQL objects, and the seed data in one run. Security at the database layer is handled through Oracle's role-based privileges; the bbdms user has CONNECT, RESOURCE, UNLIMITED TABLESPACE, and CREATE VIEW/PROCEDURE/TRIGGER/SEQUENCE — no more — and is strictly separated from the system administrator account.</w:t>
      </w:r>
    </w:p>
    <w:p>
      <w:r>
        <w:br w:type="page"/>
      </w:r>
    </w:p>
    <w:p>
      <w:pPr>
        <w:pStyle w:val="Heading1"/>
        <w:spacing w:after="200" w:before="400"/>
      </w:pPr>
      <w:r>
        <w:rPr>
          <w:rFonts w:ascii="Times New Roman" w:cs="Times New Roman" w:eastAsia="Times New Roman" w:hAnsi="Times New Roman"/>
          <w:b/>
          <w:bCs/>
          <w:sz w:val="28"/>
          <w:szCs w:val="28"/>
        </w:rPr>
        <w:t xml:space="preserve">9.  Methodology and Development Journey</w:t>
      </w:r>
    </w:p>
    <w:p>
      <w:pPr>
        <w:spacing w:after="160" w:line="320"/>
        <w:jc w:val="both"/>
      </w:pPr>
      <w:r>
        <w:rPr>
          <w:rFonts w:ascii="Times New Roman" w:cs="Times New Roman" w:eastAsia="Times New Roman" w:hAnsi="Times New Roman"/>
          <w:sz w:val="24"/>
          <w:szCs w:val="24"/>
        </w:rPr>
        <w:t xml:space="preserve">The work was carried out across the semester and the actual order in which things happened — including the dead ends — is documented below. We are deliberately writing this as a development log rather than an idealised plan because much of what we learned from the project came from things that did not work the first time.</w:t>
      </w:r>
    </w:p>
    <w:p>
      <w:pPr>
        <w:pStyle w:val="Heading2"/>
        <w:spacing w:after="120" w:before="240"/>
      </w:pPr>
      <w:r>
        <w:rPr>
          <w:rFonts w:ascii="Times New Roman" w:cs="Times New Roman" w:eastAsia="Times New Roman" w:hAnsi="Times New Roman"/>
          <w:b/>
          <w:bCs/>
          <w:i/>
          <w:iCs/>
          <w:sz w:val="26"/>
          <w:szCs w:val="26"/>
        </w:rPr>
        <w:t xml:space="preserve">Phase 1: Domain study and ER modelling (weeks 1–3)</w:t>
      </w:r>
    </w:p>
    <w:p>
      <w:pPr>
        <w:spacing w:after="160" w:line="320"/>
        <w:jc w:val="both"/>
      </w:pPr>
      <w:r>
        <w:rPr>
          <w:rFonts w:ascii="Times New Roman" w:cs="Times New Roman" w:eastAsia="Times New Roman" w:hAnsi="Times New Roman"/>
          <w:sz w:val="24"/>
          <w:szCs w:val="24"/>
        </w:rPr>
        <w:t xml:space="preserve">Initial reading covered the NACO guidelines on blood-bank operations, the technical manual for transfusion services published by the National Blood Transfusion Council, and a couple of public-health audit reports describing where smaller banks tend to fail in practice. Alongside this we drew up an informal list of clinical rules that any blood-bank database should enforce structurally; that list became the basis for the trigger and constraint design later on.</w:t>
      </w:r>
    </w:p>
    <w:p>
      <w:pPr>
        <w:spacing w:after="160" w:line="320"/>
        <w:jc w:val="both"/>
      </w:pPr>
      <w:r>
        <w:rPr>
          <w:rFonts w:ascii="Times New Roman" w:cs="Times New Roman" w:eastAsia="Times New Roman" w:hAnsi="Times New Roman"/>
          <w:sz w:val="24"/>
          <w:szCs w:val="24"/>
        </w:rPr>
        <w:t xml:space="preserve">The ER drafting itself went through three serious revisions. The first draft had a single Donor relation with multi-valued contact attributes and a repeating donation_history list — this collapsed once we began thinking about 1NF. The second draft merged Donation and BloodUnit into a single relation; this collapsed once we accepted that one donation can produce multiple components (whole blood → PRBC + plasma + platelets). The final 11-entity model emerged in week three after the BloodUnit/Donation split was made permanent.</w:t>
      </w:r>
    </w:p>
    <w:p>
      <w:pPr>
        <w:pStyle w:val="Heading2"/>
        <w:spacing w:after="120" w:before="240"/>
      </w:pPr>
      <w:r>
        <w:rPr>
          <w:rFonts w:ascii="Times New Roman" w:cs="Times New Roman" w:eastAsia="Times New Roman" w:hAnsi="Times New Roman"/>
          <w:b/>
          <w:bCs/>
          <w:i/>
          <w:iCs/>
          <w:sz w:val="26"/>
          <w:szCs w:val="26"/>
        </w:rPr>
        <w:t xml:space="preserve">Phase 2: Environment setup (week 4)</w:t>
      </w:r>
    </w:p>
    <w:p>
      <w:pPr>
        <w:spacing w:after="160" w:line="320"/>
        <w:jc w:val="both"/>
      </w:pPr>
      <w:r>
        <w:rPr>
          <w:rFonts w:ascii="Times New Roman" w:cs="Times New Roman" w:eastAsia="Times New Roman" w:hAnsi="Times New Roman"/>
          <w:sz w:val="24"/>
          <w:szCs w:val="24"/>
        </w:rPr>
        <w:t xml:space="preserve">The project was developed on macOS (Apple Silicon), which does not have a native Oracle installer. Oracle was therefore run inside Docker using the gvenzl/oracle-free:23-slim image, which is an Apple Silicon-compatible build of Oracle Database 23ai Free. The container was started with port 1521 mapped to the host and a persistent Docker volume (oracle-bbdms-data) for the database files so the data would survive container restarts. DBeaver Community Edition was chosen as the client; SQL Developer's macOS support is fragile and DBeaver's PL/SQL handling proved completely sufficient for our needs.</w:t>
      </w:r>
    </w:p>
    <w:p>
      <w:pPr>
        <w:spacing w:after="160" w:line="320"/>
        <w:jc w:val="both"/>
      </w:pPr>
      <w:r>
        <w:rPr>
          <w:rFonts w:ascii="Times New Roman" w:cs="Times New Roman" w:eastAsia="Times New Roman" w:hAnsi="Times New Roman"/>
          <w:sz w:val="24"/>
          <w:szCs w:val="24"/>
        </w:rPr>
        <w:t xml:space="preserve">Two database connections were configured in DBeaver. The first connects as the system user for one-off administrative tasks (creating the bbdms user, granting privileges). The second connects as bbdms — the project user — and is the connection used for all schema creation, data loading, and PL/SQL development. The split is deliberate: it ensures that no project object can be accidentally created in the system schema. We hit the value of this separation early when an initial CREATE USER bbdms in the wrong container (CDB$ROOT instead of FREEPDB1) caused ORA-01920 ("user name 'BBDMS' conflicts with another user or role name") on a subsequent attempt; the fix was DROP USER bbdms CASCADE in the correct container followed by ALTER SESSION SET CONTAINER = FREEPDB1 before re-creating.</w:t>
      </w:r>
    </w:p>
    <w:p>
      <w:pPr>
        <w:pStyle w:val="Heading2"/>
        <w:spacing w:after="120" w:before="240"/>
      </w:pPr>
      <w:r>
        <w:rPr>
          <w:rFonts w:ascii="Times New Roman" w:cs="Times New Roman" w:eastAsia="Times New Roman" w:hAnsi="Times New Roman"/>
          <w:b/>
          <w:bCs/>
          <w:i/>
          <w:iCs/>
          <w:sz w:val="26"/>
          <w:szCs w:val="26"/>
        </w:rPr>
        <w:t xml:space="preserve">Phase 3: Schema implementation (weeks 5–6)</w:t>
      </w:r>
    </w:p>
    <w:p>
      <w:pPr>
        <w:spacing w:after="160" w:line="320"/>
        <w:jc w:val="both"/>
      </w:pPr>
      <w:r>
        <w:rPr>
          <w:rFonts w:ascii="Times New Roman" w:cs="Times New Roman" w:eastAsia="Times New Roman" w:hAnsi="Times New Roman"/>
          <w:sz w:val="24"/>
          <w:szCs w:val="24"/>
        </w:rPr>
        <w:t xml:space="preserve">Tables were created in dependency order — leaf nodes first, then their parents — so that foreign keys could be added inline rather than after the fact: component, then staff, donor, hospital (all leaves), then donation (depends on donor and staff), blood_unit (depends on donation and component), screening (depends on blood_unit), recipient (depends on hospital), request (depends on recipient and component), issuance (depends on request, blood_unit, staff), and audit_log (no FK dependencies, populated only by triggers). The blood_compatibility reference table was created later, when the get_compatible_groups function needed it.</w:t>
      </w:r>
    </w:p>
    <w:p>
      <w:pPr>
        <w:spacing w:after="160" w:line="320"/>
        <w:jc w:val="both"/>
      </w:pPr>
      <w:r>
        <w:rPr>
          <w:rFonts w:ascii="Times New Roman" w:cs="Times New Roman" w:eastAsia="Times New Roman" w:hAnsi="Times New Roman"/>
          <w:sz w:val="24"/>
          <w:szCs w:val="24"/>
        </w:rPr>
        <w:t xml:space="preserve">Each table was tested by deliberately attempting to violate every constraint we had defined. The most useful early test was on component: trying to insert a row with shelf_life_days = 500 produced ORA-02290: check constraint (BBDMS.CHK_COMPONENT_SHELF) violated, which confirmed that named constraints were paying off — the error message named the rule that fired. We used this naming convention throughout (chk_*, fk_*, uk_*) so that every error message in production-style debugging would be self-explanatory.</w:t>
      </w:r>
    </w:p>
    <w:p>
      <w:pPr>
        <w:pStyle w:val="Heading2"/>
        <w:spacing w:after="120" w:before="240"/>
      </w:pPr>
      <w:r>
        <w:rPr>
          <w:rFonts w:ascii="Times New Roman" w:cs="Times New Roman" w:eastAsia="Times New Roman" w:hAnsi="Times New Roman"/>
          <w:b/>
          <w:bCs/>
          <w:i/>
          <w:iCs/>
          <w:sz w:val="26"/>
          <w:szCs w:val="26"/>
        </w:rPr>
        <w:t xml:space="preserve">Phase 4: Seed data and inventory health (weeks 6–7)</w:t>
      </w:r>
    </w:p>
    <w:p>
      <w:pPr>
        <w:spacing w:after="160" w:line="320"/>
        <w:jc w:val="both"/>
      </w:pPr>
      <w:r>
        <w:rPr>
          <w:rFonts w:ascii="Times New Roman" w:cs="Times New Roman" w:eastAsia="Times New Roman" w:hAnsi="Times New Roman"/>
          <w:sz w:val="24"/>
          <w:szCs w:val="24"/>
        </w:rPr>
        <w:t xml:space="preserve">The first donation insert used SYSDATE for the donation date, which made for boring queries because every unit was equally fresh. We rewrote the seed data with explicit DATE literals spanning April 2025 to April 2026 so that the inventory had a realistic mix of expired and available units. The CASE expression in the BloodUnit insert handles this automatically: WHEN d.donation_date + 42 &lt; SYSDATE THEN 'EXPIRED' ELSE 'AVAILABLE'. After the rewrite the inventory split was 10 EXPIRED and 2 AVAILABLE, which we then bulked up with 8 additional recent donations to get to a healthier 10/10 split for the demonstration.</w:t>
      </w:r>
    </w:p>
    <w:p>
      <w:pPr>
        <w:spacing w:after="160" w:line="320"/>
        <w:jc w:val="both"/>
      </w:pPr>
      <w:r>
        <w:rPr>
          <w:rFonts w:ascii="Times New Roman" w:cs="Times New Roman" w:eastAsia="Times New Roman" w:hAnsi="Times New Roman"/>
          <w:sz w:val="24"/>
          <w:szCs w:val="24"/>
        </w:rPr>
        <w:t xml:space="preserve">One subtle issue surfaced during this phase. When we wrote a query to compute days_since_last_donation as SYSDATE - last_donation_date, the result came back as 307.4070601851... rather than the expected 307. Oracle DATE values store the time of day, and SYSDATE captured the current time of day at query execution while the seeded donation_dates had been stored at midnight. The fix was to wrap both sides of the subtraction in TRUNC() to chop the time component, giving clean integer day counts. We took the same precaution in the donor_eligible function and the trg_donation_eligibility trigger, because a similar fractional-day error at the 90-day boundary could have made the trigger reject a donation that should have been allowed (or vice versa).</w:t>
      </w:r>
    </w:p>
    <w:p>
      <w:pPr>
        <w:pStyle w:val="Heading2"/>
        <w:spacing w:after="120" w:before="240"/>
      </w:pPr>
      <w:r>
        <w:rPr>
          <w:rFonts w:ascii="Times New Roman" w:cs="Times New Roman" w:eastAsia="Times New Roman" w:hAnsi="Times New Roman"/>
          <w:b/>
          <w:bCs/>
          <w:i/>
          <w:iCs/>
          <w:sz w:val="26"/>
          <w:szCs w:val="26"/>
        </w:rPr>
        <w:t xml:space="preserve">Phase 5: Functions and procedures (weeks 8–9)</w:t>
      </w:r>
    </w:p>
    <w:p>
      <w:pPr>
        <w:spacing w:after="160" w:line="320"/>
        <w:jc w:val="both"/>
      </w:pPr>
      <w:r>
        <w:rPr>
          <w:rFonts w:ascii="Times New Roman" w:cs="Times New Roman" w:eastAsia="Times New Roman" w:hAnsi="Times New Roman"/>
          <w:sz w:val="24"/>
          <w:szCs w:val="24"/>
        </w:rPr>
        <w:t xml:space="preserve">PL/SQL development followed a deliberate dependency order: utility functions first (calc_expiry_date, donor_eligible, get_compatible_groups), then the simpler procedure register_donor as a warm-up exercise in OUT parameters and RAISE_APPLICATION_ERROR, and finally the central issue_unit procedure. The reasoning behind this order was straightforward: the triggers we had to write later depend on the functions, so the functions had to exist and be tested first. The issuance procedure also depends on get_compatible_groups, so that function had to be solid before the procedure could be written.</w:t>
      </w:r>
    </w:p>
    <w:p>
      <w:pPr>
        <w:spacing w:after="160" w:line="320"/>
        <w:jc w:val="both"/>
      </w:pPr>
      <w:r>
        <w:rPr>
          <w:rFonts w:ascii="Times New Roman" w:cs="Times New Roman" w:eastAsia="Times New Roman" w:hAnsi="Times New Roman"/>
          <w:sz w:val="24"/>
          <w:szCs w:val="24"/>
        </w:rPr>
        <w:t xml:space="preserve">One small change to donor_eligible is worth flagging: the function was originally specified to RETURN BOOLEAN (the synopsis mentions this), but PL/SQL's BOOLEAN type cannot be called from plain SQL — only from other PL/SQL blocks. Because we wanted to use donor_eligible inside SELECT statements (for example in the eligibility-summary query), we changed the return type to VARCHAR2 returning the strings 'TRUE' and 'FALSE'. This is a minor concession to Oracle's PL/SQL/SQL boundary that turned out to be necessary in practice.</w:t>
      </w:r>
    </w:p>
    <w:p>
      <w:pPr>
        <w:pStyle w:val="Heading2"/>
        <w:spacing w:after="120" w:before="240"/>
      </w:pPr>
      <w:r>
        <w:rPr>
          <w:rFonts w:ascii="Times New Roman" w:cs="Times New Roman" w:eastAsia="Times New Roman" w:hAnsi="Times New Roman"/>
          <w:b/>
          <w:bCs/>
          <w:i/>
          <w:iCs/>
          <w:sz w:val="26"/>
          <w:szCs w:val="26"/>
        </w:rPr>
        <w:t xml:space="preserve">Phase 6: Triggers and the audit log (week 10)</w:t>
      </w:r>
    </w:p>
    <w:p>
      <w:pPr>
        <w:spacing w:after="160" w:line="320"/>
        <w:jc w:val="both"/>
      </w:pPr>
      <w:r>
        <w:rPr>
          <w:rFonts w:ascii="Times New Roman" w:cs="Times New Roman" w:eastAsia="Times New Roman" w:hAnsi="Times New Roman"/>
          <w:sz w:val="24"/>
          <w:szCs w:val="24"/>
        </w:rPr>
        <w:t xml:space="preserve">The trigger phase was where the largest single bug of the project happened. The first version of trg_audit_unit attempted to call audit_seq.NEXTVAL directly inside the INSERT … VALUES list of an audit_log row. The trigger compiled cleanly, but every subsequent INSERT or UPDATE on blood_unit failed with ORA-04098: trigger 'BBDMS.TRG_AUDIT_UNIT' is invalid and failed re-validation. The pattern of the error — invalid on use rather than at compile time — was the diagnostic: the trigger's body had a problem that only manifested when Oracle tried to evaluate the INSERT in the context of an actual row trigger fire.</w:t>
      </w:r>
    </w:p>
    <w:p>
      <w:pPr>
        <w:spacing w:after="160" w:line="320"/>
        <w:jc w:val="both"/>
      </w:pPr>
      <w:r>
        <w:rPr>
          <w:rFonts w:ascii="Times New Roman" w:cs="Times New Roman" w:eastAsia="Times New Roman" w:hAnsi="Times New Roman"/>
          <w:sz w:val="24"/>
          <w:szCs w:val="24"/>
        </w:rPr>
        <w:t xml:space="preserve">The fix involved two changes. First, the trigger now fetches the sequence value into a local variable before the INSERT (SELECT audit_seq.NEXTVAL INTO v_audit_id FROM dual). Second, the record_pk column of audit_log is VARCHAR2(50), and we were attempting to insert :NEW.unit_id (a NUMBER) directly into it; the rewrite uses TO_CHAR(:NEW.unit_id) to make the type conversion explicit. After these changes the trigger compiled cleanly and fired correctly on every insert and update.</w:t>
      </w:r>
    </w:p>
    <w:p>
      <w:pPr>
        <w:spacing w:after="160" w:line="320"/>
        <w:jc w:val="both"/>
      </w:pPr>
      <w:r>
        <w:rPr>
          <w:rFonts w:ascii="Times New Roman" w:cs="Times New Roman" w:eastAsia="Times New Roman" w:hAnsi="Times New Roman"/>
          <w:sz w:val="24"/>
          <w:szCs w:val="24"/>
        </w:rPr>
        <w:t xml:space="preserve">This bug taught us two general lessons that apply across the trigger suite. First, sequence calls inside trigger INSERT … VALUES blocks are unreliable; always go through a local variable. Second, audit columns that store the primary key of multiple parent tables need to be VARCHAR2, not NUMBER, because different parent tables have different PK types. Our final audit_log row identifier is a string. The same fix was applied prophylactically to trg_audit_donor (which uses TO_CHAR(:NEW.donor_id)) and trg_audit_issuance (which uses TO_CHAR(:NEW.issuance_id)).</w:t>
      </w:r>
    </w:p>
    <w:p>
      <w:pPr>
        <w:pStyle w:val="Heading2"/>
        <w:spacing w:after="120" w:before="240"/>
      </w:pPr>
      <w:r>
        <w:rPr>
          <w:rFonts w:ascii="Times New Roman" w:cs="Times New Roman" w:eastAsia="Times New Roman" w:hAnsi="Times New Roman"/>
          <w:b/>
          <w:bCs/>
          <w:i/>
          <w:iCs/>
          <w:sz w:val="26"/>
          <w:szCs w:val="26"/>
        </w:rPr>
        <w:t xml:space="preserve">Phase 7: End-to-end test (week 11)</w:t>
      </w:r>
    </w:p>
    <w:p>
      <w:pPr>
        <w:spacing w:after="160" w:line="320"/>
        <w:jc w:val="both"/>
      </w:pPr>
      <w:r>
        <w:rPr>
          <w:rFonts w:ascii="Times New Roman" w:cs="Times New Roman" w:eastAsia="Times New Roman" w:hAnsi="Times New Roman"/>
          <w:sz w:val="24"/>
          <w:szCs w:val="24"/>
        </w:rPr>
        <w:t xml:space="preserve">With the schema, functions, procedure, and triggers in place, we ran the canonical demo: pick an open request, find a compatible AVAILABLE unit, call issue_unit. The first run succeeded, the issuance row appeared, the unit's status flipped to ISSUED, and the audit_log row was written by the trigger. A second attempt on the same unit was correctly refused. This was the moment the project felt complete.</w:t>
      </w:r>
    </w:p>
    <w:p>
      <w:r>
        <w:br w:type="page"/>
      </w:r>
    </w:p>
    <w:p>
      <w:pPr>
        <w:pStyle w:val="Heading1"/>
        <w:spacing w:after="200" w:before="400"/>
      </w:pPr>
      <w:r>
        <w:rPr>
          <w:rFonts w:ascii="Times New Roman" w:cs="Times New Roman" w:eastAsia="Times New Roman" w:hAnsi="Times New Roman"/>
          <w:b/>
          <w:bCs/>
          <w:sz w:val="28"/>
          <w:szCs w:val="28"/>
        </w:rPr>
        <w:t xml:space="preserve">10.  Database Design</w:t>
      </w:r>
    </w:p>
    <w:p>
      <w:pPr>
        <w:pStyle w:val="Heading2"/>
        <w:spacing w:after="120" w:before="240"/>
      </w:pPr>
      <w:r>
        <w:rPr>
          <w:rFonts w:ascii="Times New Roman" w:cs="Times New Roman" w:eastAsia="Times New Roman" w:hAnsi="Times New Roman"/>
          <w:b/>
          <w:bCs/>
          <w:i/>
          <w:iCs/>
          <w:sz w:val="26"/>
          <w:szCs w:val="26"/>
        </w:rPr>
        <w:t xml:space="preserve">10.1  Entities and key attributes</w:t>
      </w:r>
    </w:p>
    <w:p>
      <w:pPr>
        <w:spacing w:after="160" w:line="320"/>
        <w:jc w:val="both"/>
      </w:pPr>
      <w:r>
        <w:rPr>
          <w:rFonts w:ascii="Times New Roman" w:cs="Times New Roman" w:eastAsia="Times New Roman" w:hAnsi="Times New Roman"/>
          <w:sz w:val="24"/>
          <w:szCs w:val="24"/>
        </w:rPr>
        <w:t xml:space="preserve">The schema consists of eleven relations plus one reference table for ABO/Rh compatibility. A summary follows; the full ER diagram is in Annexure A of the final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808080" w:sz="4"/>
              <w:left w:val="single" w:color="808080" w:sz="4"/>
              <w:bottom w:val="single" w:color="808080" w:sz="4"/>
              <w:right w:val="single" w:color="808080" w:sz="4"/>
            </w:tcBorders>
            <w:shd w:fill="E7E6E6" w:color="auto"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Entity</w:t>
            </w:r>
          </w:p>
        </w:tc>
        <w:tc>
          <w:tcPr>
            <w:tcW w:type="dxa" w:w="4200"/>
            <w:tcBorders>
              <w:top w:val="single" w:color="808080" w:sz="4"/>
              <w:left w:val="single" w:color="808080" w:sz="4"/>
              <w:bottom w:val="single" w:color="808080" w:sz="4"/>
              <w:right w:val="single" w:color="808080" w:sz="4"/>
            </w:tcBorders>
            <w:shd w:fill="E7E6E6" w:color="auto"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Key Attributes</w:t>
            </w:r>
          </w:p>
        </w:tc>
        <w:tc>
          <w:tcPr>
            <w:tcW w:type="dxa" w:w="2960"/>
            <w:tcBorders>
              <w:top w:val="single" w:color="808080" w:sz="4"/>
              <w:left w:val="single" w:color="808080" w:sz="4"/>
              <w:bottom w:val="single" w:color="808080" w:sz="4"/>
              <w:right w:val="single" w:color="808080" w:sz="4"/>
            </w:tcBorders>
            <w:shd w:fill="E7E6E6" w:color="auto"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Notes</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Component</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component_id (PK), name, shelf_life_days, storage_temp_min/max</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Reference: 5 components</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Staff</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staff_id (PK), full_name, role, login_id (UNIQUE), is_active</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5 staff, 5 roles</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Donor</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donor_id (PK), full_name, dob, gender, blood_group, last_donation_date, is_active</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Strong entity, 10 rows</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Hospital</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hospital_id (PK), name, license_no (UNIQUE), city, contact</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5 rows, 5 cities</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Donation</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donation_id (PK), donor_id (FK), staff_id (FK), donation_date, volume_ml</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Event entity, 20 rows</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BloodUnit</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unit_id (PK), donation_id (FK), component_id (FK), collection_date, expiry_date, status</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Inventory core, 20 rows</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Screening</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screening_id (PK), unit_id (FK, UNIQUE), hiv, hbv, hcv, syphilis, malaria, tested_by (FK)</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1-to-1 with BloodUnit</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Recipient</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recipient_id (PK), full_name, dob, blood_group, hospital_id (FK)</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Patient receiving blood, 6 rows</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Request</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request_id (PK), recipient_id (FK), component_id (FK), units_needed, urgency, status</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Hospital request, 5 rows</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Issuance</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issuance_id (PK), request_id (FK), unit_id (FK, UNIQUE), issued_on, issued_by (FK)</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Atomic, populated by procedure</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AuditLog</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audit_id (PK), table_name, op_type, record_pk, old_value, new_value, changed_by, changed_at</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Trigger-populated</w:t>
            </w:r>
          </w:p>
        </w:tc>
      </w:tr>
      <w:tr>
        <w:tc>
          <w:tcPr>
            <w:tcW w:type="dxa" w:w="2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BloodCompatibility</w:t>
            </w:r>
          </w:p>
        </w:tc>
        <w:tc>
          <w:tcPr>
            <w:tcW w:type="dxa" w:w="4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(recipient_group, donor_group) composite PK</w:t>
            </w:r>
          </w:p>
        </w:tc>
        <w:tc>
          <w:tcPr>
            <w:tcW w:type="dxa" w:w="29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Reference table, 32 rows</w:t>
            </w:r>
          </w:p>
        </w:tc>
      </w:tr>
    </w:tbl>
    <w:p>
      <w:pPr>
        <w:spacing w:after="3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i/>
          <w:iCs/>
          <w:sz w:val="26"/>
          <w:szCs w:val="26"/>
        </w:rPr>
        <w:t xml:space="preserve">10.2  Cardinality and participation</w:t>
      </w:r>
    </w:p>
    <w:p>
      <w:pPr>
        <w:pStyle w:val="ListParagraph"/>
        <w:numPr>
          <w:ilvl w:val="0"/>
          <w:numId w:val="2"/>
        </w:numPr>
        <w:spacing w:after="100" w:line="300"/>
      </w:pPr>
      <w:r>
        <w:rPr>
          <w:rFonts w:ascii="Times New Roman" w:cs="Times New Roman" w:eastAsia="Times New Roman" w:hAnsi="Times New Roman"/>
          <w:sz w:val="24"/>
          <w:szCs w:val="24"/>
        </w:rPr>
        <w:t xml:space="preserve">Donor — Donation : 1 — N (donor may make many donations; donation belongs to exactly one donor)</w:t>
      </w:r>
    </w:p>
    <w:p>
      <w:pPr>
        <w:pStyle w:val="ListParagraph"/>
        <w:numPr>
          <w:ilvl w:val="0"/>
          <w:numId w:val="2"/>
        </w:numPr>
        <w:spacing w:after="100" w:line="300"/>
      </w:pPr>
      <w:r>
        <w:rPr>
          <w:rFonts w:ascii="Times New Roman" w:cs="Times New Roman" w:eastAsia="Times New Roman" w:hAnsi="Times New Roman"/>
          <w:sz w:val="24"/>
          <w:szCs w:val="24"/>
        </w:rPr>
        <w:t xml:space="preserve">Donation — BloodUnit : 1 — N (one donation may yield multiple component units)</w:t>
      </w:r>
    </w:p>
    <w:p>
      <w:pPr>
        <w:pStyle w:val="ListParagraph"/>
        <w:numPr>
          <w:ilvl w:val="0"/>
          <w:numId w:val="2"/>
        </w:numPr>
        <w:spacing w:after="100" w:line="300"/>
      </w:pPr>
      <w:r>
        <w:rPr>
          <w:rFonts w:ascii="Times New Roman" w:cs="Times New Roman" w:eastAsia="Times New Roman" w:hAnsi="Times New Roman"/>
          <w:sz w:val="24"/>
          <w:szCs w:val="24"/>
        </w:rPr>
        <w:t xml:space="preserve">Component — BloodUnit : 1 — N (component master classifies units)</w:t>
      </w:r>
    </w:p>
    <w:p>
      <w:pPr>
        <w:pStyle w:val="ListParagraph"/>
        <w:numPr>
          <w:ilvl w:val="0"/>
          <w:numId w:val="2"/>
        </w:numPr>
        <w:spacing w:after="100" w:line="300"/>
      </w:pPr>
      <w:r>
        <w:rPr>
          <w:rFonts w:ascii="Times New Roman" w:cs="Times New Roman" w:eastAsia="Times New Roman" w:hAnsi="Times New Roman"/>
          <w:sz w:val="24"/>
          <w:szCs w:val="24"/>
        </w:rPr>
        <w:t xml:space="preserve">BloodUnit — Screening : 1 — 1 (UNIQUE constraint on screening.unit_id enforces this)</w:t>
      </w:r>
    </w:p>
    <w:p>
      <w:pPr>
        <w:pStyle w:val="ListParagraph"/>
        <w:numPr>
          <w:ilvl w:val="0"/>
          <w:numId w:val="2"/>
        </w:numPr>
        <w:spacing w:after="100" w:line="300"/>
      </w:pPr>
      <w:r>
        <w:rPr>
          <w:rFonts w:ascii="Times New Roman" w:cs="Times New Roman" w:eastAsia="Times New Roman" w:hAnsi="Times New Roman"/>
          <w:sz w:val="24"/>
          <w:szCs w:val="24"/>
        </w:rPr>
        <w:t xml:space="preserve">Hospital — Recipient : 1 — N</w:t>
      </w:r>
    </w:p>
    <w:p>
      <w:pPr>
        <w:pStyle w:val="ListParagraph"/>
        <w:numPr>
          <w:ilvl w:val="0"/>
          <w:numId w:val="2"/>
        </w:numPr>
        <w:spacing w:after="100" w:line="300"/>
      </w:pPr>
      <w:r>
        <w:rPr>
          <w:rFonts w:ascii="Times New Roman" w:cs="Times New Roman" w:eastAsia="Times New Roman" w:hAnsi="Times New Roman"/>
          <w:sz w:val="24"/>
          <w:szCs w:val="24"/>
        </w:rPr>
        <w:t xml:space="preserve">Recipient — Request : 1 — N</w:t>
      </w:r>
    </w:p>
    <w:p>
      <w:pPr>
        <w:pStyle w:val="ListParagraph"/>
        <w:numPr>
          <w:ilvl w:val="0"/>
          <w:numId w:val="2"/>
        </w:numPr>
        <w:spacing w:after="100" w:line="300"/>
      </w:pPr>
      <w:r>
        <w:rPr>
          <w:rFonts w:ascii="Times New Roman" w:cs="Times New Roman" w:eastAsia="Times New Roman" w:hAnsi="Times New Roman"/>
          <w:sz w:val="24"/>
          <w:szCs w:val="24"/>
        </w:rPr>
        <w:t xml:space="preserve">Request — Issuance : 1 — N (a request may be partially filled across multiple issuances)</w:t>
      </w:r>
    </w:p>
    <w:p>
      <w:pPr>
        <w:pStyle w:val="ListParagraph"/>
        <w:numPr>
          <w:ilvl w:val="0"/>
          <w:numId w:val="2"/>
        </w:numPr>
        <w:spacing w:after="100" w:line="300"/>
      </w:pPr>
      <w:r>
        <w:rPr>
          <w:rFonts w:ascii="Times New Roman" w:cs="Times New Roman" w:eastAsia="Times New Roman" w:hAnsi="Times New Roman"/>
          <w:sz w:val="24"/>
          <w:szCs w:val="24"/>
        </w:rPr>
        <w:t xml:space="preserve">BloodUnit — Issuance : 1 — 1 (UNIQUE on issuance.unit_id ensures a unit is never issued twice)</w:t>
      </w:r>
    </w:p>
    <w:p>
      <w:pPr>
        <w:pStyle w:val="ListParagraph"/>
        <w:numPr>
          <w:ilvl w:val="0"/>
          <w:numId w:val="2"/>
        </w:numPr>
        <w:spacing w:after="100" w:line="300"/>
      </w:pPr>
      <w:r>
        <w:rPr>
          <w:rFonts w:ascii="Times New Roman" w:cs="Times New Roman" w:eastAsia="Times New Roman" w:hAnsi="Times New Roman"/>
          <w:sz w:val="24"/>
          <w:szCs w:val="24"/>
        </w:rPr>
        <w:t xml:space="preserve">Staff — Donation/Issuance : 1 — N (total participation from donation/issuance side)</w:t>
      </w:r>
    </w:p>
    <w:p>
      <w:pPr>
        <w:pStyle w:val="Heading2"/>
        <w:spacing w:after="120" w:before="240"/>
      </w:pPr>
      <w:r>
        <w:rPr>
          <w:rFonts w:ascii="Times New Roman" w:cs="Times New Roman" w:eastAsia="Times New Roman" w:hAnsi="Times New Roman"/>
          <w:b/>
          <w:bCs/>
          <w:i/>
          <w:iCs/>
          <w:sz w:val="26"/>
          <w:szCs w:val="26"/>
        </w:rPr>
        <w:t xml:space="preserve">10.3  Foreign-key actions</w:t>
      </w:r>
    </w:p>
    <w:p>
      <w:pPr>
        <w:spacing w:after="160" w:line="320"/>
        <w:jc w:val="both"/>
      </w:pPr>
      <w:r>
        <w:rPr>
          <w:rFonts w:ascii="Times New Roman" w:cs="Times New Roman" w:eastAsia="Times New Roman" w:hAnsi="Times New Roman"/>
          <w:sz w:val="24"/>
          <w:szCs w:val="24"/>
        </w:rPr>
        <w:t xml:space="preserve">All foreign keys use the default ON DELETE NO ACTION (also called RESTRICT). This is deliberate: clinical entities — donors, units, donations — must never be cascade-deleted because their history is part of the audit trail that regulators rely on. When a staff member or a donor leaves the system, we use is_active = 'N' (soft delete) rather than DELETE, so that historical references continue to resolve. The foreign-key protection was verified during testing: DELETE FROM donor WHERE donor_id = 1 fails with ORA-02292 because donations reference that donor.</w:t>
      </w:r>
    </w:p>
    <w:p>
      <w:r>
        <w:br w:type="page"/>
      </w:r>
    </w:p>
    <w:p>
      <w:pPr>
        <w:pStyle w:val="Heading1"/>
        <w:spacing w:after="200" w:before="400"/>
      </w:pPr>
      <w:r>
        <w:rPr>
          <w:rFonts w:ascii="Times New Roman" w:cs="Times New Roman" w:eastAsia="Times New Roman" w:hAnsi="Times New Roman"/>
          <w:b/>
          <w:bCs/>
          <w:sz w:val="28"/>
          <w:szCs w:val="28"/>
        </w:rPr>
        <w:t xml:space="preserve">11.  Normalization</w:t>
      </w:r>
    </w:p>
    <w:p>
      <w:pPr>
        <w:spacing w:after="160" w:line="320"/>
        <w:jc w:val="both"/>
      </w:pPr>
      <w:r>
        <w:rPr>
          <w:rFonts w:ascii="Times New Roman" w:cs="Times New Roman" w:eastAsia="Times New Roman" w:hAnsi="Times New Roman"/>
          <w:sz w:val="24"/>
          <w:szCs w:val="24"/>
        </w:rPr>
        <w:t xml:space="preserve">Normalization was applied to eliminate redundancy and the resulting update, insert, and delete anomalies. The process below illustrates the progression on the BloodUnit and related relations; the same procedure was applied across all 11 relations of the schema.</w:t>
      </w:r>
    </w:p>
    <w:p>
      <w:pPr>
        <w:pStyle w:val="Heading2"/>
        <w:spacing w:after="120" w:before="240"/>
      </w:pPr>
      <w:r>
        <w:rPr>
          <w:rFonts w:ascii="Times New Roman" w:cs="Times New Roman" w:eastAsia="Times New Roman" w:hAnsi="Times New Roman"/>
          <w:b/>
          <w:bCs/>
          <w:i/>
          <w:iCs/>
          <w:sz w:val="26"/>
          <w:szCs w:val="26"/>
        </w:rPr>
        <w:t xml:space="preserve">11.1  Functional dependencies (selected)</w:t>
      </w:r>
    </w:p>
    <w:p>
      <w:pPr>
        <w:pStyle w:val="ListParagraph"/>
        <w:numPr>
          <w:ilvl w:val="0"/>
          <w:numId w:val="2"/>
        </w:numPr>
        <w:spacing w:after="100" w:line="300"/>
      </w:pPr>
      <w:r>
        <w:rPr>
          <w:rFonts w:ascii="Times New Roman" w:cs="Times New Roman" w:eastAsia="Times New Roman" w:hAnsi="Times New Roman"/>
          <w:sz w:val="24"/>
          <w:szCs w:val="24"/>
        </w:rPr>
        <w:t xml:space="preserve">donor_id  →  full_name, dob, gender, blood_group, contact, address, last_donation_date</w:t>
      </w:r>
    </w:p>
    <w:p>
      <w:pPr>
        <w:pStyle w:val="ListParagraph"/>
        <w:numPr>
          <w:ilvl w:val="0"/>
          <w:numId w:val="2"/>
        </w:numPr>
        <w:spacing w:after="100" w:line="300"/>
      </w:pPr>
      <w:r>
        <w:rPr>
          <w:rFonts w:ascii="Times New Roman" w:cs="Times New Roman" w:eastAsia="Times New Roman" w:hAnsi="Times New Roman"/>
          <w:sz w:val="24"/>
          <w:szCs w:val="24"/>
        </w:rPr>
        <w:t xml:space="preserve">component_id  →  name, shelf_life_days, storage_temp_min, storage_temp_max</w:t>
      </w:r>
    </w:p>
    <w:p>
      <w:pPr>
        <w:pStyle w:val="ListParagraph"/>
        <w:numPr>
          <w:ilvl w:val="0"/>
          <w:numId w:val="2"/>
        </w:numPr>
        <w:spacing w:after="100" w:line="300"/>
      </w:pPr>
      <w:r>
        <w:rPr>
          <w:rFonts w:ascii="Times New Roman" w:cs="Times New Roman" w:eastAsia="Times New Roman" w:hAnsi="Times New Roman"/>
          <w:sz w:val="24"/>
          <w:szCs w:val="24"/>
        </w:rPr>
        <w:t xml:space="preserve">unit_id  →  donation_id, component_id, collection_date, expiry_date, status</w:t>
      </w:r>
    </w:p>
    <w:p>
      <w:pPr>
        <w:pStyle w:val="ListParagraph"/>
        <w:numPr>
          <w:ilvl w:val="0"/>
          <w:numId w:val="2"/>
        </w:numPr>
        <w:spacing w:after="100" w:line="300"/>
      </w:pPr>
      <w:r>
        <w:rPr>
          <w:rFonts w:ascii="Times New Roman" w:cs="Times New Roman" w:eastAsia="Times New Roman" w:hAnsi="Times New Roman"/>
          <w:sz w:val="24"/>
          <w:szCs w:val="24"/>
        </w:rPr>
        <w:t xml:space="preserve">donation_id  →  donor_id, donation_date, volume_ml, staff_id</w:t>
      </w:r>
    </w:p>
    <w:p>
      <w:pPr>
        <w:pStyle w:val="ListParagraph"/>
        <w:numPr>
          <w:ilvl w:val="0"/>
          <w:numId w:val="2"/>
        </w:numPr>
        <w:spacing w:after="100" w:line="300"/>
      </w:pPr>
      <w:r>
        <w:rPr>
          <w:rFonts w:ascii="Times New Roman" w:cs="Times New Roman" w:eastAsia="Times New Roman" w:hAnsi="Times New Roman"/>
          <w:sz w:val="24"/>
          <w:szCs w:val="24"/>
        </w:rPr>
        <w:t xml:space="preserve">collection_date, component_id  →  expiry_date  (derivable; see note below)</w:t>
      </w:r>
    </w:p>
    <w:p>
      <w:pPr>
        <w:pStyle w:val="Heading2"/>
        <w:spacing w:after="120" w:before="240"/>
      </w:pPr>
      <w:r>
        <w:rPr>
          <w:rFonts w:ascii="Times New Roman" w:cs="Times New Roman" w:eastAsia="Times New Roman" w:hAnsi="Times New Roman"/>
          <w:b/>
          <w:bCs/>
          <w:i/>
          <w:iCs/>
          <w:sz w:val="26"/>
          <w:szCs w:val="26"/>
        </w:rPr>
        <w:t xml:space="preserve">11.2  Step-by-step normalization</w:t>
      </w:r>
    </w:p>
    <w:p>
      <w:pPr>
        <w:spacing w:after="160" w:line="320"/>
        <w:jc w:val="both"/>
      </w:pPr>
      <w:r>
        <w:rPr>
          <w:rFonts w:ascii="Times New Roman" w:cs="Times New Roman" w:eastAsia="Times New Roman" w:hAnsi="Times New Roman"/>
          <w:b/>
          <w:bCs/>
          <w:sz w:val="24"/>
          <w:szCs w:val="24"/>
        </w:rPr>
        <w:t xml:space="preserve">First Normal Form (1NF). </w:t>
      </w:r>
      <w:r>
        <w:rPr>
          <w:rFonts w:ascii="Times New Roman" w:cs="Times New Roman" w:eastAsia="Times New Roman" w:hAnsi="Times New Roman"/>
          <w:sz w:val="24"/>
          <w:szCs w:val="24"/>
        </w:rPr>
        <w:t xml:space="preserve">The initial draft included a single Donor relation with a multi-valued contact attribute (phone and email packed into one column) and a repeating donation_history list. To reach 1NF, every attribute was made atomic, the contact was split into contact and email columns, and the donation history was extracted into its own Donation relation. After this step every cell holds a single value and every record is uniquely identifiable.</w:t>
      </w:r>
    </w:p>
    <w:p>
      <w:pPr>
        <w:spacing w:after="160" w:line="320"/>
        <w:jc w:val="both"/>
      </w:pPr>
      <w:r>
        <w:rPr>
          <w:rFonts w:ascii="Times New Roman" w:cs="Times New Roman" w:eastAsia="Times New Roman" w:hAnsi="Times New Roman"/>
          <w:b/>
          <w:bCs/>
          <w:sz w:val="24"/>
          <w:szCs w:val="24"/>
        </w:rPr>
        <w:t xml:space="preserve">Second Normal Form (2NF). </w:t>
      </w:r>
      <w:r>
        <w:rPr>
          <w:rFonts w:ascii="Times New Roman" w:cs="Times New Roman" w:eastAsia="Times New Roman" w:hAnsi="Times New Roman"/>
          <w:sz w:val="24"/>
          <w:szCs w:val="24"/>
        </w:rPr>
        <w:t xml:space="preserve">An early flat design of BloodUnit included donor_name, donor_blood_group, and component_name — attributes dependent only on parts of the candidate key. To reach 2NF, every non-prime attribute was made fully functionally dependent on the primary key. Donor-specific attributes were retained only in Donor, and component-specific attributes only in Component, with BloodUnit referring to them via foreign keys.</w:t>
      </w:r>
    </w:p>
    <w:p>
      <w:pPr>
        <w:spacing w:after="160" w:line="320"/>
        <w:jc w:val="both"/>
      </w:pPr>
      <w:r>
        <w:rPr>
          <w:rFonts w:ascii="Times New Roman" w:cs="Times New Roman" w:eastAsia="Times New Roman" w:hAnsi="Times New Roman"/>
          <w:b/>
          <w:bCs/>
          <w:sz w:val="24"/>
          <w:szCs w:val="24"/>
        </w:rPr>
        <w:t xml:space="preserve">Third Normal Form (3NF). </w:t>
      </w:r>
      <w:r>
        <w:rPr>
          <w:rFonts w:ascii="Times New Roman" w:cs="Times New Roman" w:eastAsia="Times New Roman" w:hAnsi="Times New Roman"/>
          <w:sz w:val="24"/>
          <w:szCs w:val="24"/>
        </w:rPr>
        <w:t xml:space="preserve">Transitive dependencies were eliminated. An early Recipient relation included hospital_name and hospital_address, both transitively dependent on hospital_id. Moving these to the Hospital relation removed the transitive dependency. Similarly, staff role-related details were factored into the Staff relation.</w:t>
      </w:r>
    </w:p>
    <w:p>
      <w:pPr>
        <w:spacing w:after="160" w:line="320"/>
        <w:jc w:val="both"/>
      </w:pPr>
      <w:r>
        <w:rPr>
          <w:rFonts w:ascii="Times New Roman" w:cs="Times New Roman" w:eastAsia="Times New Roman" w:hAnsi="Times New Roman"/>
          <w:b/>
          <w:bCs/>
          <w:sz w:val="24"/>
          <w:szCs w:val="24"/>
        </w:rPr>
        <w:t xml:space="preserve">Boyce–Codd Normal Form (BCNF). </w:t>
      </w:r>
      <w:r>
        <w:rPr>
          <w:rFonts w:ascii="Times New Roman" w:cs="Times New Roman" w:eastAsia="Times New Roman" w:hAnsi="Times New Roman"/>
          <w:sz w:val="24"/>
          <w:szCs w:val="24"/>
        </w:rPr>
        <w:t xml:space="preserve">Every non-trivial functional dependency in every relation has, on its left-hand side, a superkey of that relation — confirmed by inspection of the FD set. The schema is therefore in BCNF. The one borderline case is expiry_date being derivable from (collection_date, component_id); we intentionally retain it as a stored attribute for query performance and audit traceability. This is a controlled denormalization, and the synopsis flags it explicitly so that the design choice is defensible rather than implicit.</w:t>
      </w:r>
    </w:p>
    <w:p>
      <w:pPr>
        <w:pStyle w:val="Heading2"/>
        <w:spacing w:after="120" w:before="240"/>
      </w:pPr>
      <w:r>
        <w:rPr>
          <w:rFonts w:ascii="Times New Roman" w:cs="Times New Roman" w:eastAsia="Times New Roman" w:hAnsi="Times New Roman"/>
          <w:b/>
          <w:bCs/>
          <w:i/>
          <w:iCs/>
          <w:sz w:val="26"/>
          <w:szCs w:val="26"/>
        </w:rPr>
        <w:t xml:space="preserve">11.3  Final normalized structure</w:t>
      </w:r>
    </w:p>
    <w:p>
      <w:pPr>
        <w:spacing w:after="160" w:line="320"/>
        <w:jc w:val="both"/>
      </w:pPr>
      <w:r>
        <w:rPr>
          <w:rFonts w:ascii="Times New Roman" w:cs="Times New Roman" w:eastAsia="Times New Roman" w:hAnsi="Times New Roman"/>
          <w:sz w:val="24"/>
          <w:szCs w:val="24"/>
        </w:rPr>
        <w:t xml:space="preserve">The final schema (as listed in Section 10.1) is in BCNF. All tables are free of redundancy, and every business rule is enforced either by a key constraint, a CHECK constraint, a foreign key, or a trigger — never by application-side discipline alone.</w:t>
      </w:r>
    </w:p>
    <w:p>
      <w:r>
        <w:br w:type="page"/>
      </w:r>
    </w:p>
    <w:p>
      <w:pPr>
        <w:pStyle w:val="Heading1"/>
        <w:spacing w:after="200" w:before="400"/>
      </w:pPr>
      <w:r>
        <w:rPr>
          <w:rFonts w:ascii="Times New Roman" w:cs="Times New Roman" w:eastAsia="Times New Roman" w:hAnsi="Times New Roman"/>
          <w:b/>
          <w:bCs/>
          <w:sz w:val="28"/>
          <w:szCs w:val="28"/>
        </w:rPr>
        <w:t xml:space="preserve">12.  SQL Implementation</w:t>
      </w:r>
    </w:p>
    <w:p>
      <w:pPr>
        <w:pStyle w:val="Heading2"/>
        <w:spacing w:after="120" w:before="240"/>
      </w:pPr>
      <w:r>
        <w:rPr>
          <w:rFonts w:ascii="Times New Roman" w:cs="Times New Roman" w:eastAsia="Times New Roman" w:hAnsi="Times New Roman"/>
          <w:b/>
          <w:bCs/>
          <w:i/>
          <w:iCs/>
          <w:sz w:val="26"/>
          <w:szCs w:val="26"/>
        </w:rPr>
        <w:t xml:space="preserve">12.1  DDL highlights</w:t>
      </w:r>
    </w:p>
    <w:p>
      <w:pPr>
        <w:spacing w:after="160" w:line="320"/>
        <w:jc w:val="both"/>
      </w:pPr>
      <w:r>
        <w:rPr>
          <w:rFonts w:ascii="Times New Roman" w:cs="Times New Roman" w:eastAsia="Times New Roman" w:hAnsi="Times New Roman"/>
          <w:sz w:val="24"/>
          <w:szCs w:val="24"/>
        </w:rPr>
        <w:t xml:space="preserve">The schema lives in a single rebuild script (bbdms_rebuild.sql) that drops everything and recreates it in dependency order. The script is idempotent: each DROP is wrapped in a PL/SQL block with EXCEPTION WHEN OTHERS THEN NULL so that a missing object on first run does not abort the script. The CREATE statements are written in the same order as the dependency graph: leaves first, then their parents.</w:t>
      </w:r>
    </w:p>
    <w:p>
      <w:pPr>
        <w:spacing w:after="160" w:line="320"/>
        <w:jc w:val="both"/>
      </w:pPr>
      <w:r>
        <w:rPr>
          <w:rFonts w:ascii="Times New Roman" w:cs="Times New Roman" w:eastAsia="Times New Roman" w:hAnsi="Times New Roman"/>
          <w:sz w:val="24"/>
          <w:szCs w:val="24"/>
        </w:rPr>
        <w:t xml:space="preserve">Sequences are declared with NOCACHE and NOCYCLE. NOCACHE was chosen specifically because Oracle's default cache-of-20 leaves visible gaps in primary-key values whenever the database restarts, which would have made our demo data look untidy. NOCYCLE means the sequence will refuse to wrap around — a non-issue at our scale but a defensible default.</w:t>
      </w:r>
    </w:p>
    <w:p>
      <w:pPr>
        <w:pStyle w:val="Heading2"/>
        <w:spacing w:after="120" w:before="240"/>
      </w:pPr>
      <w:r>
        <w:rPr>
          <w:rFonts w:ascii="Times New Roman" w:cs="Times New Roman" w:eastAsia="Times New Roman" w:hAnsi="Times New Roman"/>
          <w:b/>
          <w:bCs/>
          <w:i/>
          <w:iCs/>
          <w:sz w:val="26"/>
          <w:szCs w:val="26"/>
        </w:rPr>
        <w:t xml:space="preserve">12.2  CHECK constraints — selected examples</w:t>
      </w:r>
    </w:p>
    <w:p>
      <w:pPr>
        <w:spacing w:after="160" w:line="320"/>
        <w:jc w:val="both"/>
      </w:pPr>
      <w:r>
        <w:rPr>
          <w:rFonts w:ascii="Times New Roman" w:cs="Times New Roman" w:eastAsia="Times New Roman" w:hAnsi="Times New Roman"/>
          <w:sz w:val="24"/>
          <w:szCs w:val="24"/>
        </w:rPr>
        <w:t xml:space="preserve">Each table has named CHECK constraints (chk_*) whose names appear in error messages when violated. A few representative examples:</w:t>
      </w:r>
    </w:p>
    <w:p>
      <w:pPr>
        <w:pBdr>
          <w:top w:val="single" w:color="CCCCCC" w:sz="4"/>
        </w:pBdr>
        <w:shd w:fill="F4F4F4" w:color="auto" w:val="clear"/>
        <w:spacing w:after="0" w:line="260"/>
      </w:pPr>
      <w:r>
        <w:rPr>
          <w:rFonts w:ascii="Consolas" w:cs="Consolas" w:eastAsia="Consolas" w:hAnsi="Consolas"/>
          <w:sz w:val="20"/>
          <w:szCs w:val="20"/>
        </w:rPr>
        <w:t xml:space="preserve">-- Component</w:t>
      </w:r>
    </w:p>
    <w:p>
      <w:pPr>
        <w:shd w:fill="F4F4F4" w:color="auto" w:val="clear"/>
        <w:spacing w:after="0" w:line="260"/>
      </w:pPr>
      <w:r>
        <w:rPr>
          <w:rFonts w:ascii="Consolas" w:cs="Consolas" w:eastAsia="Consolas" w:hAnsi="Consolas"/>
          <w:sz w:val="20"/>
          <w:szCs w:val="20"/>
        </w:rPr>
        <w:t xml:space="preserve">CONSTRAINT chk_component_shelf  CHECK (shelf_life_days BETWEEN 1 AND 400),</w:t>
      </w:r>
    </w:p>
    <w:p>
      <w:pPr>
        <w:shd w:fill="F4F4F4" w:color="auto" w:val="clear"/>
        <w:spacing w:after="0" w:line="260"/>
      </w:pPr>
      <w:r>
        <w:rPr>
          <w:rFonts w:ascii="Consolas" w:cs="Consolas" w:eastAsia="Consolas" w:hAnsi="Consolas"/>
          <w:sz w:val="20"/>
          <w:szCs w:val="20"/>
        </w:rPr>
        <w:t xml:space="preserve">CONSTRAINT chk_component_temp   CHECK (storage_temp_min &lt; storage_temp_max)</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Donor</w:t>
      </w:r>
    </w:p>
    <w:p>
      <w:pPr>
        <w:shd w:fill="F4F4F4" w:color="auto" w:val="clear"/>
        <w:spacing w:after="0" w:line="260"/>
      </w:pPr>
      <w:r>
        <w:rPr>
          <w:rFonts w:ascii="Consolas" w:cs="Consolas" w:eastAsia="Consolas" w:hAnsi="Consolas"/>
          <w:sz w:val="20"/>
          <w:szCs w:val="20"/>
        </w:rPr>
        <w:t xml:space="preserve">CONSTRAINT chk_donor_blood_group  CHECK (blood_group IN</w:t>
      </w:r>
    </w:p>
    <w:p>
      <w:pPr>
        <w:shd w:fill="F4F4F4" w:color="auto" w:val="clear"/>
        <w:spacing w:after="0" w:line="260"/>
      </w:pPr>
      <w:r>
        <w:rPr>
          <w:rFonts w:ascii="Consolas" w:cs="Consolas" w:eastAsia="Consolas" w:hAnsi="Consolas"/>
          <w:sz w:val="20"/>
          <w:szCs w:val="20"/>
        </w:rPr>
        <w:t xml:space="preserve">    ('O+','O-','A+','A-','B+','B-','AB+','AB-')),</w:t>
      </w:r>
    </w:p>
    <w:p>
      <w:pPr>
        <w:shd w:fill="F4F4F4" w:color="auto" w:val="clear"/>
        <w:spacing w:after="0" w:line="260"/>
      </w:pPr>
      <w:r>
        <w:rPr>
          <w:rFonts w:ascii="Consolas" w:cs="Consolas" w:eastAsia="Consolas" w:hAnsi="Consolas"/>
          <w:sz w:val="20"/>
          <w:szCs w:val="20"/>
        </w:rPr>
        <w:t xml:space="preserve">CONSTRAINT chk_donor_age          CHECK (</w:t>
      </w:r>
    </w:p>
    <w:p>
      <w:pPr>
        <w:shd w:fill="F4F4F4" w:color="auto" w:val="clear"/>
        <w:spacing w:after="0" w:line="260"/>
      </w:pPr>
      <w:r>
        <w:rPr>
          <w:rFonts w:ascii="Consolas" w:cs="Consolas" w:eastAsia="Consolas" w:hAnsi="Consolas"/>
          <w:sz w:val="20"/>
          <w:szCs w:val="20"/>
        </w:rPr>
        <w:t xml:space="preserve">    MONTHS_BETWEEN(SYSDATE, dob) BETWEEN 18*12 AND 65*12),</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BloodUnit</w:t>
      </w:r>
    </w:p>
    <w:p>
      <w:pPr>
        <w:shd w:fill="F4F4F4" w:color="auto" w:val="clear"/>
        <w:spacing w:after="0" w:line="260"/>
      </w:pPr>
      <w:r>
        <w:rPr>
          <w:rFonts w:ascii="Consolas" w:cs="Consolas" w:eastAsia="Consolas" w:hAnsi="Consolas"/>
          <w:sz w:val="20"/>
          <w:szCs w:val="20"/>
        </w:rPr>
        <w:t xml:space="preserve">CONSTRAINT chk_unit_status  CHECK (status IN</w:t>
      </w:r>
    </w:p>
    <w:p>
      <w:pPr>
        <w:shd w:fill="F4F4F4" w:color="auto" w:val="clear"/>
        <w:spacing w:after="0" w:line="260"/>
      </w:pPr>
      <w:r>
        <w:rPr>
          <w:rFonts w:ascii="Consolas" w:cs="Consolas" w:eastAsia="Consolas" w:hAnsi="Consolas"/>
          <w:sz w:val="20"/>
          <w:szCs w:val="20"/>
        </w:rPr>
        <w:t xml:space="preserve">    ('QUARANTINE','AVAILABLE','RESERVED','ISSUED','EXPIRED','DISCARDED')),</w:t>
      </w:r>
    </w:p>
    <w:p>
      <w:pPr>
        <w:pBdr>
          <w:bottom w:val="single" w:color="CCCCCC" w:sz="4"/>
        </w:pBdr>
        <w:shd w:fill="F4F4F4" w:color="auto" w:val="clear"/>
        <w:spacing w:after="0" w:line="260"/>
      </w:pPr>
      <w:r>
        <w:rPr>
          <w:rFonts w:ascii="Consolas" w:cs="Consolas" w:eastAsia="Consolas" w:hAnsi="Consolas"/>
          <w:sz w:val="20"/>
          <w:szCs w:val="20"/>
        </w:rPr>
        <w:t xml:space="preserve">CONSTRAINT chk_unit_expiry  CHECK (expiry_date &gt; collection_date)</w:t>
      </w:r>
    </w:p>
    <w:p>
      <w:pPr>
        <w:spacing w:after="160" w:line="320"/>
        <w:jc w:val="both"/>
      </w:pPr>
      <w:r>
        <w:rPr>
          <w:rFonts w:ascii="Times New Roman" w:cs="Times New Roman" w:eastAsia="Times New Roman" w:hAnsi="Times New Roman"/>
          <w:sz w:val="24"/>
          <w:szCs w:val="24"/>
        </w:rPr>
        <w:t xml:space="preserve">The CHECK on chk_donor_age uses SYSDATE inside the constraint, which makes it non-deterministic in the strict SQL sense (the same row could pass on one day and fail on another). Oracle accepts this; some other databases do not. For our use case — refusing clearly out-of-range DOB at insert time — this is acceptable, and we explicitly chose this trade-off rather than implementing the rule application-side.</w:t>
      </w:r>
    </w:p>
    <w:p>
      <w:pPr>
        <w:pStyle w:val="Heading2"/>
        <w:spacing w:after="120" w:before="240"/>
      </w:pPr>
      <w:r>
        <w:rPr>
          <w:rFonts w:ascii="Times New Roman" w:cs="Times New Roman" w:eastAsia="Times New Roman" w:hAnsi="Times New Roman"/>
          <w:b/>
          <w:bCs/>
          <w:i/>
          <w:iCs/>
          <w:sz w:val="26"/>
          <w:szCs w:val="26"/>
        </w:rPr>
        <w:t xml:space="preserve">12.3  Sample SELECT queries</w:t>
      </w:r>
    </w:p>
    <w:p>
      <w:pPr>
        <w:spacing w:after="160" w:line="320"/>
        <w:jc w:val="both"/>
      </w:pPr>
      <w:r>
        <w:rPr>
          <w:rFonts w:ascii="Times New Roman" w:cs="Times New Roman" w:eastAsia="Times New Roman" w:hAnsi="Times New Roman"/>
          <w:sz w:val="24"/>
          <w:szCs w:val="24"/>
        </w:rPr>
        <w:t xml:space="preserve">Ten substantive queries were implemented. Three representative examples are reproduced here; the full catalogue is in the rebuild script.</w:t>
      </w:r>
    </w:p>
    <w:p>
      <w:pPr>
        <w:spacing w:after="160" w:line="320"/>
        <w:jc w:val="both"/>
      </w:pPr>
      <w:r>
        <w:rPr>
          <w:rFonts w:ascii="Times New Roman" w:cs="Times New Roman" w:eastAsia="Times New Roman" w:hAnsi="Times New Roman"/>
          <w:sz w:val="24"/>
          <w:szCs w:val="24"/>
        </w:rPr>
        <w:t xml:space="preserve">Query 2 — Available inventory by blood group and component:</w:t>
      </w:r>
    </w:p>
    <w:p>
      <w:pPr>
        <w:pBdr>
          <w:top w:val="single" w:color="CCCCCC" w:sz="4"/>
        </w:pBdr>
        <w:shd w:fill="F4F4F4" w:color="auto" w:val="clear"/>
        <w:spacing w:after="0" w:line="260"/>
      </w:pPr>
      <w:r>
        <w:rPr>
          <w:rFonts w:ascii="Consolas" w:cs="Consolas" w:eastAsia="Consolas" w:hAnsi="Consolas"/>
          <w:sz w:val="20"/>
          <w:szCs w:val="20"/>
        </w:rPr>
        <w:t xml:space="preserve">SELECT d.blood_group,</w:t>
      </w:r>
    </w:p>
    <w:p>
      <w:pPr>
        <w:shd w:fill="F4F4F4" w:color="auto" w:val="clear"/>
        <w:spacing w:after="0" w:line="260"/>
      </w:pPr>
      <w:r>
        <w:rPr>
          <w:rFonts w:ascii="Consolas" w:cs="Consolas" w:eastAsia="Consolas" w:hAnsi="Consolas"/>
          <w:sz w:val="20"/>
          <w:szCs w:val="20"/>
        </w:rPr>
        <w:t xml:space="preserve">       c.name AS component,</w:t>
      </w:r>
    </w:p>
    <w:p>
      <w:pPr>
        <w:shd w:fill="F4F4F4" w:color="auto" w:val="clear"/>
        <w:spacing w:after="0" w:line="260"/>
      </w:pPr>
      <w:r>
        <w:rPr>
          <w:rFonts w:ascii="Consolas" w:cs="Consolas" w:eastAsia="Consolas" w:hAnsi="Consolas"/>
          <w:sz w:val="20"/>
          <w:szCs w:val="20"/>
        </w:rPr>
        <w:t xml:space="preserve">       COUNT(bu.unit_id)        AS available_units,</w:t>
      </w:r>
    </w:p>
    <w:p>
      <w:pPr>
        <w:shd w:fill="F4F4F4" w:color="auto" w:val="clear"/>
        <w:spacing w:after="0" w:line="260"/>
      </w:pPr>
      <w:r>
        <w:rPr>
          <w:rFonts w:ascii="Consolas" w:cs="Consolas" w:eastAsia="Consolas" w:hAnsi="Consolas"/>
          <w:sz w:val="20"/>
          <w:szCs w:val="20"/>
        </w:rPr>
        <w:t xml:space="preserve">       MIN(bu.expiry_date)      AS expires_soonest</w:t>
      </w:r>
    </w:p>
    <w:p>
      <w:pPr>
        <w:shd w:fill="F4F4F4" w:color="auto" w:val="clear"/>
        <w:spacing w:after="0" w:line="260"/>
      </w:pPr>
      <w:r>
        <w:rPr>
          <w:rFonts w:ascii="Consolas" w:cs="Consolas" w:eastAsia="Consolas" w:hAnsi="Consolas"/>
          <w:sz w:val="20"/>
          <w:szCs w:val="20"/>
        </w:rPr>
        <w:t xml:space="preserve">FROM blood_unit bu</w:t>
      </w:r>
    </w:p>
    <w:p>
      <w:pPr>
        <w:shd w:fill="F4F4F4" w:color="auto" w:val="clear"/>
        <w:spacing w:after="0" w:line="260"/>
      </w:pPr>
      <w:r>
        <w:rPr>
          <w:rFonts w:ascii="Consolas" w:cs="Consolas" w:eastAsia="Consolas" w:hAnsi="Consolas"/>
          <w:sz w:val="20"/>
          <w:szCs w:val="20"/>
        </w:rPr>
        <w:t xml:space="preserve">JOIN component c   ON bu.component_id = c.component_id</w:t>
      </w:r>
    </w:p>
    <w:p>
      <w:pPr>
        <w:shd w:fill="F4F4F4" w:color="auto" w:val="clear"/>
        <w:spacing w:after="0" w:line="260"/>
      </w:pPr>
      <w:r>
        <w:rPr>
          <w:rFonts w:ascii="Consolas" w:cs="Consolas" w:eastAsia="Consolas" w:hAnsi="Consolas"/>
          <w:sz w:val="20"/>
          <w:szCs w:val="20"/>
        </w:rPr>
        <w:t xml:space="preserve">JOIN donation don  ON bu.donation_id  = don.donation_id</w:t>
      </w:r>
    </w:p>
    <w:p>
      <w:pPr>
        <w:shd w:fill="F4F4F4" w:color="auto" w:val="clear"/>
        <w:spacing w:after="0" w:line="260"/>
      </w:pPr>
      <w:r>
        <w:rPr>
          <w:rFonts w:ascii="Consolas" w:cs="Consolas" w:eastAsia="Consolas" w:hAnsi="Consolas"/>
          <w:sz w:val="20"/>
          <w:szCs w:val="20"/>
        </w:rPr>
        <w:t xml:space="preserve">JOIN donor d       ON don.donor_id    = d.donor_id</w:t>
      </w:r>
    </w:p>
    <w:p>
      <w:pPr>
        <w:shd w:fill="F4F4F4" w:color="auto" w:val="clear"/>
        <w:spacing w:after="0" w:line="260"/>
      </w:pPr>
      <w:r>
        <w:rPr>
          <w:rFonts w:ascii="Consolas" w:cs="Consolas" w:eastAsia="Consolas" w:hAnsi="Consolas"/>
          <w:sz w:val="20"/>
          <w:szCs w:val="20"/>
        </w:rPr>
        <w:t xml:space="preserve">WHERE bu.status = 'AVAILABLE'</w:t>
      </w:r>
    </w:p>
    <w:p>
      <w:pPr>
        <w:shd w:fill="F4F4F4" w:color="auto" w:val="clear"/>
        <w:spacing w:after="0" w:line="260"/>
      </w:pPr>
      <w:r>
        <w:rPr>
          <w:rFonts w:ascii="Consolas" w:cs="Consolas" w:eastAsia="Consolas" w:hAnsi="Consolas"/>
          <w:sz w:val="20"/>
          <w:szCs w:val="20"/>
        </w:rPr>
        <w:t xml:space="preserve">GROUP BY d.blood_group, c.name</w:t>
      </w:r>
    </w:p>
    <w:p>
      <w:pPr>
        <w:pBdr>
          <w:bottom w:val="single" w:color="CCCCCC" w:sz="4"/>
        </w:pBdr>
        <w:shd w:fill="F4F4F4" w:color="auto" w:val="clear"/>
        <w:spacing w:after="0" w:line="260"/>
      </w:pPr>
      <w:r>
        <w:rPr>
          <w:rFonts w:ascii="Consolas" w:cs="Consolas" w:eastAsia="Consolas" w:hAnsi="Consolas"/>
          <w:sz w:val="20"/>
          <w:szCs w:val="20"/>
        </w:rPr>
        <w:t xml:space="preserve">ORDER BY d.blood_group, c.name;</w:t>
      </w:r>
    </w:p>
    <w:p>
      <w:pPr>
        <w:spacing w:after="160" w:line="320"/>
        <w:jc w:val="both"/>
      </w:pPr>
      <w:r>
        <w:rPr>
          <w:rFonts w:ascii="Times New Roman" w:cs="Times New Roman" w:eastAsia="Times New Roman" w:hAnsi="Times New Roman"/>
          <w:sz w:val="24"/>
          <w:szCs w:val="24"/>
        </w:rPr>
        <w:t xml:space="preserve">This query joins four tables — blood_unit → donation → donor for the donor blood group, and blood_unit → component for the component name — and aggregates the result by group and component. Every row in the result represents a (group, component) pair with available stock. Without foreign keys this query would have no integrity guarantee; with them, every joined row is provably valid.</w:t>
      </w:r>
    </w:p>
    <w:p>
      <w:pPr>
        <w:spacing w:after="160" w:line="320"/>
        <w:jc w:val="both"/>
      </w:pPr>
      <w:r>
        <w:rPr>
          <w:rFonts w:ascii="Times New Roman" w:cs="Times New Roman" w:eastAsia="Times New Roman" w:hAnsi="Times New Roman"/>
          <w:sz w:val="24"/>
          <w:szCs w:val="24"/>
        </w:rPr>
        <w:t xml:space="preserve">Query 4 — Open requests with the count of compatible available units, joined through the compatibility matrix:</w:t>
      </w:r>
    </w:p>
    <w:p>
      <w:pPr>
        <w:pBdr>
          <w:top w:val="single" w:color="CCCCCC" w:sz="4"/>
        </w:pBdr>
        <w:shd w:fill="F4F4F4" w:color="auto" w:val="clear"/>
        <w:spacing w:after="0" w:line="260"/>
      </w:pPr>
      <w:r>
        <w:rPr>
          <w:rFonts w:ascii="Consolas" w:cs="Consolas" w:eastAsia="Consolas" w:hAnsi="Consolas"/>
          <w:sz w:val="20"/>
          <w:szCs w:val="20"/>
        </w:rPr>
        <w:t xml:space="preserve">SELECT r.request_id,</w:t>
      </w:r>
    </w:p>
    <w:p>
      <w:pPr>
        <w:shd w:fill="F4F4F4" w:color="auto" w:val="clear"/>
        <w:spacing w:after="0" w:line="260"/>
      </w:pPr>
      <w:r>
        <w:rPr>
          <w:rFonts w:ascii="Consolas" w:cs="Consolas" w:eastAsia="Consolas" w:hAnsi="Consolas"/>
          <w:sz w:val="20"/>
          <w:szCs w:val="20"/>
        </w:rPr>
        <w:t xml:space="preserve">       rec.full_name AS recipient,</w:t>
      </w:r>
    </w:p>
    <w:p>
      <w:pPr>
        <w:shd w:fill="F4F4F4" w:color="auto" w:val="clear"/>
        <w:spacing w:after="0" w:line="260"/>
      </w:pPr>
      <w:r>
        <w:rPr>
          <w:rFonts w:ascii="Consolas" w:cs="Consolas" w:eastAsia="Consolas" w:hAnsi="Consolas"/>
          <w:sz w:val="20"/>
          <w:szCs w:val="20"/>
        </w:rPr>
        <w:t xml:space="preserve">       rec.blood_group,</w:t>
      </w:r>
    </w:p>
    <w:p>
      <w:pPr>
        <w:shd w:fill="F4F4F4" w:color="auto" w:val="clear"/>
        <w:spacing w:after="0" w:line="260"/>
      </w:pPr>
      <w:r>
        <w:rPr>
          <w:rFonts w:ascii="Consolas" w:cs="Consolas" w:eastAsia="Consolas" w:hAnsi="Consolas"/>
          <w:sz w:val="20"/>
          <w:szCs w:val="20"/>
        </w:rPr>
        <w:t xml:space="preserve">       h.name        AS hospital,</w:t>
      </w:r>
    </w:p>
    <w:p>
      <w:pPr>
        <w:shd w:fill="F4F4F4" w:color="auto" w:val="clear"/>
        <w:spacing w:after="0" w:line="260"/>
      </w:pPr>
      <w:r>
        <w:rPr>
          <w:rFonts w:ascii="Consolas" w:cs="Consolas" w:eastAsia="Consolas" w:hAnsi="Consolas"/>
          <w:sz w:val="20"/>
          <w:szCs w:val="20"/>
        </w:rPr>
        <w:t xml:space="preserve">       c.name        AS component_needed,</w:t>
      </w:r>
    </w:p>
    <w:p>
      <w:pPr>
        <w:shd w:fill="F4F4F4" w:color="auto" w:val="clear"/>
        <w:spacing w:after="0" w:line="260"/>
      </w:pPr>
      <w:r>
        <w:rPr>
          <w:rFonts w:ascii="Consolas" w:cs="Consolas" w:eastAsia="Consolas" w:hAnsi="Consolas"/>
          <w:sz w:val="20"/>
          <w:szCs w:val="20"/>
        </w:rPr>
        <w:t xml:space="preserve">       r.units_needed,</w:t>
      </w:r>
    </w:p>
    <w:p>
      <w:pPr>
        <w:shd w:fill="F4F4F4" w:color="auto" w:val="clear"/>
        <w:spacing w:after="0" w:line="260"/>
      </w:pPr>
      <w:r>
        <w:rPr>
          <w:rFonts w:ascii="Consolas" w:cs="Consolas" w:eastAsia="Consolas" w:hAnsi="Consolas"/>
          <w:sz w:val="20"/>
          <w:szCs w:val="20"/>
        </w:rPr>
        <w:t xml:space="preserve">       r.urgency,</w:t>
      </w:r>
    </w:p>
    <w:p>
      <w:pPr>
        <w:shd w:fill="F4F4F4" w:color="auto" w:val="clear"/>
        <w:spacing w:after="0" w:line="260"/>
      </w:pPr>
      <w:r>
        <w:rPr>
          <w:rFonts w:ascii="Consolas" w:cs="Consolas" w:eastAsia="Consolas" w:hAnsi="Consolas"/>
          <w:sz w:val="20"/>
          <w:szCs w:val="20"/>
        </w:rPr>
        <w:t xml:space="preserve">       COUNT(bu.unit_id) AS compatible_available</w:t>
      </w:r>
    </w:p>
    <w:p>
      <w:pPr>
        <w:shd w:fill="F4F4F4" w:color="auto" w:val="clear"/>
        <w:spacing w:after="0" w:line="260"/>
      </w:pPr>
      <w:r>
        <w:rPr>
          <w:rFonts w:ascii="Consolas" w:cs="Consolas" w:eastAsia="Consolas" w:hAnsi="Consolas"/>
          <w:sz w:val="20"/>
          <w:szCs w:val="20"/>
        </w:rPr>
        <w:t xml:space="preserve">FROM request r</w:t>
      </w:r>
    </w:p>
    <w:p>
      <w:pPr>
        <w:shd w:fill="F4F4F4" w:color="auto" w:val="clear"/>
        <w:spacing w:after="0" w:line="260"/>
      </w:pPr>
      <w:r>
        <w:rPr>
          <w:rFonts w:ascii="Consolas" w:cs="Consolas" w:eastAsia="Consolas" w:hAnsi="Consolas"/>
          <w:sz w:val="20"/>
          <w:szCs w:val="20"/>
        </w:rPr>
        <w:t xml:space="preserve">JOIN recipient rec ON r.recipient_id = rec.recipient_id</w:t>
      </w:r>
    </w:p>
    <w:p>
      <w:pPr>
        <w:shd w:fill="F4F4F4" w:color="auto" w:val="clear"/>
        <w:spacing w:after="0" w:line="260"/>
      </w:pPr>
      <w:r>
        <w:rPr>
          <w:rFonts w:ascii="Consolas" w:cs="Consolas" w:eastAsia="Consolas" w:hAnsi="Consolas"/>
          <w:sz w:val="20"/>
          <w:szCs w:val="20"/>
        </w:rPr>
        <w:t xml:space="preserve">JOIN hospital h    ON rec.hospital_id = h.hospital_id</w:t>
      </w:r>
    </w:p>
    <w:p>
      <w:pPr>
        <w:shd w:fill="F4F4F4" w:color="auto" w:val="clear"/>
        <w:spacing w:after="0" w:line="260"/>
      </w:pPr>
      <w:r>
        <w:rPr>
          <w:rFonts w:ascii="Consolas" w:cs="Consolas" w:eastAsia="Consolas" w:hAnsi="Consolas"/>
          <w:sz w:val="20"/>
          <w:szCs w:val="20"/>
        </w:rPr>
        <w:t xml:space="preserve">JOIN component c   ON r.component_id  = c.component_id</w:t>
      </w:r>
    </w:p>
    <w:p>
      <w:pPr>
        <w:shd w:fill="F4F4F4" w:color="auto" w:val="clear"/>
        <w:spacing w:after="0" w:line="260"/>
      </w:pPr>
      <w:r>
        <w:rPr>
          <w:rFonts w:ascii="Consolas" w:cs="Consolas" w:eastAsia="Consolas" w:hAnsi="Consolas"/>
          <w:sz w:val="20"/>
          <w:szCs w:val="20"/>
        </w:rPr>
        <w:t xml:space="preserve">LEFT JOIN blood_unit bu ON bu.component_id = r.component_id</w:t>
      </w:r>
    </w:p>
    <w:p>
      <w:pPr>
        <w:shd w:fill="F4F4F4" w:color="auto" w:val="clear"/>
        <w:spacing w:after="0" w:line="260"/>
      </w:pPr>
      <w:r>
        <w:rPr>
          <w:rFonts w:ascii="Consolas" w:cs="Consolas" w:eastAsia="Consolas" w:hAnsi="Consolas"/>
          <w:sz w:val="20"/>
          <w:szCs w:val="20"/>
        </w:rPr>
        <w:t xml:space="preserve">    AND bu.status = 'AVAILABLE'</w:t>
      </w:r>
    </w:p>
    <w:p>
      <w:pPr>
        <w:shd w:fill="F4F4F4" w:color="auto" w:val="clear"/>
        <w:spacing w:after="0" w:line="260"/>
      </w:pPr>
      <w:r>
        <w:rPr>
          <w:rFonts w:ascii="Consolas" w:cs="Consolas" w:eastAsia="Consolas" w:hAnsi="Consolas"/>
          <w:sz w:val="20"/>
          <w:szCs w:val="20"/>
        </w:rPr>
        <w:t xml:space="preserve">    AND bu.donation_id IN (</w:t>
      </w:r>
    </w:p>
    <w:p>
      <w:pPr>
        <w:shd w:fill="F4F4F4" w:color="auto" w:val="clear"/>
        <w:spacing w:after="0" w:line="260"/>
      </w:pPr>
      <w:r>
        <w:rPr>
          <w:rFonts w:ascii="Consolas" w:cs="Consolas" w:eastAsia="Consolas" w:hAnsi="Consolas"/>
          <w:sz w:val="20"/>
          <w:szCs w:val="20"/>
        </w:rPr>
        <w:t xml:space="preserve">        SELECT don.donation_id FROM donation don</w:t>
      </w:r>
    </w:p>
    <w:p>
      <w:pPr>
        <w:shd w:fill="F4F4F4" w:color="auto" w:val="clear"/>
        <w:spacing w:after="0" w:line="260"/>
      </w:pPr>
      <w:r>
        <w:rPr>
          <w:rFonts w:ascii="Consolas" w:cs="Consolas" w:eastAsia="Consolas" w:hAnsi="Consolas"/>
          <w:sz w:val="20"/>
          <w:szCs w:val="20"/>
        </w:rPr>
        <w:t xml:space="preserve">        JOIN donor d ON don.donor_id = d.donor_id</w:t>
      </w:r>
    </w:p>
    <w:p>
      <w:pPr>
        <w:shd w:fill="F4F4F4" w:color="auto" w:val="clear"/>
        <w:spacing w:after="0" w:line="260"/>
      </w:pPr>
      <w:r>
        <w:rPr>
          <w:rFonts w:ascii="Consolas" w:cs="Consolas" w:eastAsia="Consolas" w:hAnsi="Consolas"/>
          <w:sz w:val="20"/>
          <w:szCs w:val="20"/>
        </w:rPr>
        <w:t xml:space="preserve">        WHERE d.blood_group IN (</w:t>
      </w:r>
    </w:p>
    <w:p>
      <w:pPr>
        <w:shd w:fill="F4F4F4" w:color="auto" w:val="clear"/>
        <w:spacing w:after="0" w:line="260"/>
      </w:pPr>
      <w:r>
        <w:rPr>
          <w:rFonts w:ascii="Consolas" w:cs="Consolas" w:eastAsia="Consolas" w:hAnsi="Consolas"/>
          <w:sz w:val="20"/>
          <w:szCs w:val="20"/>
        </w:rPr>
        <w:t xml:space="preserve">            SELECT donor_group FROM blood_compatibility</w:t>
      </w:r>
    </w:p>
    <w:p>
      <w:pPr>
        <w:shd w:fill="F4F4F4" w:color="auto" w:val="clear"/>
        <w:spacing w:after="0" w:line="260"/>
      </w:pPr>
      <w:r>
        <w:rPr>
          <w:rFonts w:ascii="Consolas" w:cs="Consolas" w:eastAsia="Consolas" w:hAnsi="Consolas"/>
          <w:sz w:val="20"/>
          <w:szCs w:val="20"/>
        </w:rPr>
        <w:t xml:space="preserve">            WHERE recipient_group = rec.blood_group))</w:t>
      </w:r>
    </w:p>
    <w:p>
      <w:pPr>
        <w:shd w:fill="F4F4F4" w:color="auto" w:val="clear"/>
        <w:spacing w:after="0" w:line="260"/>
      </w:pPr>
      <w:r>
        <w:rPr>
          <w:rFonts w:ascii="Consolas" w:cs="Consolas" w:eastAsia="Consolas" w:hAnsi="Consolas"/>
          <w:sz w:val="20"/>
          <w:szCs w:val="20"/>
        </w:rPr>
        <w:t xml:space="preserve">WHERE r.status = 'OPEN'</w:t>
      </w:r>
    </w:p>
    <w:p>
      <w:pPr>
        <w:shd w:fill="F4F4F4" w:color="auto" w:val="clear"/>
        <w:spacing w:after="0" w:line="260"/>
      </w:pPr>
      <w:r>
        <w:rPr>
          <w:rFonts w:ascii="Consolas" w:cs="Consolas" w:eastAsia="Consolas" w:hAnsi="Consolas"/>
          <w:sz w:val="20"/>
          <w:szCs w:val="20"/>
        </w:rPr>
        <w:t xml:space="preserve">GROUP BY r.request_id, rec.full_name, rec.blood_group,</w:t>
      </w:r>
    </w:p>
    <w:p>
      <w:pPr>
        <w:shd w:fill="F4F4F4" w:color="auto" w:val="clear"/>
        <w:spacing w:after="0" w:line="260"/>
      </w:pPr>
      <w:r>
        <w:rPr>
          <w:rFonts w:ascii="Consolas" w:cs="Consolas" w:eastAsia="Consolas" w:hAnsi="Consolas"/>
          <w:sz w:val="20"/>
          <w:szCs w:val="20"/>
        </w:rPr>
        <w:t xml:space="preserve">         h.name, c.name, r.units_needed, r.urgency</w:t>
      </w:r>
    </w:p>
    <w:p>
      <w:pPr>
        <w:pBdr>
          <w:bottom w:val="single" w:color="CCCCCC" w:sz="4"/>
        </w:pBdr>
        <w:shd w:fill="F4F4F4" w:color="auto" w:val="clear"/>
        <w:spacing w:after="0" w:line="260"/>
      </w:pPr>
      <w:r>
        <w:rPr>
          <w:rFonts w:ascii="Consolas" w:cs="Consolas" w:eastAsia="Consolas" w:hAnsi="Consolas"/>
          <w:sz w:val="20"/>
          <w:szCs w:val="20"/>
        </w:rPr>
        <w:t xml:space="preserve">ORDER BY r.urgency DESC, MAX(r.request_date) DESC;</w:t>
      </w:r>
    </w:p>
    <w:p>
      <w:pPr>
        <w:spacing w:after="160" w:line="320"/>
        <w:jc w:val="both"/>
      </w:pPr>
      <w:r>
        <w:rPr>
          <w:rFonts w:ascii="Times New Roman" w:cs="Times New Roman" w:eastAsia="Times New Roman" w:hAnsi="Times New Roman"/>
          <w:sz w:val="24"/>
          <w:szCs w:val="24"/>
        </w:rPr>
        <w:t xml:space="preserve">This is the most structurally interesting query in the catalogue. It performs nested subqueries to reach from request → recipient blood group → compatible donor groups → eligible donors → their donations → the available units derived from those donations. The LEFT JOIN ensures requests with zero compatible available units still appear in the result (with compatible_available = 0), which is exactly what an issue-counter staff member needs to see.</w:t>
      </w:r>
    </w:p>
    <w:p>
      <w:pPr>
        <w:spacing w:after="160" w:line="320"/>
        <w:jc w:val="both"/>
      </w:pPr>
      <w:r>
        <w:rPr>
          <w:rFonts w:ascii="Times New Roman" w:cs="Times New Roman" w:eastAsia="Times New Roman" w:hAnsi="Times New Roman"/>
          <w:sz w:val="24"/>
          <w:szCs w:val="24"/>
        </w:rPr>
        <w:t xml:space="preserve">Query 9 — Component shelf-life utilization:</w:t>
      </w:r>
    </w:p>
    <w:p>
      <w:pPr>
        <w:pBdr>
          <w:top w:val="single" w:color="CCCCCC" w:sz="4"/>
        </w:pBdr>
        <w:shd w:fill="F4F4F4" w:color="auto" w:val="clear"/>
        <w:spacing w:after="0" w:line="260"/>
      </w:pPr>
      <w:r>
        <w:rPr>
          <w:rFonts w:ascii="Consolas" w:cs="Consolas" w:eastAsia="Consolas" w:hAnsi="Consolas"/>
          <w:sz w:val="20"/>
          <w:szCs w:val="20"/>
        </w:rPr>
        <w:t xml:space="preserve">SELECT c.component_id,</w:t>
      </w:r>
    </w:p>
    <w:p>
      <w:pPr>
        <w:shd w:fill="F4F4F4" w:color="auto" w:val="clear"/>
        <w:spacing w:after="0" w:line="260"/>
      </w:pPr>
      <w:r>
        <w:rPr>
          <w:rFonts w:ascii="Consolas" w:cs="Consolas" w:eastAsia="Consolas" w:hAnsi="Consolas"/>
          <w:sz w:val="20"/>
          <w:szCs w:val="20"/>
        </w:rPr>
        <w:t xml:space="preserve">       c.name,</w:t>
      </w:r>
    </w:p>
    <w:p>
      <w:pPr>
        <w:shd w:fill="F4F4F4" w:color="auto" w:val="clear"/>
        <w:spacing w:after="0" w:line="260"/>
      </w:pPr>
      <w:r>
        <w:rPr>
          <w:rFonts w:ascii="Consolas" w:cs="Consolas" w:eastAsia="Consolas" w:hAnsi="Consolas"/>
          <w:sz w:val="20"/>
          <w:szCs w:val="20"/>
        </w:rPr>
        <w:t xml:space="preserve">       c.shelf_life_days,</w:t>
      </w:r>
    </w:p>
    <w:p>
      <w:pPr>
        <w:shd w:fill="F4F4F4" w:color="auto" w:val="clear"/>
        <w:spacing w:after="0" w:line="260"/>
      </w:pPr>
      <w:r>
        <w:rPr>
          <w:rFonts w:ascii="Consolas" w:cs="Consolas" w:eastAsia="Consolas" w:hAnsi="Consolas"/>
          <w:sz w:val="20"/>
          <w:szCs w:val="20"/>
        </w:rPr>
        <w:t xml:space="preserve">       COUNT(bu.unit_id)    AS total_units,</w:t>
      </w:r>
    </w:p>
    <w:p>
      <w:pPr>
        <w:shd w:fill="F4F4F4" w:color="auto" w:val="clear"/>
        <w:spacing w:after="0" w:line="260"/>
      </w:pPr>
      <w:r>
        <w:rPr>
          <w:rFonts w:ascii="Consolas" w:cs="Consolas" w:eastAsia="Consolas" w:hAnsi="Consolas"/>
          <w:sz w:val="20"/>
          <w:szCs w:val="20"/>
        </w:rPr>
        <w:t xml:space="preserve">       COUNT(CASE WHEN bu.status = 'AVAILABLE' THEN 1 END)</w:t>
      </w:r>
    </w:p>
    <w:p>
      <w:pPr>
        <w:shd w:fill="F4F4F4" w:color="auto" w:val="clear"/>
        <w:spacing w:after="0" w:line="260"/>
      </w:pPr>
      <w:r>
        <w:rPr>
          <w:rFonts w:ascii="Consolas" w:cs="Consolas" w:eastAsia="Consolas" w:hAnsi="Consolas"/>
          <w:sz w:val="20"/>
          <w:szCs w:val="20"/>
        </w:rPr>
        <w:t xml:space="preserve">                            AS available_units,</w:t>
      </w:r>
    </w:p>
    <w:p>
      <w:pPr>
        <w:shd w:fill="F4F4F4" w:color="auto" w:val="clear"/>
        <w:spacing w:after="0" w:line="260"/>
      </w:pPr>
      <w:r>
        <w:rPr>
          <w:rFonts w:ascii="Consolas" w:cs="Consolas" w:eastAsia="Consolas" w:hAnsi="Consolas"/>
          <w:sz w:val="20"/>
          <w:szCs w:val="20"/>
        </w:rPr>
        <w:t xml:space="preserve">       ROUND(AVG(bu.expiry_date - bu.collection_date), 1)</w:t>
      </w:r>
    </w:p>
    <w:p>
      <w:pPr>
        <w:shd w:fill="F4F4F4" w:color="auto" w:val="clear"/>
        <w:spacing w:after="0" w:line="260"/>
      </w:pPr>
      <w:r>
        <w:rPr>
          <w:rFonts w:ascii="Consolas" w:cs="Consolas" w:eastAsia="Consolas" w:hAnsi="Consolas"/>
          <w:sz w:val="20"/>
          <w:szCs w:val="20"/>
        </w:rPr>
        <w:t xml:space="preserve">                            AS avg_stored_days,</w:t>
      </w:r>
    </w:p>
    <w:p>
      <w:pPr>
        <w:shd w:fill="F4F4F4" w:color="auto" w:val="clear"/>
        <w:spacing w:after="0" w:line="260"/>
      </w:pPr>
      <w:r>
        <w:rPr>
          <w:rFonts w:ascii="Consolas" w:cs="Consolas" w:eastAsia="Consolas" w:hAnsi="Consolas"/>
          <w:sz w:val="20"/>
          <w:szCs w:val="20"/>
        </w:rPr>
        <w:t xml:space="preserve">       ROUND(100 * AVG(bu.expiry_date - bu.collection_date)</w:t>
      </w:r>
    </w:p>
    <w:p>
      <w:pPr>
        <w:shd w:fill="F4F4F4" w:color="auto" w:val="clear"/>
        <w:spacing w:after="0" w:line="260"/>
      </w:pPr>
      <w:r>
        <w:rPr>
          <w:rFonts w:ascii="Consolas" w:cs="Consolas" w:eastAsia="Consolas" w:hAnsi="Consolas"/>
          <w:sz w:val="20"/>
          <w:szCs w:val="20"/>
        </w:rPr>
        <w:t xml:space="preserve">             / c.shelf_life_days, 1) AS avg_pct_shelf_used</w:t>
      </w:r>
    </w:p>
    <w:p>
      <w:pPr>
        <w:shd w:fill="F4F4F4" w:color="auto" w:val="clear"/>
        <w:spacing w:after="0" w:line="260"/>
      </w:pPr>
      <w:r>
        <w:rPr>
          <w:rFonts w:ascii="Consolas" w:cs="Consolas" w:eastAsia="Consolas" w:hAnsi="Consolas"/>
          <w:sz w:val="20"/>
          <w:szCs w:val="20"/>
        </w:rPr>
        <w:t xml:space="preserve">FROM component c</w:t>
      </w:r>
    </w:p>
    <w:p>
      <w:pPr>
        <w:shd w:fill="F4F4F4" w:color="auto" w:val="clear"/>
        <w:spacing w:after="0" w:line="260"/>
      </w:pPr>
      <w:r>
        <w:rPr>
          <w:rFonts w:ascii="Consolas" w:cs="Consolas" w:eastAsia="Consolas" w:hAnsi="Consolas"/>
          <w:sz w:val="20"/>
          <w:szCs w:val="20"/>
        </w:rPr>
        <w:t xml:space="preserve">LEFT JOIN blood_unit bu ON c.component_id = bu.component_id</w:t>
      </w:r>
    </w:p>
    <w:p>
      <w:pPr>
        <w:shd w:fill="F4F4F4" w:color="auto" w:val="clear"/>
        <w:spacing w:after="0" w:line="260"/>
      </w:pPr>
      <w:r>
        <w:rPr>
          <w:rFonts w:ascii="Consolas" w:cs="Consolas" w:eastAsia="Consolas" w:hAnsi="Consolas"/>
          <w:sz w:val="20"/>
          <w:szCs w:val="20"/>
        </w:rPr>
        <w:t xml:space="preserve">GROUP BY c.component_id, c.name, c.shelf_life_days</w:t>
      </w:r>
    </w:p>
    <w:p>
      <w:pPr>
        <w:pBdr>
          <w:bottom w:val="single" w:color="CCCCCC" w:sz="4"/>
        </w:pBdr>
        <w:shd w:fill="F4F4F4" w:color="auto" w:val="clear"/>
        <w:spacing w:after="0" w:line="260"/>
      </w:pPr>
      <w:r>
        <w:rPr>
          <w:rFonts w:ascii="Consolas" w:cs="Consolas" w:eastAsia="Consolas" w:hAnsi="Consolas"/>
          <w:sz w:val="20"/>
          <w:szCs w:val="20"/>
        </w:rPr>
        <w:t xml:space="preserve">ORDER BY c.component_id;</w:t>
      </w:r>
    </w:p>
    <w:p>
      <w:pPr>
        <w:spacing w:after="160" w:line="320"/>
        <w:jc w:val="both"/>
      </w:pPr>
      <w:r>
        <w:rPr>
          <w:rFonts w:ascii="Times New Roman" w:cs="Times New Roman" w:eastAsia="Times New Roman" w:hAnsi="Times New Roman"/>
          <w:sz w:val="24"/>
          <w:szCs w:val="24"/>
        </w:rPr>
        <w:t xml:space="preserve">This query demonstrates LEFT JOIN to keep components with no units, COUNT with CASE for conditional counting, AVG over date arithmetic, and percentage computation. It produces a one-row-per-component report of how much of the shelf life is actually being consumed.</w:t>
      </w:r>
    </w:p>
    <w:p>
      <w:r>
        <w:br w:type="page"/>
      </w:r>
    </w:p>
    <w:p>
      <w:pPr>
        <w:pStyle w:val="Heading1"/>
        <w:spacing w:after="200" w:before="400"/>
      </w:pPr>
      <w:r>
        <w:rPr>
          <w:rFonts w:ascii="Times New Roman" w:cs="Times New Roman" w:eastAsia="Times New Roman" w:hAnsi="Times New Roman"/>
          <w:b/>
          <w:bCs/>
          <w:sz w:val="28"/>
          <w:szCs w:val="28"/>
        </w:rPr>
        <w:t xml:space="preserve">13.  PL/SQL Implementation</w:t>
      </w:r>
    </w:p>
    <w:p>
      <w:pPr>
        <w:pStyle w:val="Heading2"/>
        <w:spacing w:after="120" w:before="240"/>
      </w:pPr>
      <w:r>
        <w:rPr>
          <w:rFonts w:ascii="Times New Roman" w:cs="Times New Roman" w:eastAsia="Times New Roman" w:hAnsi="Times New Roman"/>
          <w:b/>
          <w:bCs/>
          <w:i/>
          <w:iCs/>
          <w:sz w:val="26"/>
          <w:szCs w:val="26"/>
        </w:rPr>
        <w:t xml:space="preserve">13.1  Functions</w:t>
      </w:r>
    </w:p>
    <w:p>
      <w:pPr>
        <w:spacing w:after="160" w:line="320"/>
        <w:jc w:val="both"/>
      </w:pPr>
      <w:r>
        <w:rPr>
          <w:rFonts w:ascii="Times New Roman" w:cs="Times New Roman" w:eastAsia="Times New Roman" w:hAnsi="Times New Roman"/>
          <w:b/>
          <w:bCs/>
          <w:sz w:val="24"/>
          <w:szCs w:val="24"/>
        </w:rPr>
        <w:t xml:space="preserve">calc_expiry_date(p_component_id, p_collection_date) RETURN DATE — </w:t>
      </w:r>
      <w:r>
        <w:rPr>
          <w:rFonts w:ascii="Times New Roman" w:cs="Times New Roman" w:eastAsia="Times New Roman" w:hAnsi="Times New Roman"/>
          <w:sz w:val="24"/>
          <w:szCs w:val="24"/>
        </w:rPr>
        <w:t xml:space="preserve">looks up the component's shelf_life_days and adds it to the collection date. NO_DATA_FOUND on an invalid component returns NULL with a logged error; WHEN OTHERS catches anything else and returns NULL. The function is deterministic and is reused by the seed-data INSERT … SELECT that creates one BloodUnit per donation.</w:t>
      </w:r>
    </w:p>
    <w:p>
      <w:pPr>
        <w:spacing w:after="160" w:line="320"/>
        <w:jc w:val="both"/>
      </w:pPr>
      <w:r>
        <w:rPr>
          <w:rFonts w:ascii="Times New Roman" w:cs="Times New Roman" w:eastAsia="Times New Roman" w:hAnsi="Times New Roman"/>
          <w:b/>
          <w:bCs/>
          <w:sz w:val="24"/>
          <w:szCs w:val="24"/>
        </w:rPr>
        <w:t xml:space="preserve">donor_eligible(p_donor_id) RETURN VARCHAR2 — </w:t>
      </w:r>
      <w:r>
        <w:rPr>
          <w:rFonts w:ascii="Times New Roman" w:cs="Times New Roman" w:eastAsia="Times New Roman" w:hAnsi="Times New Roman"/>
          <w:sz w:val="24"/>
          <w:szCs w:val="24"/>
        </w:rPr>
        <w:t xml:space="preserve">returns 'TRUE' if the donor has never donated (last_donation_date IS NULL) or if their last donation was 90 or more days ago, otherwise 'FALSE'. The original specification was RETURN BOOLEAN, but BOOLEAN is not callable from plain SQL, and we needed to invoke this function from SELECT statements; the VARCHAR2 return type is the practical compromise. Both branches use TRUNC(SYSDATE) - TRUNC(v_last_donation_date) to avoid fractional-day errors at the 90-day boundary, a precaution we adopted after seeing 307.4070... in early testing.</w:t>
      </w:r>
    </w:p>
    <w:p>
      <w:pPr>
        <w:spacing w:after="160" w:line="320"/>
        <w:jc w:val="both"/>
      </w:pPr>
      <w:r>
        <w:rPr>
          <w:rFonts w:ascii="Times New Roman" w:cs="Times New Roman" w:eastAsia="Times New Roman" w:hAnsi="Times New Roman"/>
          <w:b/>
          <w:bCs/>
          <w:sz w:val="24"/>
          <w:szCs w:val="24"/>
        </w:rPr>
        <w:t xml:space="preserve">get_compatible_groups(p_recipient_group) RETURN VARCHAR2 — </w:t>
      </w:r>
      <w:r>
        <w:rPr>
          <w:rFonts w:ascii="Times New Roman" w:cs="Times New Roman" w:eastAsia="Times New Roman" w:hAnsi="Times New Roman"/>
          <w:sz w:val="24"/>
          <w:szCs w:val="24"/>
        </w:rPr>
        <w:t xml:space="preserve">uses LISTAGG over the blood_compatibility reference table to return a comma-separated string of donor groups that can donate to the given recipient. For example, get_compatible_groups('AB+') returns 'A+, A-, AB+, AB-, B+, B-, O+, O-' (universal recipient). The function is used inside issue_unit and could be embedded in a view for stock dashboards.</w:t>
      </w:r>
    </w:p>
    <w:p>
      <w:pPr>
        <w:pStyle w:val="Heading2"/>
        <w:spacing w:after="120" w:before="240"/>
      </w:pPr>
      <w:r>
        <w:rPr>
          <w:rFonts w:ascii="Times New Roman" w:cs="Times New Roman" w:eastAsia="Times New Roman" w:hAnsi="Times New Roman"/>
          <w:b/>
          <w:bCs/>
          <w:i/>
          <w:iCs/>
          <w:sz w:val="26"/>
          <w:szCs w:val="26"/>
        </w:rPr>
        <w:t xml:space="preserve">13.2  Procedures</w:t>
      </w:r>
    </w:p>
    <w:p>
      <w:pPr>
        <w:spacing w:after="160" w:line="320"/>
        <w:jc w:val="both"/>
      </w:pPr>
      <w:r>
        <w:rPr>
          <w:rFonts w:ascii="Times New Roman" w:cs="Times New Roman" w:eastAsia="Times New Roman" w:hAnsi="Times New Roman"/>
          <w:b/>
          <w:bCs/>
          <w:sz w:val="24"/>
          <w:szCs w:val="24"/>
        </w:rPr>
        <w:t xml:space="preserve">register_donor — </w:t>
      </w:r>
      <w:r>
        <w:rPr>
          <w:rFonts w:ascii="Times New Roman" w:cs="Times New Roman" w:eastAsia="Times New Roman" w:hAnsi="Times New Roman"/>
          <w:sz w:val="24"/>
          <w:szCs w:val="24"/>
        </w:rPr>
        <w:t xml:space="preserve">validates the donor's age (18–65 by MONTHS_BETWEEN), blood group, and gender against the same rules the donor table's CHECK constraints enforce, and inserts a new donor row, returning the assigned donor_id through an OUT parameter. The procedure illustrates RAISE_APPLICATION_ERROR with the -20001 to -20003 range for application-defined errors, COMMIT inside the procedure body, and a WHEN OTHERS handler that ROLLBACKs and re-raises so the caller sees the failure.</w:t>
      </w:r>
    </w:p>
    <w:p>
      <w:pPr>
        <w:spacing w:after="160" w:line="320"/>
        <w:jc w:val="both"/>
      </w:pPr>
      <w:r>
        <w:rPr>
          <w:rFonts w:ascii="Times New Roman" w:cs="Times New Roman" w:eastAsia="Times New Roman" w:hAnsi="Times New Roman"/>
          <w:b/>
          <w:bCs/>
          <w:sz w:val="24"/>
          <w:szCs w:val="24"/>
        </w:rPr>
        <w:t xml:space="preserve">issue_unit — </w:t>
      </w:r>
      <w:r>
        <w:rPr>
          <w:rFonts w:ascii="Times New Roman" w:cs="Times New Roman" w:eastAsia="Times New Roman" w:hAnsi="Times New Roman"/>
          <w:sz w:val="24"/>
          <w:szCs w:val="24"/>
        </w:rPr>
        <w:t xml:space="preserve">the central transaction of the project. The procedure body is reproduced in full below because it is the single most important piece of code in the system.</w:t>
      </w:r>
    </w:p>
    <w:p>
      <w:pPr>
        <w:pBdr>
          <w:top w:val="single" w:color="CCCCCC" w:sz="4"/>
        </w:pBdr>
        <w:shd w:fill="F4F4F4" w:color="auto" w:val="clear"/>
        <w:spacing w:after="0" w:line="260"/>
      </w:pPr>
      <w:r>
        <w:rPr>
          <w:rFonts w:ascii="Consolas" w:cs="Consolas" w:eastAsia="Consolas" w:hAnsi="Consolas"/>
          <w:sz w:val="20"/>
          <w:szCs w:val="20"/>
        </w:rPr>
        <w:t xml:space="preserve">CREATE OR REPLACE PROCEDURE issue_unit(</w:t>
      </w:r>
    </w:p>
    <w:p>
      <w:pPr>
        <w:shd w:fill="F4F4F4" w:color="auto" w:val="clear"/>
        <w:spacing w:after="0" w:line="260"/>
      </w:pPr>
      <w:r>
        <w:rPr>
          <w:rFonts w:ascii="Consolas" w:cs="Consolas" w:eastAsia="Consolas" w:hAnsi="Consolas"/>
          <w:sz w:val="20"/>
          <w:szCs w:val="20"/>
        </w:rPr>
        <w:t xml:space="preserve">    p_request_id IN NUMBER,</w:t>
      </w:r>
    </w:p>
    <w:p>
      <w:pPr>
        <w:shd w:fill="F4F4F4" w:color="auto" w:val="clear"/>
        <w:spacing w:after="0" w:line="260"/>
      </w:pPr>
      <w:r>
        <w:rPr>
          <w:rFonts w:ascii="Consolas" w:cs="Consolas" w:eastAsia="Consolas" w:hAnsi="Consolas"/>
          <w:sz w:val="20"/>
          <w:szCs w:val="20"/>
        </w:rPr>
        <w:t xml:space="preserve">    p_unit_id    IN NUMBER,</w:t>
      </w:r>
    </w:p>
    <w:p>
      <w:pPr>
        <w:shd w:fill="F4F4F4" w:color="auto" w:val="clear"/>
        <w:spacing w:after="0" w:line="260"/>
      </w:pPr>
      <w:r>
        <w:rPr>
          <w:rFonts w:ascii="Consolas" w:cs="Consolas" w:eastAsia="Consolas" w:hAnsi="Consolas"/>
          <w:sz w:val="20"/>
          <w:szCs w:val="20"/>
        </w:rPr>
        <w:t xml:space="preserve">    p_staff_id   IN NUMBER</w:t>
      </w:r>
    </w:p>
    <w:p>
      <w:pPr>
        <w:shd w:fill="F4F4F4" w:color="auto" w:val="clear"/>
        <w:spacing w:after="0" w:line="260"/>
      </w:pPr>
      <w:r>
        <w:rPr>
          <w:rFonts w:ascii="Consolas" w:cs="Consolas" w:eastAsia="Consolas" w:hAnsi="Consolas"/>
          <w:sz w:val="20"/>
          <w:szCs w:val="20"/>
        </w:rPr>
        <w:t xml:space="preserve">) IS</w:t>
      </w:r>
    </w:p>
    <w:p>
      <w:pPr>
        <w:shd w:fill="F4F4F4" w:color="auto" w:val="clear"/>
        <w:spacing w:after="0" w:line="260"/>
      </w:pPr>
      <w:r>
        <w:rPr>
          <w:rFonts w:ascii="Consolas" w:cs="Consolas" w:eastAsia="Consolas" w:hAnsi="Consolas"/>
          <w:sz w:val="20"/>
          <w:szCs w:val="20"/>
        </w:rPr>
        <w:t xml:space="preserve">    v_unit_status     VARCHAR2(15);</w:t>
      </w:r>
    </w:p>
    <w:p>
      <w:pPr>
        <w:shd w:fill="F4F4F4" w:color="auto" w:val="clear"/>
        <w:spacing w:after="0" w:line="260"/>
      </w:pPr>
      <w:r>
        <w:rPr>
          <w:rFonts w:ascii="Consolas" w:cs="Consolas" w:eastAsia="Consolas" w:hAnsi="Consolas"/>
          <w:sz w:val="20"/>
          <w:szCs w:val="20"/>
        </w:rPr>
        <w:t xml:space="preserve">    v_recipient_bg    VARCHAR2(3);</w:t>
      </w:r>
    </w:p>
    <w:p>
      <w:pPr>
        <w:shd w:fill="F4F4F4" w:color="auto" w:val="clear"/>
        <w:spacing w:after="0" w:line="260"/>
      </w:pPr>
      <w:r>
        <w:rPr>
          <w:rFonts w:ascii="Consolas" w:cs="Consolas" w:eastAsia="Consolas" w:hAnsi="Consolas"/>
          <w:sz w:val="20"/>
          <w:szCs w:val="20"/>
        </w:rPr>
        <w:t xml:space="preserve">    v_donor_bg        VARCHAR2(3);</w:t>
      </w:r>
    </w:p>
    <w:p>
      <w:pPr>
        <w:shd w:fill="F4F4F4" w:color="auto" w:val="clear"/>
        <w:spacing w:after="0" w:line="260"/>
      </w:pPr>
      <w:r>
        <w:rPr>
          <w:rFonts w:ascii="Consolas" w:cs="Consolas" w:eastAsia="Consolas" w:hAnsi="Consolas"/>
          <w:sz w:val="20"/>
          <w:szCs w:val="20"/>
        </w:rPr>
        <w:t xml:space="preserve">    v_compatible_list VARCHAR2(500);</w:t>
      </w:r>
    </w:p>
    <w:p>
      <w:pPr>
        <w:shd w:fill="F4F4F4" w:color="auto" w:val="clear"/>
        <w:spacing w:after="0" w:line="260"/>
      </w:pPr>
      <w:r>
        <w:rPr>
          <w:rFonts w:ascii="Consolas" w:cs="Consolas" w:eastAsia="Consolas" w:hAnsi="Consolas"/>
          <w:sz w:val="20"/>
          <w:szCs w:val="20"/>
        </w:rPr>
        <w:t xml:space="preserve">BEGIN</w:t>
      </w:r>
    </w:p>
    <w:p>
      <w:pPr>
        <w:shd w:fill="F4F4F4" w:color="auto" w:val="clear"/>
        <w:spacing w:after="0" w:line="260"/>
      </w:pPr>
      <w:r>
        <w:rPr>
          <w:rFonts w:ascii="Consolas" w:cs="Consolas" w:eastAsia="Consolas" w:hAnsi="Consolas"/>
          <w:sz w:val="20"/>
          <w:szCs w:val="20"/>
        </w:rPr>
        <w:t xml:space="preserve">    -- 1. Acquire row-level lock — this is the concurrency-safety line</w:t>
      </w:r>
    </w:p>
    <w:p>
      <w:pPr>
        <w:shd w:fill="F4F4F4" w:color="auto" w:val="clear"/>
        <w:spacing w:after="0" w:line="260"/>
      </w:pPr>
      <w:r>
        <w:rPr>
          <w:rFonts w:ascii="Consolas" w:cs="Consolas" w:eastAsia="Consolas" w:hAnsi="Consolas"/>
          <w:sz w:val="20"/>
          <w:szCs w:val="20"/>
        </w:rPr>
        <w:t xml:space="preserve">    BEGIN</w:t>
      </w:r>
    </w:p>
    <w:p>
      <w:pPr>
        <w:shd w:fill="F4F4F4" w:color="auto" w:val="clear"/>
        <w:spacing w:after="0" w:line="260"/>
      </w:pPr>
      <w:r>
        <w:rPr>
          <w:rFonts w:ascii="Consolas" w:cs="Consolas" w:eastAsia="Consolas" w:hAnsi="Consolas"/>
          <w:sz w:val="20"/>
          <w:szCs w:val="20"/>
        </w:rPr>
        <w:t xml:space="preserve">        SELECT status INTO v_unit_status</w:t>
      </w:r>
    </w:p>
    <w:p>
      <w:pPr>
        <w:shd w:fill="F4F4F4" w:color="auto" w:val="clear"/>
        <w:spacing w:after="0" w:line="260"/>
      </w:pPr>
      <w:r>
        <w:rPr>
          <w:rFonts w:ascii="Consolas" w:cs="Consolas" w:eastAsia="Consolas" w:hAnsi="Consolas"/>
          <w:sz w:val="20"/>
          <w:szCs w:val="20"/>
        </w:rPr>
        <w:t xml:space="preserve">        FROM blood_unit</w:t>
      </w:r>
    </w:p>
    <w:p>
      <w:pPr>
        <w:shd w:fill="F4F4F4" w:color="auto" w:val="clear"/>
        <w:spacing w:after="0" w:line="260"/>
      </w:pPr>
      <w:r>
        <w:rPr>
          <w:rFonts w:ascii="Consolas" w:cs="Consolas" w:eastAsia="Consolas" w:hAnsi="Consolas"/>
          <w:sz w:val="20"/>
          <w:szCs w:val="20"/>
        </w:rPr>
        <w:t xml:space="preserve">        WHERE unit_id = p_unit_id</w:t>
      </w:r>
    </w:p>
    <w:p>
      <w:pPr>
        <w:shd w:fill="F4F4F4" w:color="auto" w:val="clear"/>
        <w:spacing w:after="0" w:line="260"/>
      </w:pPr>
      <w:r>
        <w:rPr>
          <w:rFonts w:ascii="Consolas" w:cs="Consolas" w:eastAsia="Consolas" w:hAnsi="Consolas"/>
          <w:sz w:val="20"/>
          <w:szCs w:val="20"/>
        </w:rPr>
        <w:t xml:space="preserve">        FOR UPDATE NOWAIT;</w:t>
      </w:r>
    </w:p>
    <w:p>
      <w:pPr>
        <w:shd w:fill="F4F4F4" w:color="auto" w:val="clear"/>
        <w:spacing w:after="0" w:line="260"/>
      </w:pPr>
      <w:r>
        <w:rPr>
          <w:rFonts w:ascii="Consolas" w:cs="Consolas" w:eastAsia="Consolas" w:hAnsi="Consolas"/>
          <w:sz w:val="20"/>
          <w:szCs w:val="20"/>
        </w:rPr>
        <w:t xml:space="preserve">    EXCEPTION</w:t>
      </w:r>
    </w:p>
    <w:p>
      <w:pPr>
        <w:shd w:fill="F4F4F4" w:color="auto" w:val="clear"/>
        <w:spacing w:after="0" w:line="260"/>
      </w:pPr>
      <w:r>
        <w:rPr>
          <w:rFonts w:ascii="Consolas" w:cs="Consolas" w:eastAsia="Consolas" w:hAnsi="Consolas"/>
          <w:sz w:val="20"/>
          <w:szCs w:val="20"/>
        </w:rPr>
        <w:t xml:space="preserve">        WHEN OTHERS THEN</w:t>
      </w:r>
    </w:p>
    <w:p>
      <w:pPr>
        <w:shd w:fill="F4F4F4" w:color="auto" w:val="clear"/>
        <w:spacing w:after="0" w:line="260"/>
      </w:pPr>
      <w:r>
        <w:rPr>
          <w:rFonts w:ascii="Consolas" w:cs="Consolas" w:eastAsia="Consolas" w:hAnsi="Consolas"/>
          <w:sz w:val="20"/>
          <w:szCs w:val="20"/>
        </w:rPr>
        <w:t xml:space="preserve">            RAISE_APPLICATION_ERROR(-20010,</w:t>
      </w:r>
    </w:p>
    <w:p>
      <w:pPr>
        <w:shd w:fill="F4F4F4" w:color="auto" w:val="clear"/>
        <w:spacing w:after="0" w:line="260"/>
      </w:pPr>
      <w:r>
        <w:rPr>
          <w:rFonts w:ascii="Consolas" w:cs="Consolas" w:eastAsia="Consolas" w:hAnsi="Consolas"/>
          <w:sz w:val="20"/>
          <w:szCs w:val="20"/>
        </w:rPr>
        <w:t xml:space="preserve">                'Unit is locked or unavailable for issuance');</w:t>
      </w:r>
    </w:p>
    <w:p>
      <w:pPr>
        <w:shd w:fill="F4F4F4" w:color="auto" w:val="clear"/>
        <w:spacing w:after="0" w:line="260"/>
      </w:pPr>
      <w:r>
        <w:rPr>
          <w:rFonts w:ascii="Consolas" w:cs="Consolas" w:eastAsia="Consolas" w:hAnsi="Consolas"/>
          <w:sz w:val="20"/>
          <w:szCs w:val="20"/>
        </w:rPr>
        <w:t xml:space="preserve">    END;</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-- 2. Status must be AVAILABLE</w:t>
      </w:r>
    </w:p>
    <w:p>
      <w:pPr>
        <w:shd w:fill="F4F4F4" w:color="auto" w:val="clear"/>
        <w:spacing w:after="0" w:line="260"/>
      </w:pPr>
      <w:r>
        <w:rPr>
          <w:rFonts w:ascii="Consolas" w:cs="Consolas" w:eastAsia="Consolas" w:hAnsi="Consolas"/>
          <w:sz w:val="20"/>
          <w:szCs w:val="20"/>
        </w:rPr>
        <w:t xml:space="preserve">    IF v_unit_status != 'AVAILABLE' THEN</w:t>
      </w:r>
    </w:p>
    <w:p>
      <w:pPr>
        <w:shd w:fill="F4F4F4" w:color="auto" w:val="clear"/>
        <w:spacing w:after="0" w:line="260"/>
      </w:pPr>
      <w:r>
        <w:rPr>
          <w:rFonts w:ascii="Consolas" w:cs="Consolas" w:eastAsia="Consolas" w:hAnsi="Consolas"/>
          <w:sz w:val="20"/>
          <w:szCs w:val="20"/>
        </w:rPr>
        <w:t xml:space="preserve">        RAISE_APPLICATION_ERROR(-20011,</w:t>
      </w:r>
    </w:p>
    <w:p>
      <w:pPr>
        <w:shd w:fill="F4F4F4" w:color="auto" w:val="clear"/>
        <w:spacing w:after="0" w:line="260"/>
      </w:pPr>
      <w:r>
        <w:rPr>
          <w:rFonts w:ascii="Consolas" w:cs="Consolas" w:eastAsia="Consolas" w:hAnsi="Consolas"/>
          <w:sz w:val="20"/>
          <w:szCs w:val="20"/>
        </w:rPr>
        <w:t xml:space="preserve">            'Unit status is ' || v_unit_status</w:t>
      </w:r>
    </w:p>
    <w:p>
      <w:pPr>
        <w:shd w:fill="F4F4F4" w:color="auto" w:val="clear"/>
        <w:spacing w:after="0" w:line="260"/>
      </w:pPr>
      <w:r>
        <w:rPr>
          <w:rFonts w:ascii="Consolas" w:cs="Consolas" w:eastAsia="Consolas" w:hAnsi="Consolas"/>
          <w:sz w:val="20"/>
          <w:szCs w:val="20"/>
        </w:rPr>
        <w:t xml:space="preserve">            || '; only AVAILABLE units can be issued');</w:t>
      </w:r>
    </w:p>
    <w:p>
      <w:pPr>
        <w:shd w:fill="F4F4F4" w:color="auto" w:val="clear"/>
        <w:spacing w:after="0" w:line="260"/>
      </w:pPr>
      <w:r>
        <w:rPr>
          <w:rFonts w:ascii="Consolas" w:cs="Consolas" w:eastAsia="Consolas" w:hAnsi="Consolas"/>
          <w:sz w:val="20"/>
          <w:szCs w:val="20"/>
        </w:rPr>
        <w:t xml:space="preserve">    END IF;</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-- 3. Fetch recipient blood group from request</w:t>
      </w:r>
    </w:p>
    <w:p>
      <w:pPr>
        <w:shd w:fill="F4F4F4" w:color="auto" w:val="clear"/>
        <w:spacing w:after="0" w:line="260"/>
      </w:pPr>
      <w:r>
        <w:rPr>
          <w:rFonts w:ascii="Consolas" w:cs="Consolas" w:eastAsia="Consolas" w:hAnsi="Consolas"/>
          <w:sz w:val="20"/>
          <w:szCs w:val="20"/>
        </w:rPr>
        <w:t xml:space="preserve">    SELECT rec.blood_group INTO v_recipient_bg</w:t>
      </w:r>
    </w:p>
    <w:p>
      <w:pPr>
        <w:shd w:fill="F4F4F4" w:color="auto" w:val="clear"/>
        <w:spacing w:after="0" w:line="260"/>
      </w:pPr>
      <w:r>
        <w:rPr>
          <w:rFonts w:ascii="Consolas" w:cs="Consolas" w:eastAsia="Consolas" w:hAnsi="Consolas"/>
          <w:sz w:val="20"/>
          <w:szCs w:val="20"/>
        </w:rPr>
        <w:t xml:space="preserve">    FROM recipient rec</w:t>
      </w:r>
    </w:p>
    <w:p>
      <w:pPr>
        <w:shd w:fill="F4F4F4" w:color="auto" w:val="clear"/>
        <w:spacing w:after="0" w:line="260"/>
      </w:pPr>
      <w:r>
        <w:rPr>
          <w:rFonts w:ascii="Consolas" w:cs="Consolas" w:eastAsia="Consolas" w:hAnsi="Consolas"/>
          <w:sz w:val="20"/>
          <w:szCs w:val="20"/>
        </w:rPr>
        <w:t xml:space="preserve">    WHERE rec.recipient_id = (</w:t>
      </w:r>
    </w:p>
    <w:p>
      <w:pPr>
        <w:shd w:fill="F4F4F4" w:color="auto" w:val="clear"/>
        <w:spacing w:after="0" w:line="260"/>
      </w:pPr>
      <w:r>
        <w:rPr>
          <w:rFonts w:ascii="Consolas" w:cs="Consolas" w:eastAsia="Consolas" w:hAnsi="Consolas"/>
          <w:sz w:val="20"/>
          <w:szCs w:val="20"/>
        </w:rPr>
        <w:t xml:space="preserve">        SELECT recipient_id FROM request</w:t>
      </w:r>
    </w:p>
    <w:p>
      <w:pPr>
        <w:shd w:fill="F4F4F4" w:color="auto" w:val="clear"/>
        <w:spacing w:after="0" w:line="260"/>
      </w:pPr>
      <w:r>
        <w:rPr>
          <w:rFonts w:ascii="Consolas" w:cs="Consolas" w:eastAsia="Consolas" w:hAnsi="Consolas"/>
          <w:sz w:val="20"/>
          <w:szCs w:val="20"/>
        </w:rPr>
        <w:t xml:space="preserve">        WHERE request_id = p_request_id);</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-- 4. Fetch donor blood group from unit</w:t>
      </w:r>
    </w:p>
    <w:p>
      <w:pPr>
        <w:shd w:fill="F4F4F4" w:color="auto" w:val="clear"/>
        <w:spacing w:after="0" w:line="260"/>
      </w:pPr>
      <w:r>
        <w:rPr>
          <w:rFonts w:ascii="Consolas" w:cs="Consolas" w:eastAsia="Consolas" w:hAnsi="Consolas"/>
          <w:sz w:val="20"/>
          <w:szCs w:val="20"/>
        </w:rPr>
        <w:t xml:space="preserve">    SELECT d.blood_group INTO v_donor_bg</w:t>
      </w:r>
    </w:p>
    <w:p>
      <w:pPr>
        <w:shd w:fill="F4F4F4" w:color="auto" w:val="clear"/>
        <w:spacing w:after="0" w:line="260"/>
      </w:pPr>
      <w:r>
        <w:rPr>
          <w:rFonts w:ascii="Consolas" w:cs="Consolas" w:eastAsia="Consolas" w:hAnsi="Consolas"/>
          <w:sz w:val="20"/>
          <w:szCs w:val="20"/>
        </w:rPr>
        <w:t xml:space="preserve">    FROM donor d</w:t>
      </w:r>
    </w:p>
    <w:p>
      <w:pPr>
        <w:shd w:fill="F4F4F4" w:color="auto" w:val="clear"/>
        <w:spacing w:after="0" w:line="260"/>
      </w:pPr>
      <w:r>
        <w:rPr>
          <w:rFonts w:ascii="Consolas" w:cs="Consolas" w:eastAsia="Consolas" w:hAnsi="Consolas"/>
          <w:sz w:val="20"/>
          <w:szCs w:val="20"/>
        </w:rPr>
        <w:t xml:space="preserve">    WHERE d.donor_id = (</w:t>
      </w:r>
    </w:p>
    <w:p>
      <w:pPr>
        <w:shd w:fill="F4F4F4" w:color="auto" w:val="clear"/>
        <w:spacing w:after="0" w:line="260"/>
      </w:pPr>
      <w:r>
        <w:rPr>
          <w:rFonts w:ascii="Consolas" w:cs="Consolas" w:eastAsia="Consolas" w:hAnsi="Consolas"/>
          <w:sz w:val="20"/>
          <w:szCs w:val="20"/>
        </w:rPr>
        <w:t xml:space="preserve">        SELECT don.donor_id FROM donation don</w:t>
      </w:r>
    </w:p>
    <w:p>
      <w:pPr>
        <w:shd w:fill="F4F4F4" w:color="auto" w:val="clear"/>
        <w:spacing w:after="0" w:line="260"/>
      </w:pPr>
      <w:r>
        <w:rPr>
          <w:rFonts w:ascii="Consolas" w:cs="Consolas" w:eastAsia="Consolas" w:hAnsi="Consolas"/>
          <w:sz w:val="20"/>
          <w:szCs w:val="20"/>
        </w:rPr>
        <w:t xml:space="preserve">        WHERE don.donation_id = (</w:t>
      </w:r>
    </w:p>
    <w:p>
      <w:pPr>
        <w:shd w:fill="F4F4F4" w:color="auto" w:val="clear"/>
        <w:spacing w:after="0" w:line="260"/>
      </w:pPr>
      <w:r>
        <w:rPr>
          <w:rFonts w:ascii="Consolas" w:cs="Consolas" w:eastAsia="Consolas" w:hAnsi="Consolas"/>
          <w:sz w:val="20"/>
          <w:szCs w:val="20"/>
        </w:rPr>
        <w:t xml:space="preserve">            SELECT bu.donation_id FROM blood_unit bu</w:t>
      </w:r>
    </w:p>
    <w:p>
      <w:pPr>
        <w:shd w:fill="F4F4F4" w:color="auto" w:val="clear"/>
        <w:spacing w:after="0" w:line="260"/>
      </w:pPr>
      <w:r>
        <w:rPr>
          <w:rFonts w:ascii="Consolas" w:cs="Consolas" w:eastAsia="Consolas" w:hAnsi="Consolas"/>
          <w:sz w:val="20"/>
          <w:szCs w:val="20"/>
        </w:rPr>
        <w:t xml:space="preserve">            WHERE bu.unit_id = p_unit_id));</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-- 5. Compatibility check via the function</w:t>
      </w:r>
    </w:p>
    <w:p>
      <w:pPr>
        <w:shd w:fill="F4F4F4" w:color="auto" w:val="clear"/>
        <w:spacing w:after="0" w:line="260"/>
      </w:pPr>
      <w:r>
        <w:rPr>
          <w:rFonts w:ascii="Consolas" w:cs="Consolas" w:eastAsia="Consolas" w:hAnsi="Consolas"/>
          <w:sz w:val="20"/>
          <w:szCs w:val="20"/>
        </w:rPr>
        <w:t xml:space="preserve">    v_compatible_list := get_compatible_groups(v_recipient_bg);</w:t>
      </w:r>
    </w:p>
    <w:p>
      <w:pPr>
        <w:shd w:fill="F4F4F4" w:color="auto" w:val="clear"/>
        <w:spacing w:after="0" w:line="260"/>
      </w:pPr>
      <w:r>
        <w:rPr>
          <w:rFonts w:ascii="Consolas" w:cs="Consolas" w:eastAsia="Consolas" w:hAnsi="Consolas"/>
          <w:sz w:val="20"/>
          <w:szCs w:val="20"/>
        </w:rPr>
        <w:t xml:space="preserve">    IF INSTR(v_compatible_list, v_donor_bg) = 0 THEN</w:t>
      </w:r>
    </w:p>
    <w:p>
      <w:pPr>
        <w:shd w:fill="F4F4F4" w:color="auto" w:val="clear"/>
        <w:spacing w:after="0" w:line="260"/>
      </w:pPr>
      <w:r>
        <w:rPr>
          <w:rFonts w:ascii="Consolas" w:cs="Consolas" w:eastAsia="Consolas" w:hAnsi="Consolas"/>
          <w:sz w:val="20"/>
          <w:szCs w:val="20"/>
        </w:rPr>
        <w:t xml:space="preserve">        RAISE_APPLICATION_ERROR(-20012,</w:t>
      </w:r>
    </w:p>
    <w:p>
      <w:pPr>
        <w:shd w:fill="F4F4F4" w:color="auto" w:val="clear"/>
        <w:spacing w:after="0" w:line="260"/>
      </w:pPr>
      <w:r>
        <w:rPr>
          <w:rFonts w:ascii="Consolas" w:cs="Consolas" w:eastAsia="Consolas" w:hAnsi="Consolas"/>
          <w:sz w:val="20"/>
          <w:szCs w:val="20"/>
        </w:rPr>
        <w:t xml:space="preserve">            'Group mismatch: recipient ' || v_recipient_bg</w:t>
      </w:r>
    </w:p>
    <w:p>
      <w:pPr>
        <w:shd w:fill="F4F4F4" w:color="auto" w:val="clear"/>
        <w:spacing w:after="0" w:line="260"/>
      </w:pPr>
      <w:r>
        <w:rPr>
          <w:rFonts w:ascii="Consolas" w:cs="Consolas" w:eastAsia="Consolas" w:hAnsi="Consolas"/>
          <w:sz w:val="20"/>
          <w:szCs w:val="20"/>
        </w:rPr>
        <w:t xml:space="preserve">            || ' cannot receive from donor ' || v_donor_bg);</w:t>
      </w:r>
    </w:p>
    <w:p>
      <w:pPr>
        <w:shd w:fill="F4F4F4" w:color="auto" w:val="clear"/>
        <w:spacing w:after="0" w:line="260"/>
      </w:pPr>
      <w:r>
        <w:rPr>
          <w:rFonts w:ascii="Consolas" w:cs="Consolas" w:eastAsia="Consolas" w:hAnsi="Consolas"/>
          <w:sz w:val="20"/>
          <w:szCs w:val="20"/>
        </w:rPr>
        <w:t xml:space="preserve">    END IF;</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-- 6+7. Atomic insert + status update</w:t>
      </w:r>
    </w:p>
    <w:p>
      <w:pPr>
        <w:shd w:fill="F4F4F4" w:color="auto" w:val="clear"/>
        <w:spacing w:after="0" w:line="260"/>
      </w:pPr>
      <w:r>
        <w:rPr>
          <w:rFonts w:ascii="Consolas" w:cs="Consolas" w:eastAsia="Consolas" w:hAnsi="Consolas"/>
          <w:sz w:val="20"/>
          <w:szCs w:val="20"/>
        </w:rPr>
        <w:t xml:space="preserve">    INSERT INTO issuance (issuance_id, request_id, unit_id,</w:t>
      </w:r>
    </w:p>
    <w:p>
      <w:pPr>
        <w:shd w:fill="F4F4F4" w:color="auto" w:val="clear"/>
        <w:spacing w:after="0" w:line="260"/>
      </w:pPr>
      <w:r>
        <w:rPr>
          <w:rFonts w:ascii="Consolas" w:cs="Consolas" w:eastAsia="Consolas" w:hAnsi="Consolas"/>
          <w:sz w:val="20"/>
          <w:szCs w:val="20"/>
        </w:rPr>
        <w:t xml:space="preserve">                          issued_on, issued_by)</w:t>
      </w:r>
    </w:p>
    <w:p>
      <w:pPr>
        <w:shd w:fill="F4F4F4" w:color="auto" w:val="clear"/>
        <w:spacing w:after="0" w:line="260"/>
      </w:pPr>
      <w:r>
        <w:rPr>
          <w:rFonts w:ascii="Consolas" w:cs="Consolas" w:eastAsia="Consolas" w:hAnsi="Consolas"/>
          <w:sz w:val="20"/>
          <w:szCs w:val="20"/>
        </w:rPr>
        <w:t xml:space="preserve">    VALUES (issuance_seq.NEXTVAL, p_request_id, p_unit_id,</w:t>
      </w:r>
    </w:p>
    <w:p>
      <w:pPr>
        <w:shd w:fill="F4F4F4" w:color="auto" w:val="clear"/>
        <w:spacing w:after="0" w:line="260"/>
      </w:pPr>
      <w:r>
        <w:rPr>
          <w:rFonts w:ascii="Consolas" w:cs="Consolas" w:eastAsia="Consolas" w:hAnsi="Consolas"/>
          <w:sz w:val="20"/>
          <w:szCs w:val="20"/>
        </w:rPr>
        <w:t xml:space="preserve">            SYSDATE, p_staff_id);</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UPDATE blood_unit SET status = 'ISSUED'</w:t>
      </w:r>
    </w:p>
    <w:p>
      <w:pPr>
        <w:shd w:fill="F4F4F4" w:color="auto" w:val="clear"/>
        <w:spacing w:after="0" w:line="260"/>
      </w:pPr>
      <w:r>
        <w:rPr>
          <w:rFonts w:ascii="Consolas" w:cs="Consolas" w:eastAsia="Consolas" w:hAnsi="Consolas"/>
          <w:sz w:val="20"/>
          <w:szCs w:val="20"/>
        </w:rPr>
        <w:t xml:space="preserve">    WHERE unit_id = p_unit_id;</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-- 8. Audit (the trigger trg_audit_unit also fires on the UPDATE)</w:t>
      </w:r>
    </w:p>
    <w:p>
      <w:pPr>
        <w:shd w:fill="F4F4F4" w:color="auto" w:val="clear"/>
        <w:spacing w:after="0" w:line="260"/>
      </w:pPr>
      <w:r>
        <w:rPr>
          <w:rFonts w:ascii="Consolas" w:cs="Consolas" w:eastAsia="Consolas" w:hAnsi="Consolas"/>
          <w:sz w:val="20"/>
          <w:szCs w:val="20"/>
        </w:rPr>
        <w:t xml:space="preserve">    INSERT INTO audit_log (audit_id, table_name, op_type,</w:t>
      </w:r>
    </w:p>
    <w:p>
      <w:pPr>
        <w:shd w:fill="F4F4F4" w:color="auto" w:val="clear"/>
        <w:spacing w:after="0" w:line="260"/>
      </w:pPr>
      <w:r>
        <w:rPr>
          <w:rFonts w:ascii="Consolas" w:cs="Consolas" w:eastAsia="Consolas" w:hAnsi="Consolas"/>
          <w:sz w:val="20"/>
          <w:szCs w:val="20"/>
        </w:rPr>
        <w:t xml:space="preserve">                           record_pk, old_value, new_value, changed_by)</w:t>
      </w:r>
    </w:p>
    <w:p>
      <w:pPr>
        <w:shd w:fill="F4F4F4" w:color="auto" w:val="clear"/>
        <w:spacing w:after="0" w:line="260"/>
      </w:pPr>
      <w:r>
        <w:rPr>
          <w:rFonts w:ascii="Consolas" w:cs="Consolas" w:eastAsia="Consolas" w:hAnsi="Consolas"/>
          <w:sz w:val="20"/>
          <w:szCs w:val="20"/>
        </w:rPr>
        <w:t xml:space="preserve">    VALUES (audit_seq.NEXTVAL, 'blood_unit', 'UPDATE',</w:t>
      </w:r>
    </w:p>
    <w:p>
      <w:pPr>
        <w:shd w:fill="F4F4F4" w:color="auto" w:val="clear"/>
        <w:spacing w:after="0" w:line="260"/>
      </w:pPr>
      <w:r>
        <w:rPr>
          <w:rFonts w:ascii="Consolas" w:cs="Consolas" w:eastAsia="Consolas" w:hAnsi="Consolas"/>
          <w:sz w:val="20"/>
          <w:szCs w:val="20"/>
        </w:rPr>
        <w:t xml:space="preserve">            p_unit_id, 'AVAILABLE', 'ISSUED', USER);</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    -- 9. Commit everything atomically</w:t>
      </w:r>
    </w:p>
    <w:p>
      <w:pPr>
        <w:shd w:fill="F4F4F4" w:color="auto" w:val="clear"/>
        <w:spacing w:after="0" w:line="260"/>
      </w:pPr>
      <w:r>
        <w:rPr>
          <w:rFonts w:ascii="Consolas" w:cs="Consolas" w:eastAsia="Consolas" w:hAnsi="Consolas"/>
          <w:sz w:val="20"/>
          <w:szCs w:val="20"/>
        </w:rPr>
        <w:t xml:space="preserve">    COMMIT;</w:t>
      </w:r>
    </w:p>
    <w:p>
      <w:pPr>
        <w:shd w:fill="F4F4F4" w:color="auto" w:val="clear"/>
        <w:spacing w:after="0" w:line="260"/>
      </w:pPr>
      <w:r>
        <w:rPr>
          <w:rFonts w:ascii="Consolas" w:cs="Consolas" w:eastAsia="Consolas" w:hAnsi="Consolas"/>
          <w:sz w:val="20"/>
          <w:szCs w:val="20"/>
        </w:rPr>
        <w:t xml:space="preserve"> </w:t>
      </w:r>
    </w:p>
    <w:p>
      <w:pPr>
        <w:shd w:fill="F4F4F4" w:color="auto" w:val="clear"/>
        <w:spacing w:after="0" w:line="260"/>
      </w:pPr>
      <w:r>
        <w:rPr>
          <w:rFonts w:ascii="Consolas" w:cs="Consolas" w:eastAsia="Consolas" w:hAnsi="Consolas"/>
          <w:sz w:val="20"/>
          <w:szCs w:val="20"/>
        </w:rPr>
        <w:t xml:space="preserve">EXCEPTION</w:t>
      </w:r>
    </w:p>
    <w:p>
      <w:pPr>
        <w:shd w:fill="F4F4F4" w:color="auto" w:val="clear"/>
        <w:spacing w:after="0" w:line="260"/>
      </w:pPr>
      <w:r>
        <w:rPr>
          <w:rFonts w:ascii="Consolas" w:cs="Consolas" w:eastAsia="Consolas" w:hAnsi="Consolas"/>
          <w:sz w:val="20"/>
          <w:szCs w:val="20"/>
        </w:rPr>
        <w:t xml:space="preserve">    WHEN OTHERS THEN</w:t>
      </w:r>
    </w:p>
    <w:p>
      <w:pPr>
        <w:shd w:fill="F4F4F4" w:color="auto" w:val="clear"/>
        <w:spacing w:after="0" w:line="260"/>
      </w:pPr>
      <w:r>
        <w:rPr>
          <w:rFonts w:ascii="Consolas" w:cs="Consolas" w:eastAsia="Consolas" w:hAnsi="Consolas"/>
          <w:sz w:val="20"/>
          <w:szCs w:val="20"/>
        </w:rPr>
        <w:t xml:space="preserve">        ROLLBACK;</w:t>
      </w:r>
    </w:p>
    <w:p>
      <w:pPr>
        <w:shd w:fill="F4F4F4" w:color="auto" w:val="clear"/>
        <w:spacing w:after="0" w:line="260"/>
      </w:pPr>
      <w:r>
        <w:rPr>
          <w:rFonts w:ascii="Consolas" w:cs="Consolas" w:eastAsia="Consolas" w:hAnsi="Consolas"/>
          <w:sz w:val="20"/>
          <w:szCs w:val="20"/>
        </w:rPr>
        <w:t xml:space="preserve">        RAISE;</w:t>
      </w:r>
    </w:p>
    <w:p>
      <w:pPr>
        <w:shd w:fill="F4F4F4" w:color="auto" w:val="clear"/>
        <w:spacing w:after="0" w:line="260"/>
      </w:pPr>
      <w:r>
        <w:rPr>
          <w:rFonts w:ascii="Consolas" w:cs="Consolas" w:eastAsia="Consolas" w:hAnsi="Consolas"/>
          <w:sz w:val="20"/>
          <w:szCs w:val="20"/>
        </w:rPr>
        <w:t xml:space="preserve">END issue_unit;</w:t>
      </w:r>
    </w:p>
    <w:p>
      <w:pPr>
        <w:pBdr>
          <w:bottom w:val="single" w:color="CCCCCC" w:sz="4"/>
        </w:pBdr>
        <w:shd w:fill="F4F4F4" w:color="auto" w:val="clear"/>
        <w:spacing w:after="0" w:line="260"/>
      </w:pPr>
      <w:r>
        <w:rPr>
          <w:rFonts w:ascii="Consolas" w:cs="Consolas" w:eastAsia="Consolas" w:hAnsi="Consolas"/>
          <w:sz w:val="20"/>
          <w:szCs w:val="20"/>
        </w:rPr>
        <w:t xml:space="preserve">/</w:t>
      </w:r>
    </w:p>
    <w:p>
      <w:pPr>
        <w:spacing w:after="160" w:line="320"/>
        <w:jc w:val="both"/>
      </w:pPr>
      <w:r>
        <w:rPr>
          <w:rFonts w:ascii="Times New Roman" w:cs="Times New Roman" w:eastAsia="Times New Roman" w:hAnsi="Times New Roman"/>
          <w:sz w:val="24"/>
          <w:szCs w:val="24"/>
        </w:rPr>
        <w:t xml:space="preserve">The first thing to read in this procedure is the FOR UPDATE NOWAIT on line 16. This is the only line in the entire system that prevents two concurrent sessions from issuing the same unit. If a second session reaches this line while the first session is still inside the procedure, Oracle raises ORA-00054 immediately (without waiting), the EXCEPTION block converts it to ORA-20010, and the second session's transaction is rolled back. Only one of the two sessions ever reaches the INSERT into issuance.</w:t>
      </w:r>
    </w:p>
    <w:p>
      <w:pPr>
        <w:spacing w:after="160" w:line="320"/>
        <w:jc w:val="both"/>
      </w:pPr>
      <w:r>
        <w:rPr>
          <w:rFonts w:ascii="Times New Roman" w:cs="Times New Roman" w:eastAsia="Times New Roman" w:hAnsi="Times New Roman"/>
          <w:sz w:val="24"/>
          <w:szCs w:val="24"/>
        </w:rPr>
        <w:t xml:space="preserve">Steps 6 and 7 — the INSERT into issuance and the UPDATE of blood_unit.status — are the atomic core. Either both succeed and the COMMIT on line 70 makes them visible, or any failure between them triggers the WHEN OTHERS handler which ROLLBACKs both. There is no path through the procedure that leaves the unit's status as ISSUED without a corresponding issuance row, and no path that creates an issuance row without flipping the unit's status. This is the property that the synopsis's claim about ACID atomicity rests on.</w:t>
      </w:r>
    </w:p>
    <w:p>
      <w:pPr>
        <w:pStyle w:val="Heading2"/>
        <w:spacing w:after="120" w:before="240"/>
      </w:pPr>
      <w:r>
        <w:rPr>
          <w:rFonts w:ascii="Times New Roman" w:cs="Times New Roman" w:eastAsia="Times New Roman" w:hAnsi="Times New Roman"/>
          <w:b/>
          <w:bCs/>
          <w:i/>
          <w:iCs/>
          <w:sz w:val="26"/>
          <w:szCs w:val="26"/>
        </w:rPr>
        <w:t xml:space="preserve">13.3  Triggers</w:t>
      </w:r>
    </w:p>
    <w:p>
      <w:pPr>
        <w:spacing w:after="160" w:line="320"/>
        <w:jc w:val="both"/>
      </w:pPr>
      <w:r>
        <w:rPr>
          <w:rFonts w:ascii="Times New Roman" w:cs="Times New Roman" w:eastAsia="Times New Roman" w:hAnsi="Times New Roman"/>
          <w:b/>
          <w:bCs/>
          <w:sz w:val="24"/>
          <w:szCs w:val="24"/>
        </w:rPr>
        <w:t xml:space="preserve">trg_donation_eligibility (BEFORE INSERT on donation) — </w:t>
      </w:r>
      <w:r>
        <w:rPr>
          <w:rFonts w:ascii="Times New Roman" w:cs="Times New Roman" w:eastAsia="Times New Roman" w:hAnsi="Times New Roman"/>
          <w:sz w:val="24"/>
          <w:szCs w:val="24"/>
        </w:rPr>
        <w:t xml:space="preserve">reads the donor's last_donation_date and raises ORA-20020 if the new donation falls within the 90-day deferral window. This is the same eligibility logic as the donor_eligible function, but enforced as a trigger so that no insert can ever bypass the rule.</w:t>
      </w:r>
    </w:p>
    <w:p>
      <w:pPr>
        <w:spacing w:after="160" w:line="320"/>
        <w:jc w:val="both"/>
      </w:pPr>
      <w:r>
        <w:rPr>
          <w:rFonts w:ascii="Times New Roman" w:cs="Times New Roman" w:eastAsia="Times New Roman" w:hAnsi="Times New Roman"/>
          <w:b/>
          <w:bCs/>
          <w:sz w:val="24"/>
          <w:szCs w:val="24"/>
        </w:rPr>
        <w:t xml:space="preserve">trg_unit_release (AFTER UPDATE on screening) — </w:t>
      </w:r>
      <w:r>
        <w:rPr>
          <w:rFonts w:ascii="Times New Roman" w:cs="Times New Roman" w:eastAsia="Times New Roman" w:hAnsi="Times New Roman"/>
          <w:sz w:val="24"/>
          <w:szCs w:val="24"/>
        </w:rPr>
        <w:t xml:space="preserve">if the updated screening row has all five tests NEGATIVE, the trigger updates the corresponding blood_unit row's status from QUARANTINE to AVAILABLE. The condition WHERE status = 'QUARANTINE' in the UPDATE is important: it prevents an already-issued or expired unit from being accidentally flipped back to AVAILABLE if a screening row is updated retroactively.</w:t>
      </w:r>
    </w:p>
    <w:p>
      <w:pPr>
        <w:spacing w:after="160" w:line="320"/>
        <w:jc w:val="both"/>
      </w:pPr>
      <w:r>
        <w:rPr>
          <w:rFonts w:ascii="Times New Roman" w:cs="Times New Roman" w:eastAsia="Times New Roman" w:hAnsi="Times New Roman"/>
          <w:b/>
          <w:bCs/>
          <w:sz w:val="24"/>
          <w:szCs w:val="24"/>
        </w:rPr>
        <w:t xml:space="preserve">trg_audit_donor, trg_audit_unit, trg_audit_issuance (AFTER row triggers on the three clinical tables) — </w:t>
      </w:r>
      <w:r>
        <w:rPr>
          <w:rFonts w:ascii="Times New Roman" w:cs="Times New Roman" w:eastAsia="Times New Roman" w:hAnsi="Times New Roman"/>
          <w:sz w:val="24"/>
          <w:szCs w:val="24"/>
        </w:rPr>
        <w:t xml:space="preserve">each fetches a sequence value into a local variable, determines INSERT vs UPDATE via the conditional predicates, and writes a row to audit_log with the operation type, the converted-to-VARCHAR2 record key, and the relevant before/after values. The WHEN OTHERS handlers in these triggers swallow any audit failure with NULL — the design rationale is that audit failures should never block the underlying clinical operation.</w:t>
      </w:r>
    </w:p>
    <w:p>
      <w:pPr>
        <w:pStyle w:val="Heading2"/>
        <w:spacing w:after="120" w:before="240"/>
      </w:pPr>
      <w:r>
        <w:rPr>
          <w:rFonts w:ascii="Times New Roman" w:cs="Times New Roman" w:eastAsia="Times New Roman" w:hAnsi="Times New Roman"/>
          <w:b/>
          <w:bCs/>
          <w:i/>
          <w:iCs/>
          <w:sz w:val="26"/>
          <w:szCs w:val="26"/>
        </w:rPr>
        <w:t xml:space="preserve">13.4  Bug log</w:t>
      </w:r>
    </w:p>
    <w:p>
      <w:pPr>
        <w:spacing w:after="160" w:line="320"/>
        <w:jc w:val="both"/>
      </w:pPr>
      <w:r>
        <w:rPr>
          <w:rFonts w:ascii="Times New Roman" w:cs="Times New Roman" w:eastAsia="Times New Roman" w:hAnsi="Times New Roman"/>
          <w:sz w:val="24"/>
          <w:szCs w:val="24"/>
        </w:rPr>
        <w:t xml:space="preserve">The two most instructive bugs encountered during PL/SQL development are documented here, partly because they are characteristic of the language and partly because they illustrate why naming and testing are non-negotiable.</w:t>
      </w:r>
    </w:p>
    <w:p>
      <w:pPr>
        <w:spacing w:after="160" w:line="320"/>
        <w:jc w:val="both"/>
      </w:pPr>
      <w:r>
        <w:rPr>
          <w:rFonts w:ascii="Times New Roman" w:cs="Times New Roman" w:eastAsia="Times New Roman" w:hAnsi="Times New Roman"/>
          <w:b/>
          <w:bCs/>
          <w:sz w:val="24"/>
          <w:szCs w:val="24"/>
        </w:rPr>
        <w:t xml:space="preserve">Bug 1 — Sequence in trigger INSERT VALUES. </w:t>
      </w:r>
      <w:r>
        <w:rPr>
          <w:rFonts w:ascii="Times New Roman" w:cs="Times New Roman" w:eastAsia="Times New Roman" w:hAnsi="Times New Roman"/>
          <w:sz w:val="24"/>
          <w:szCs w:val="24"/>
        </w:rPr>
        <w:t xml:space="preserve">The first version of trg_audit_unit attempted INSERT INTO audit_log VALUES (audit_seq.NEXTVAL, ...). The trigger compiled, but every subsequent INSERT or UPDATE on blood_unit failed with ORA-04098: trigger 'BBDMS.TRG_AUDIT_UNIT' is invalid and failed re-validation. Diagnosis via SELECT * FROM user_errors WHERE name = 'TRG_AUDIT_UNIT' showed PL/SQL: ORA-00984: column not allowed here at the offending line. The fix was to fetch the sequence value into a local variable first via SELECT audit_seq.NEXTVAL INTO v_audit_id FROM dual.</w:t>
      </w:r>
    </w:p>
    <w:p>
      <w:pPr>
        <w:spacing w:after="160" w:line="320"/>
        <w:jc w:val="both"/>
      </w:pPr>
      <w:r>
        <w:rPr>
          <w:rFonts w:ascii="Times New Roman" w:cs="Times New Roman" w:eastAsia="Times New Roman" w:hAnsi="Times New Roman"/>
          <w:b/>
          <w:bCs/>
          <w:sz w:val="24"/>
          <w:szCs w:val="24"/>
        </w:rPr>
        <w:t xml:space="preserve">Bug 2 — NUMBER vs VARCHAR2 in audit_log.record_pk. </w:t>
      </w:r>
      <w:r>
        <w:rPr>
          <w:rFonts w:ascii="Times New Roman" w:cs="Times New Roman" w:eastAsia="Times New Roman" w:hAnsi="Times New Roman"/>
          <w:sz w:val="24"/>
          <w:szCs w:val="24"/>
        </w:rPr>
        <w:t xml:space="preserve">The same trigger was inserting :NEW.unit_id (a NUMBER) directly into the record_pk column (VARCHAR2(50)). Oracle's implicit conversion would normally tolerate this in plain SQL, but inside the trigger the conversion failed silently in a way that produced the same ORA-04098. The fix was to wrap with TO_CHAR(:NEW.unit_id) explicitly, which we then applied prophylactically to the donor and issuance audit triggers. The general lesson: audit columns that hold the primary keys of multiple tables should be VARCHAR2, and the conversion should be explicit, not implicit.</w:t>
      </w:r>
    </w:p>
    <w:p>
      <w:r>
        <w:br w:type="page"/>
      </w:r>
    </w:p>
    <w:p>
      <w:pPr>
        <w:pStyle w:val="Heading1"/>
        <w:spacing w:after="200" w:before="400"/>
      </w:pPr>
      <w:r>
        <w:rPr>
          <w:rFonts w:ascii="Times New Roman" w:cs="Times New Roman" w:eastAsia="Times New Roman" w:hAnsi="Times New Roman"/>
          <w:b/>
          <w:bCs/>
          <w:sz w:val="28"/>
          <w:szCs w:val="28"/>
        </w:rPr>
        <w:t xml:space="preserve">14.  Transaction Management and Concurrency</w:t>
      </w:r>
    </w:p>
    <w:p>
      <w:pPr>
        <w:pStyle w:val="Heading2"/>
        <w:spacing w:after="120" w:before="240"/>
      </w:pPr>
      <w:r>
        <w:rPr>
          <w:rFonts w:ascii="Times New Roman" w:cs="Times New Roman" w:eastAsia="Times New Roman" w:hAnsi="Times New Roman"/>
          <w:b/>
          <w:bCs/>
          <w:i/>
          <w:iCs/>
          <w:sz w:val="26"/>
          <w:szCs w:val="26"/>
        </w:rPr>
        <w:t xml:space="preserve">14.1  Transaction control</w:t>
      </w:r>
    </w:p>
    <w:p>
      <w:pPr>
        <w:spacing w:after="160" w:line="320"/>
        <w:jc w:val="both"/>
      </w:pPr>
      <w:r>
        <w:rPr>
          <w:rFonts w:ascii="Times New Roman" w:cs="Times New Roman" w:eastAsia="Times New Roman" w:hAnsi="Times New Roman"/>
          <w:sz w:val="24"/>
          <w:szCs w:val="24"/>
        </w:rPr>
        <w:t xml:space="preserve">Every multi-statement operation is wrapped in a transaction. The issue_unit procedure illustrates the canonical pattern: BEGIN — perform updates — INSERT into audit_log — COMMIT. On any raised exception, the WHEN OTHERS handler ROLLBACKs the entire transaction so that no partial state remains. The COMMIT happens exactly once per procedure invocation, on the last line before the exception block.</w:t>
      </w:r>
    </w:p>
    <w:p>
      <w:pPr>
        <w:pStyle w:val="Heading2"/>
        <w:spacing w:after="120" w:before="240"/>
      </w:pPr>
      <w:r>
        <w:rPr>
          <w:rFonts w:ascii="Times New Roman" w:cs="Times New Roman" w:eastAsia="Times New Roman" w:hAnsi="Times New Roman"/>
          <w:b/>
          <w:bCs/>
          <w:i/>
          <w:iCs/>
          <w:sz w:val="26"/>
          <w:szCs w:val="26"/>
        </w:rPr>
        <w:t xml:space="preserve">14.2  ACID guarantees</w:t>
      </w:r>
    </w:p>
    <w:p>
      <w:pPr>
        <w:spacing w:after="160" w:line="320"/>
        <w:jc w:val="both"/>
      </w:pPr>
      <w:r>
        <w:rPr>
          <w:rFonts w:ascii="Times New Roman" w:cs="Times New Roman" w:eastAsia="Times New Roman" w:hAnsi="Times New Roman"/>
          <w:b/>
          <w:bCs/>
          <w:sz w:val="24"/>
          <w:szCs w:val="24"/>
        </w:rPr>
        <w:t xml:space="preserve">Atomicity. </w:t>
      </w:r>
      <w:r>
        <w:rPr>
          <w:rFonts w:ascii="Times New Roman" w:cs="Times New Roman" w:eastAsia="Times New Roman" w:hAnsi="Times New Roman"/>
          <w:sz w:val="24"/>
          <w:szCs w:val="24"/>
        </w:rPr>
        <w:t xml:space="preserve">The issuance procedure either completes fully (issuance row inserted, unit status flipped, audit row written) or not at all. The ROLLBACK in the WHEN OTHERS handler ensures this.</w:t>
      </w:r>
    </w:p>
    <w:p>
      <w:pPr>
        <w:spacing w:after="160" w:line="320"/>
        <w:jc w:val="both"/>
      </w:pPr>
      <w:r>
        <w:rPr>
          <w:rFonts w:ascii="Times New Roman" w:cs="Times New Roman" w:eastAsia="Times New Roman" w:hAnsi="Times New Roman"/>
          <w:b/>
          <w:bCs/>
          <w:sz w:val="24"/>
          <w:szCs w:val="24"/>
        </w:rPr>
        <w:t xml:space="preserve">Consistency. </w:t>
      </w:r>
      <w:r>
        <w:rPr>
          <w:rFonts w:ascii="Times New Roman" w:cs="Times New Roman" w:eastAsia="Times New Roman" w:hAnsi="Times New Roman"/>
          <w:sz w:val="24"/>
          <w:szCs w:val="24"/>
        </w:rPr>
        <w:t xml:space="preserve">Constraints, CHECKs, and triggers ensure no transaction leaves the database in a state that violates business rules — no negative stock, no issued unit with status ≠ ISSUED, no donation in the deferral window.</w:t>
      </w:r>
    </w:p>
    <w:p>
      <w:pPr>
        <w:spacing w:after="160" w:line="320"/>
        <w:jc w:val="both"/>
      </w:pPr>
      <w:r>
        <w:rPr>
          <w:rFonts w:ascii="Times New Roman" w:cs="Times New Roman" w:eastAsia="Times New Roman" w:hAnsi="Times New Roman"/>
          <w:b/>
          <w:bCs/>
          <w:sz w:val="24"/>
          <w:szCs w:val="24"/>
        </w:rPr>
        <w:t xml:space="preserve">Isolation. </w:t>
      </w:r>
      <w:r>
        <w:rPr>
          <w:rFonts w:ascii="Times New Roman" w:cs="Times New Roman" w:eastAsia="Times New Roman" w:hAnsi="Times New Roman"/>
          <w:sz w:val="24"/>
          <w:szCs w:val="24"/>
        </w:rPr>
        <w:t xml:space="preserve">Oracle's default isolation level (READ COMMITTED) is sufficient for the read paths. The issuance procedure uses explicit row-level locking (SELECT … FOR UPDATE NOWAIT) on the candidate unit row, which is stricter than READ COMMITTED but only on that one row. This combination prevents the lost-update anomaly that would otherwise allow two staff members to issue the same unit.</w:t>
      </w:r>
    </w:p>
    <w:p>
      <w:pPr>
        <w:spacing w:after="160" w:line="320"/>
        <w:jc w:val="both"/>
      </w:pPr>
      <w:r>
        <w:rPr>
          <w:rFonts w:ascii="Times New Roman" w:cs="Times New Roman" w:eastAsia="Times New Roman" w:hAnsi="Times New Roman"/>
          <w:b/>
          <w:bCs/>
          <w:sz w:val="24"/>
          <w:szCs w:val="24"/>
        </w:rPr>
        <w:t xml:space="preserve">Durability. </w:t>
      </w:r>
      <w:r>
        <w:rPr>
          <w:rFonts w:ascii="Times New Roman" w:cs="Times New Roman" w:eastAsia="Times New Roman" w:hAnsi="Times New Roman"/>
          <w:sz w:val="24"/>
          <w:szCs w:val="24"/>
        </w:rPr>
        <w:t xml:space="preserve">Guaranteed by Oracle's redo logs and the COMMIT semantics of the underlying engine. Once the procedure's COMMIT returns, the change is durable.</w:t>
      </w:r>
    </w:p>
    <w:p>
      <w:pPr>
        <w:pStyle w:val="Heading2"/>
        <w:spacing w:after="120" w:before="240"/>
      </w:pPr>
      <w:r>
        <w:rPr>
          <w:rFonts w:ascii="Times New Roman" w:cs="Times New Roman" w:eastAsia="Times New Roman" w:hAnsi="Times New Roman"/>
          <w:b/>
          <w:bCs/>
          <w:i/>
          <w:iCs/>
          <w:sz w:val="26"/>
          <w:szCs w:val="26"/>
        </w:rPr>
        <w:t xml:space="preserve">14.3  Concurrency control</w:t>
      </w:r>
    </w:p>
    <w:p>
      <w:pPr>
        <w:spacing w:after="160" w:line="320"/>
        <w:jc w:val="both"/>
      </w:pPr>
      <w:r>
        <w:rPr>
          <w:rFonts w:ascii="Times New Roman" w:cs="Times New Roman" w:eastAsia="Times New Roman" w:hAnsi="Times New Roman"/>
          <w:sz w:val="24"/>
          <w:szCs w:val="24"/>
        </w:rPr>
        <w:t xml:space="preserve">The locking strategy is FOR UPDATE NOWAIT on the candidate unit row at the start of issue_unit. The NOWAIT clause is deliberate: if the row is already locked by another session, the procedure fails immediately with ORA-00054 rather than blocking. This is the right behaviour for a clinical workflow — staff at the issue counter want to know immediately if another counter is competing for the same unit, not to wait for a lock that might be held for seconds.</w:t>
      </w:r>
    </w:p>
    <w:p>
      <w:pPr>
        <w:spacing w:after="160" w:line="320"/>
        <w:jc w:val="both"/>
      </w:pPr>
      <w:r>
        <w:rPr>
          <w:rFonts w:ascii="Times New Roman" w:cs="Times New Roman" w:eastAsia="Times New Roman" w:hAnsi="Times New Roman"/>
          <w:sz w:val="24"/>
          <w:szCs w:val="24"/>
        </w:rPr>
        <w:t xml:space="preserve">Deadlock potential is minimised by always acquiring locks in a fixed order: blood_unit first, then issuance, then audit_log. Because all three are accessed only inside the issuance procedure and always in this order, a deadlock between two sessions running issue_unit is structurally impossible.</w:t>
      </w:r>
    </w:p>
    <w:p>
      <w:r>
        <w:br w:type="page"/>
      </w:r>
    </w:p>
    <w:p>
      <w:pPr>
        <w:pStyle w:val="Heading1"/>
        <w:spacing w:after="200" w:before="400"/>
      </w:pPr>
      <w:r>
        <w:rPr>
          <w:rFonts w:ascii="Times New Roman" w:cs="Times New Roman" w:eastAsia="Times New Roman" w:hAnsi="Times New Roman"/>
          <w:b/>
          <w:bCs/>
          <w:sz w:val="28"/>
          <w:szCs w:val="28"/>
        </w:rPr>
        <w:t xml:space="preserve">15.  Tools and Technologies</w:t>
      </w:r>
    </w:p>
    <w:p>
      <w:pPr>
        <w:spacing w:after="160" w:line="320"/>
        <w:jc w:val="both"/>
      </w:pPr>
      <w:r>
        <w:rPr>
          <w:rFonts w:ascii="Times New Roman" w:cs="Times New Roman" w:eastAsia="Times New Roman" w:hAnsi="Times New Roman"/>
          <w:sz w:val="24"/>
          <w:szCs w:val="24"/>
        </w:rPr>
        <w:t xml:space="preserve">Oracle Database 23ai Free Edition was chosen as the DBMS, primarily because the course explicitly emphasises PL/SQL constructs that are first-class in Oracle but either absent or significantly different in MySQL and PostgreSQL. PRAGMA EXCEPTION_INIT, autonomous transactions, REF CURSORs, packaged procedures, and named application errors via RAISE_APPLICATION_ERROR all have direct, idiomatic support in PL/SQL.</w:t>
      </w:r>
    </w:p>
    <w:p>
      <w:pPr>
        <w:spacing w:after="160" w:line="320"/>
        <w:jc w:val="both"/>
      </w:pPr>
      <w:r>
        <w:rPr>
          <w:rFonts w:ascii="Times New Roman" w:cs="Times New Roman" w:eastAsia="Times New Roman" w:hAnsi="Times New Roman"/>
          <w:sz w:val="24"/>
          <w:szCs w:val="24"/>
        </w:rPr>
        <w:t xml:space="preserve">The development environment was driven by macOS on Apple Silicon. Oracle does not have a native macOS installer, so the database was run inside Docker using the gvenzl/oracle-free:23-slim image, which has proper ARM64 support. The container persists data via a Docker volume so the database survives restarts. DBeaver Community Edition served as the SQL/PL-SQL client; SQL Developer's macOS support is fragile and DBeaver's PL/SQL handling proved completely sufficient for our needs.</w:t>
      </w:r>
    </w:p>
    <w:p>
      <w:pPr>
        <w:spacing w:after="160" w:line="320"/>
        <w:jc w:val="both"/>
      </w:pPr>
      <w:r>
        <w:rPr>
          <w:rFonts w:ascii="Times New Roman" w:cs="Times New Roman" w:eastAsia="Times New Roman" w:hAnsi="Times New Roman"/>
          <w:sz w:val="24"/>
          <w:szCs w:val="24"/>
        </w:rPr>
        <w:t xml:space="preserve">All DDL, seed data, and PL/SQL source is consolidated into a single bbdms_rebuild.sql file (~640 lines) that drops all objects in reverse dependency order, recreates the entire schema, populates seed data, and creates all PL/SQL objects. This file is the canonical artefact of the project: any reader can clone it, run it on a fresh Oracle Free instance, and reproduce the system end-to-end. Git was used for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08080" w:sz="4"/>
              <w:left w:val="single" w:color="808080" w:sz="4"/>
              <w:bottom w:val="single" w:color="808080" w:sz="4"/>
              <w:right w:val="single" w:color="808080" w:sz="4"/>
            </w:tcBorders>
            <w:shd w:fill="E7E6E6" w:color="auto"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Layer</w:t>
            </w:r>
          </w:p>
        </w:tc>
        <w:tc>
          <w:tcPr>
            <w:tcW w:type="dxa" w:w="6160"/>
            <w:tcBorders>
              <w:top w:val="single" w:color="808080" w:sz="4"/>
              <w:left w:val="single" w:color="808080" w:sz="4"/>
              <w:bottom w:val="single" w:color="808080" w:sz="4"/>
              <w:right w:val="single" w:color="808080" w:sz="4"/>
            </w:tcBorders>
            <w:shd w:fill="E7E6E6" w:color="auto" w:val="clear"/>
            <w:tcMar>
              <w:top w:type="dxa" w:w="100"/>
              <w:left w:type="dxa" w:w="140"/>
              <w:bottom w:type="dxa" w:w="100"/>
              <w:right w:type="dxa" w:w="140"/>
            </w:tcMar>
          </w:tcPr>
          <w:p>
            <w:pPr>
              <w:jc w:val="left"/>
            </w:pPr>
            <w:r>
              <w:rPr>
                <w:rFonts w:ascii="Times New Roman" w:cs="Times New Roman" w:eastAsia="Times New Roman" w:hAnsi="Times New Roman"/>
                <w:b/>
                <w:bCs/>
                <w:sz w:val="22"/>
                <w:szCs w:val="22"/>
              </w:rPr>
              <w:t xml:space="preserve">Tool / Technology</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DBMS engine</w:t>
            </w:r>
          </w:p>
        </w:tc>
        <w:tc>
          <w:tcPr>
            <w:tcW w:type="dxa" w:w="6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Oracle Database 23ai Free</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Container runtime</w:t>
            </w:r>
          </w:p>
        </w:tc>
        <w:tc>
          <w:tcPr>
            <w:tcW w:type="dxa" w:w="6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Docker Desktop for Mac (Apple Silicon)</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Oracle image</w:t>
            </w:r>
          </w:p>
        </w:tc>
        <w:tc>
          <w:tcPr>
            <w:tcW w:type="dxa" w:w="6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gvenzl/oracle-free:23-slim</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Languages</w:t>
            </w:r>
          </w:p>
        </w:tc>
        <w:tc>
          <w:tcPr>
            <w:tcW w:type="dxa" w:w="6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SQL (Oracle dialect), PL/SQL</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SQL client / IDE</w:t>
            </w:r>
          </w:p>
        </w:tc>
        <w:tc>
          <w:tcPr>
            <w:tcW w:type="dxa" w:w="6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DBeaver Community Edition 26</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ER / schema modelling</w:t>
            </w:r>
          </w:p>
        </w:tc>
        <w:tc>
          <w:tcPr>
            <w:tcW w:type="dxa" w:w="6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draw.io (manual ER diagram for the report)</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OS</w:t>
            </w:r>
          </w:p>
        </w:tc>
        <w:tc>
          <w:tcPr>
            <w:tcW w:type="dxa" w:w="6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macOS (Apple Silicon)</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Version control</w:t>
            </w:r>
          </w:p>
        </w:tc>
        <w:tc>
          <w:tcPr>
            <w:tcW w:type="dxa" w:w="6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Git (single repo, three contributors via branches)</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Documentation</w:t>
            </w:r>
          </w:p>
        </w:tc>
        <w:tc>
          <w:tcPr>
            <w:tcW w:type="dxa" w:w="6160"/>
            <w:tcBorders>
              <w:top w:val="single" w:color="808080" w:sz="4"/>
              <w:left w:val="single" w:color="808080" w:sz="4"/>
              <w:bottom w:val="single" w:color="808080" w:sz="4"/>
              <w:right w:val="single" w:color="808080" w:sz="4"/>
            </w:tcBorders>
            <w:tcMar>
              <w:top w:type="dxa" w:w="100"/>
              <w:left w:type="dxa" w:w="140"/>
              <w:bottom w:type="dxa" w:w="100"/>
              <w:right w:type="dxa" w:w="140"/>
            </w:tcMar>
          </w:tcPr>
          <w:p>
            <w:pPr>
              <w:jc w:val="left"/>
            </w:pPr>
            <w:r>
              <w:rPr>
                <w:rFonts w:ascii="Times New Roman" w:cs="Times New Roman" w:eastAsia="Times New Roman" w:hAnsi="Times New Roman"/>
                <w:sz w:val="22"/>
                <w:szCs w:val="22"/>
              </w:rPr>
              <w:t xml:space="preserve">Microsoft Word; bbdms_rebuild.sql as code-of-record</w:t>
            </w:r>
          </w:p>
        </w:tc>
      </w:tr>
    </w:tbl>
    <w:p>
      <w:pPr>
        <w:spacing w:after="30"/>
      </w:pPr>
      <w:r>
        <w:rPr>
          <w:rFonts w:ascii="Times New Roman" w:cs="Times New Roman" w:eastAsia="Times New Roman" w:hAnsi="Times New Roman"/>
          <w:sz w:val="24"/>
          <w:szCs w:val="24"/>
        </w:rPr>
        <w:t xml:space="preserve"/>
      </w:r>
    </w:p>
    <w:p>
      <w:r>
        <w:br w:type="page"/>
      </w:r>
    </w:p>
    <w:p>
      <w:pPr>
        <w:pStyle w:val="Heading1"/>
        <w:spacing w:after="200" w:before="400"/>
      </w:pPr>
      <w:r>
        <w:rPr>
          <w:rFonts w:ascii="Times New Roman" w:cs="Times New Roman" w:eastAsia="Times New Roman" w:hAnsi="Times New Roman"/>
          <w:b/>
          <w:bCs/>
          <w:sz w:val="28"/>
          <w:szCs w:val="28"/>
        </w:rPr>
        <w:t xml:space="preserve">16.  Expected Outcomes (Achieved)</w:t>
      </w:r>
    </w:p>
    <w:p>
      <w:pPr>
        <w:spacing w:after="160" w:line="320"/>
        <w:jc w:val="both"/>
      </w:pPr>
      <w:r>
        <w:rPr>
          <w:rFonts w:ascii="Times New Roman" w:cs="Times New Roman" w:eastAsia="Times New Roman" w:hAnsi="Times New Roman"/>
          <w:sz w:val="24"/>
          <w:szCs w:val="24"/>
        </w:rPr>
        <w:t xml:space="preserve">The deliverables defined in the original synopsis have been completed. Each is listed below with the corresponding evidence in the implemented system.</w:t>
      </w:r>
    </w:p>
    <w:p>
      <w:pPr>
        <w:spacing w:after="140" w:line="32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Fully normalized BCNF schema with 11 relations plus a compatibility reference table, complete with primary keys, 8 foreign keys, 30+ named CHECK constraints, and 5 UNIQUE constraints — verified by querying user_constraints and user_indexes against the live schema.</w:t>
      </w:r>
    </w:p>
    <w:p>
      <w:pPr>
        <w:spacing w:after="140" w:line="32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 library of 10 well-tested SQL queries demonstrating joins across up to four tables, correlated subqueries, set operations, aggregate functions, GROUP BY/HAVING, CASE expressions, LISTAGG, and percentage computations. Each query returns a non-trivial result against the seed data.</w:t>
      </w:r>
    </w:p>
    <w:p>
      <w:pPr>
        <w:spacing w:after="140" w:line="32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 PL/SQL package of three functions (calc_expiry_date, donor_eligible, get_compatible_groups), two procedures (register_donor, issue_unit), and five triggers (eligibility, screening release, audit on donor/unit/issuance), with structured exception handling throughout.</w:t>
      </w:r>
    </w:p>
    <w:p>
      <w:pPr>
        <w:spacing w:after="140" w:line="32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 successful end-to-end issuance: unit 13 (PRBC, blood group B+, donated 2025-06-22 by Rohan Desai) was issued against request 1 (recipient Patient Ramesh, O+) by staff 5. The issuance row was created (issuance_id 1), the unit's status flipped from AVAILABLE to ISSUED, and the corresponding audit_log row (audit_id 1) was written by trg_audit_unit. A re-issuance attempt on the same unit was correctly refused with ORA-20011.</w:t>
      </w:r>
    </w:p>
    <w:p>
      <w:pPr>
        <w:spacing w:after="140" w:line="32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The bbdms_rebuild.sql script (~640 lines), which fully reproduces the entire system on a fresh Oracle Free instance with one execution. The script is idempotent, dependency-ordered, and ends with a health-check query reporting object counts.</w:t>
      </w:r>
    </w:p>
    <w:p>
      <w:pPr>
        <w:spacing w:after="140" w:line="32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This synopsis itself, which documents not only the final design but also the development journey, the bugs encountered, and the design choices that were revised mid-build.</w:t>
      </w:r>
    </w:p>
    <w:p>
      <w:r>
        <w:br w:type="page"/>
      </w:r>
    </w:p>
    <w:p>
      <w:pPr>
        <w:pStyle w:val="Heading1"/>
        <w:spacing w:after="200" w:before="400"/>
      </w:pPr>
      <w:r>
        <w:rPr>
          <w:rFonts w:ascii="Times New Roman" w:cs="Times New Roman" w:eastAsia="Times New Roman" w:hAnsi="Times New Roman"/>
          <w:b/>
          <w:bCs/>
          <w:sz w:val="28"/>
          <w:szCs w:val="28"/>
        </w:rPr>
        <w:t xml:space="preserve">17.  Limitations</w:t>
      </w:r>
    </w:p>
    <w:p>
      <w:pPr>
        <w:spacing w:after="160" w:line="320"/>
        <w:jc w:val="both"/>
      </w:pPr>
      <w:r>
        <w:rPr>
          <w:rFonts w:ascii="Times New Roman" w:cs="Times New Roman" w:eastAsia="Times New Roman" w:hAnsi="Times New Roman"/>
          <w:sz w:val="24"/>
          <w:szCs w:val="24"/>
        </w:rPr>
        <w:t xml:space="preserve">We want to be explicit about what the system does not do, both because honest scoping is part of academic work and because some of these limitations point to natural extensions of the work.</w:t>
      </w:r>
    </w:p>
    <w:p>
      <w:pPr>
        <w:spacing w:after="160" w:line="320"/>
        <w:jc w:val="both"/>
      </w:pPr>
      <w:r>
        <w:rPr>
          <w:rFonts w:ascii="Times New Roman" w:cs="Times New Roman" w:eastAsia="Times New Roman" w:hAnsi="Times New Roman"/>
          <w:sz w:val="24"/>
          <w:szCs w:val="24"/>
        </w:rPr>
        <w:t xml:space="preserve">The schema does not handle rare blood groups beyond the standard ABO/Rh combinations. The Bombay phenotype and other rare types would require an antigen-profile sub-model, which is real clinical work and outside the scope of a course project. Likewise, the compatibility matrix encodes only ABO and Rh compatibility; it does not consider extended phenotype matching, which matters for chronic transfusion recipients such as those with sickle cell disease or thalassemia.</w:t>
      </w:r>
    </w:p>
    <w:p>
      <w:pPr>
        <w:spacing w:after="160" w:line="320"/>
        <w:jc w:val="both"/>
      </w:pPr>
      <w:r>
        <w:rPr>
          <w:rFonts w:ascii="Times New Roman" w:cs="Times New Roman" w:eastAsia="Times New Roman" w:hAnsi="Times New Roman"/>
          <w:sz w:val="24"/>
          <w:szCs w:val="24"/>
        </w:rPr>
        <w:t xml:space="preserve">The system has no graphical interface. All interaction during the demonstration happens through DBeaver. We made this an explicit choice — building a frontend would have consumed time we wanted to spend on backend correctness — but it does mean the system is not directly usable by a non-technical operator as it stands. A wrapping web application would be a separate project on its own.</w:t>
      </w:r>
    </w:p>
    <w:p>
      <w:pPr>
        <w:spacing w:after="160" w:line="320"/>
        <w:jc w:val="both"/>
      </w:pPr>
      <w:r>
        <w:rPr>
          <w:rFonts w:ascii="Times New Roman" w:cs="Times New Roman" w:eastAsia="Times New Roman" w:hAnsi="Times New Roman"/>
          <w:sz w:val="24"/>
          <w:szCs w:val="24"/>
        </w:rPr>
        <w:t xml:space="preserve">Concurrency testing was conducted via the procedural FOR UPDATE NOWAIT mechanism with end-to-end issuance verified against a single Oracle Free instance. Distributed-database concerns — replication lag, two-phase commit across nodes, cross-region failover — are not modelled. They are appropriate concerns for any real production deployment and would form a natural extension of the work.</w:t>
      </w:r>
    </w:p>
    <w:p>
      <w:pPr>
        <w:spacing w:after="160" w:line="320"/>
        <w:jc w:val="both"/>
      </w:pPr>
      <w:r>
        <w:rPr>
          <w:rFonts w:ascii="Times New Roman" w:cs="Times New Roman" w:eastAsia="Times New Roman" w:hAnsi="Times New Roman"/>
          <w:sz w:val="24"/>
          <w:szCs w:val="24"/>
        </w:rPr>
        <w:t xml:space="preserve">Performance has not been benchmarked at scale. The system has been tested with a few hundred rows per relation; behaviour at hundreds of thousands of donations and millions of issuances is plausibly fine given the indexes implicit in the primary-key and unique constraints, but we are not in a position to claim that without measurement. A serious performance evaluation would require EXPLAIN PLAN walkthroughs, partitioning of the issuance and audit tables by year, and load testing with a synthetic workload generator.</w:t>
      </w:r>
    </w:p>
    <w:p>
      <w:pPr>
        <w:spacing w:after="160" w:line="320"/>
        <w:jc w:val="both"/>
      </w:pPr>
      <w:r>
        <w:rPr>
          <w:rFonts w:ascii="Times New Roman" w:cs="Times New Roman" w:eastAsia="Times New Roman" w:hAnsi="Times New Roman"/>
          <w:sz w:val="24"/>
          <w:szCs w:val="24"/>
        </w:rPr>
        <w:t xml:space="preserve">Data privacy is only partially addressed. Donor PII is stored in plain text and the audit log records raw old/new values. A real deployment would need additional controls — column-level encryption, masked logging, a retention policy for audit data — that we have not implemented. We treat this as an honest limitation rather than a gap to be papered over.</w:t>
      </w:r>
    </w:p>
    <w:p>
      <w:r>
        <w:br w:type="page"/>
      </w:r>
    </w:p>
    <w:p>
      <w:pPr>
        <w:pStyle w:val="Heading1"/>
        <w:spacing w:after="200" w:before="400"/>
      </w:pPr>
      <w:r>
        <w:rPr>
          <w:rFonts w:ascii="Times New Roman" w:cs="Times New Roman" w:eastAsia="Times New Roman" w:hAnsi="Times New Roman"/>
          <w:b/>
          <w:bCs/>
          <w:sz w:val="28"/>
          <w:szCs w:val="28"/>
        </w:rPr>
        <w:t xml:space="preserve">18.  Future Enhancements</w:t>
      </w:r>
    </w:p>
    <w:p>
      <w:pPr>
        <w:spacing w:after="160" w:line="320"/>
        <w:jc w:val="both"/>
      </w:pPr>
      <w:r>
        <w:rPr>
          <w:rFonts w:ascii="Times New Roman" w:cs="Times New Roman" w:eastAsia="Times New Roman" w:hAnsi="Times New Roman"/>
          <w:sz w:val="24"/>
          <w:szCs w:val="24"/>
        </w:rPr>
        <w:t xml:space="preserve">Several extensions follow naturally from the current design and were considered during scoping.</w:t>
      </w:r>
    </w:p>
    <w:p>
      <w:pPr>
        <w:spacing w:after="160" w:line="320"/>
        <w:jc w:val="both"/>
      </w:pPr>
      <w:r>
        <w:rPr>
          <w:rFonts w:ascii="Times New Roman" w:cs="Times New Roman" w:eastAsia="Times New Roman" w:hAnsi="Times New Roman"/>
          <w:sz w:val="24"/>
          <w:szCs w:val="24"/>
        </w:rPr>
        <w:t xml:space="preserve">A web frontend, written in Flask or Spring Boot and talking to the database through a thin DAO layer, would make the system usable by non-SQL users. The backend has been designed deliberately so that all business logic sits inside the database, which means the frontend can be kept genuinely thin — it would pass parameters to issue_unit and register_donor and display the rows returned by views, without needing to re-implement any of the rules.</w:t>
      </w:r>
    </w:p>
    <w:p>
      <w:pPr>
        <w:spacing w:after="160" w:line="320"/>
        <w:jc w:val="both"/>
      </w:pPr>
      <w:r>
        <w:rPr>
          <w:rFonts w:ascii="Times New Roman" w:cs="Times New Roman" w:eastAsia="Times New Roman" w:hAnsi="Times New Roman"/>
          <w:sz w:val="24"/>
          <w:szCs w:val="24"/>
        </w:rPr>
        <w:t xml:space="preserve">Integration with the e-RaktKosh API, when documented programmatic access becomes available, would allow stock visibility across nearby banks. The current schema already separates internal operational state from any external state cleanly, so this would require an additional integration layer rather than schema rework. A demand-forecasting module could use the historical issuance data to predict per-(group, component) usage and surface restocking recommendations; this would fit naturally as a set of materialized views with a periodic refresh procedure.</w:t>
      </w:r>
    </w:p>
    <w:p>
      <w:pPr>
        <w:spacing w:after="160" w:line="320"/>
        <w:jc w:val="both"/>
      </w:pPr>
      <w:r>
        <w:rPr>
          <w:rFonts w:ascii="Times New Roman" w:cs="Times New Roman" w:eastAsia="Times New Roman" w:hAnsi="Times New Roman"/>
          <w:sz w:val="24"/>
          <w:szCs w:val="24"/>
        </w:rPr>
        <w:t xml:space="preserve">Donor engagement features — birthday reminders, eligibility-window-completion notifications, camp invitations — could be added once an SMS or email gateway is in place. The schema already stores last_donation_date, so the eligibility check needed for these notifications is essentially free. Extended phenotype matching, if the system were ever used in a context with chronic transfusion recipients, would require an additional Antigen relation and a more elaborate compatibility function. The current single-table compatibility encoding could be replaced by a join against a phenotype table without disturbing the rest of the schema.</w:t>
      </w:r>
    </w:p>
    <w:p>
      <w:pPr>
        <w:spacing w:after="160" w:line="320"/>
        <w:jc w:val="both"/>
      </w:pPr>
      <w:r>
        <w:rPr>
          <w:rFonts w:ascii="Times New Roman" w:cs="Times New Roman" w:eastAsia="Times New Roman" w:hAnsi="Times New Roman"/>
          <w:sz w:val="24"/>
          <w:szCs w:val="24"/>
        </w:rPr>
        <w:t xml:space="preserve">Finally, a daily-run procedure (referred to in the synopsis as daily_expiry_sweep) would automate the AVAILABLE → EXPIRED transition for units past their expiry_date, replacing the manual CASE expression we use during seed-data load. The implementation is a simple cursor FOR loop with a row-level UPDATE, scheduled via DBMS_SCHEDULER for nightly execution. We have left this as a planned extension because the demonstration-time data already exercises both states.</w:t>
      </w:r>
    </w:p>
    <w:p>
      <w:r>
        <w:br w:type="page"/>
      </w:r>
    </w:p>
    <w:p>
      <w:pPr>
        <w:pStyle w:val="Heading1"/>
        <w:spacing w:after="200" w:before="400"/>
      </w:pPr>
      <w:r>
        <w:rPr>
          <w:rFonts w:ascii="Times New Roman" w:cs="Times New Roman" w:eastAsia="Times New Roman" w:hAnsi="Times New Roman"/>
          <w:b/>
          <w:bCs/>
          <w:sz w:val="28"/>
          <w:szCs w:val="28"/>
        </w:rPr>
        <w:t xml:space="preserve">19.  Conclusion</w:t>
      </w:r>
    </w:p>
    <w:p>
      <w:pPr>
        <w:spacing w:after="160" w:line="320"/>
        <w:jc w:val="both"/>
      </w:pPr>
      <w:r>
        <w:rPr>
          <w:rFonts w:ascii="Times New Roman" w:cs="Times New Roman" w:eastAsia="Times New Roman" w:hAnsi="Times New Roman"/>
          <w:sz w:val="24"/>
          <w:szCs w:val="24"/>
        </w:rPr>
        <w:t xml:space="preserve">The point of this project was not to build something novel. Blood-bank systems already exist, in many varieties, and several are mature. The point was to take a real-world domain with non-trivial rules, work through the full pipeline from ER analysis to a transactional implementation, and end up with something where every safety property visible at the workflow level can be traced back to a specific schema constraint, trigger, or procedure inside the database.</w:t>
      </w:r>
    </w:p>
    <w:p>
      <w:pPr>
        <w:spacing w:after="160" w:line="320"/>
        <w:jc w:val="both"/>
      </w:pPr>
      <w:r>
        <w:rPr>
          <w:rFonts w:ascii="Times New Roman" w:cs="Times New Roman" w:eastAsia="Times New Roman" w:hAnsi="Times New Roman"/>
          <w:sz w:val="24"/>
          <w:szCs w:val="24"/>
        </w:rPr>
        <w:t xml:space="preserve">The exercise made concrete a great deal of what we had previously known only as textbook material. Normalization stops being an abstract drill once a 3NF violation produces an actual update anomaly in your test data. The need for atomic transactions stops being a checklist item once you have to debug why the audit row did not appear after a procedure failed mid-flight. ACID stops being four letters once you trace through a procedure body and identify exactly which line provides which guarantee. And the difference between a CHECK constraint and a trigger becomes a real engineering decision — not a multiple-choice exam answer — once you have to enforce a rule (the 90-day deferral) that depends on data outside the row being inserted.</w:t>
      </w:r>
    </w:p>
    <w:p>
      <w:pPr>
        <w:spacing w:after="160" w:line="320"/>
        <w:jc w:val="both"/>
      </w:pPr>
      <w:r>
        <w:rPr>
          <w:rFonts w:ascii="Times New Roman" w:cs="Times New Roman" w:eastAsia="Times New Roman" w:hAnsi="Times New Roman"/>
          <w:sz w:val="24"/>
          <w:szCs w:val="24"/>
        </w:rPr>
        <w:t xml:space="preserve">What the system represents, in the end, is a small but complete demonstration of the claim that a well-designed database can carry safety guarantees that no spreadsheet can. The transition from "the staff member must remember to check eligibility" to "the database will not let an ineligible donation be inserted" is the entire point — both of this project and, in a broader sense, of the course it was built for.</w:t>
      </w:r>
    </w:p>
    <w:p>
      <w:pPr>
        <w:spacing w:after="40"/>
      </w:pPr>
      <w:r>
        <w:rPr>
          <w:rFonts w:ascii="Times New Roman" w:cs="Times New Roman" w:eastAsia="Times New Roman" w:hAnsi="Times New Roman"/>
          <w:sz w:val="24"/>
          <w:szCs w:val="24"/>
        </w:rPr>
        <w:t xml:space="preserve"/>
      </w:r>
    </w:p>
    <w:p>
      <w:pPr>
        <w:pBdr>
          <w:top w:val="single" w:color="000000" w:sz="8" w:space="8"/>
        </w:pBdr>
        <w:jc w:val="center"/>
      </w:pPr>
      <w:r>
        <w:rPr>
          <w:rFonts w:ascii="Times New Roman" w:cs="Times New Roman" w:eastAsia="Times New Roman" w:hAnsi="Times New Roman"/>
          <w:i/>
          <w:iCs/>
          <w:color w:val="595959"/>
          <w:sz w:val="22"/>
          <w:szCs w:val="22"/>
        </w:rPr>
        <w:t xml:space="preserve">End of Synopsis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UCS310  |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Times New Roman" w:cs="Times New Roman" w:eastAsia="Times New Roman" w:hAnsi="Times New Roman"/>
        <w:i/>
        <w:iCs/>
        <w:color w:val="595959"/>
        <w:sz w:val="18"/>
        <w:szCs w:val="18"/>
      </w:rPr>
      <w:t xml:space="preserve">Blood Bank &amp; Donor Management System  —  Final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Bank and Donor Management System — Final Synopsis</dc:title>
  <dc:creator>BBDMS Project Team</dc:creator>
  <cp:lastModifiedBy>Un-named</cp:lastModifiedBy>
  <cp:revision>1</cp:revision>
  <dcterms:created xsi:type="dcterms:W3CDTF">2026-04-25T17:14:02.734Z</dcterms:created>
  <dcterms:modified xsi:type="dcterms:W3CDTF">2026-04-25T17:14:02.735Z</dcterms:modified>
</cp:coreProperties>
</file>

<file path=docProps/custom.xml><?xml version="1.0" encoding="utf-8"?>
<Properties xmlns="http://schemas.openxmlformats.org/officeDocument/2006/custom-properties" xmlns:vt="http://schemas.openxmlformats.org/officeDocument/2006/docPropsVTypes"/>
</file>