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511C" w14:textId="6294B58C" w:rsidR="00EF5EB6" w:rsidRPr="00EF5EB6" w:rsidRDefault="00EF5EB6" w:rsidP="00EF5EB6">
      <w:pPr>
        <w:contextualSpacing/>
      </w:pPr>
      <w:r w:rsidRPr="00EF5EB6">
        <w:rPr>
          <w:b/>
          <w:bCs/>
          <w:u w:val="single"/>
        </w:rPr>
        <w:t>Overview:</w:t>
      </w:r>
    </w:p>
    <w:p w14:paraId="6E236CA5" w14:textId="67CDC7FD" w:rsidR="00EF5EB6" w:rsidRDefault="00EF5EB6" w:rsidP="00EF5EB6">
      <w:pPr>
        <w:contextualSpacing/>
      </w:pPr>
      <w:r w:rsidRPr="00EF5EB6">
        <w:t xml:space="preserve">The aim of this project is to demonstrate differences between LGBTQ+ respondents and non-LGBTQ+ respondents in their feelings of academic success, mental health, and sense of belonging within the campus environment. We primarily grouped respondents by self-identification of their gender and </w:t>
      </w:r>
      <w:r w:rsidR="00391B90">
        <w:t>sexual orientation</w:t>
      </w:r>
      <w:r w:rsidRPr="00EF5EB6">
        <w:t xml:space="preserve">. We also incorporate information on age and degree </w:t>
      </w:r>
      <w:r w:rsidR="00AB51E4" w:rsidRPr="00EF5EB6">
        <w:t>programs</w:t>
      </w:r>
      <w:r w:rsidRPr="00EF5EB6">
        <w:t xml:space="preserve"> to examine the effects of different factors.</w:t>
      </w:r>
    </w:p>
    <w:p w14:paraId="141A385D" w14:textId="77777777" w:rsidR="00AB51E4" w:rsidRPr="00EF5EB6" w:rsidRDefault="00AB51E4" w:rsidP="00EF5EB6">
      <w:pPr>
        <w:contextualSpacing/>
      </w:pPr>
    </w:p>
    <w:p w14:paraId="44E08758" w14:textId="77777777" w:rsidR="00EF5EB6" w:rsidRPr="00EF5EB6" w:rsidRDefault="00EF5EB6" w:rsidP="00EF5EB6">
      <w:pPr>
        <w:contextualSpacing/>
      </w:pPr>
      <w:r w:rsidRPr="00EF5EB6">
        <w:rPr>
          <w:b/>
          <w:bCs/>
        </w:rPr>
        <w:t xml:space="preserve">Stakeholders: </w:t>
      </w:r>
      <w:r w:rsidRPr="00EF5EB6">
        <w:t>Colleges and Institutions in the United States</w:t>
      </w:r>
    </w:p>
    <w:p w14:paraId="74B51F12" w14:textId="77777777" w:rsidR="00EF5EB6" w:rsidRDefault="00EF5EB6" w:rsidP="00EF5EB6">
      <w:pPr>
        <w:contextualSpacing/>
      </w:pPr>
      <w:r w:rsidRPr="00EF5EB6">
        <w:rPr>
          <w:b/>
          <w:bCs/>
        </w:rPr>
        <w:t xml:space="preserve">Data: </w:t>
      </w:r>
      <w:r w:rsidRPr="00EF5EB6">
        <w:t>Survey data from the Healthy Minds Study for the year 2019-2020. 89888 Students from 69 colleges and universities in the United States participated in the survey.</w:t>
      </w:r>
    </w:p>
    <w:p w14:paraId="03D81566" w14:textId="77777777" w:rsidR="00EF5EB6" w:rsidRPr="00EF5EB6" w:rsidRDefault="00EF5EB6" w:rsidP="00EF5EB6">
      <w:pPr>
        <w:contextualSpacing/>
      </w:pPr>
    </w:p>
    <w:p w14:paraId="60ECAD85" w14:textId="77777777" w:rsidR="00AD0880" w:rsidRDefault="00EF5EB6" w:rsidP="00AB51E4">
      <w:pPr>
        <w:contextualSpacing/>
        <w:rPr>
          <w:b/>
          <w:bCs/>
          <w:u w:val="single"/>
        </w:rPr>
      </w:pPr>
      <w:r w:rsidRPr="00EF5EB6">
        <w:rPr>
          <w:b/>
          <w:bCs/>
          <w:u w:val="single"/>
        </w:rPr>
        <w:t>Approach</w:t>
      </w:r>
    </w:p>
    <w:p w14:paraId="346F274B" w14:textId="3E86E1E4" w:rsidR="00EF5EB6" w:rsidRPr="00EF5EB6" w:rsidRDefault="00EF5EB6" w:rsidP="00AB51E4">
      <w:pPr>
        <w:contextualSpacing/>
      </w:pPr>
      <w:r w:rsidRPr="00EF5EB6">
        <w:t xml:space="preserve">We built a set of dynamic dashboards in Tableau to visualize survey responses by </w:t>
      </w:r>
      <w:proofErr w:type="gramStart"/>
      <w:r w:rsidR="005B6DEF" w:rsidRPr="00EF5EB6">
        <w:t>respondents</w:t>
      </w:r>
      <w:r w:rsidR="002A6234">
        <w:t>’</w:t>
      </w:r>
      <w:proofErr w:type="gramEnd"/>
      <w:r w:rsidRPr="00EF5EB6">
        <w:t xml:space="preserve"> reported </w:t>
      </w:r>
      <w:r w:rsidR="00391B90">
        <w:t>sexual orientation</w:t>
      </w:r>
      <w:r w:rsidRPr="00EF5EB6">
        <w:t xml:space="preserve"> or gender. This approach allowed us to examine clear equity differences within each demographic group. </w:t>
      </w:r>
      <w:r w:rsidR="00A82C67">
        <w:t>When relevent, dashboards include</w:t>
      </w:r>
      <w:r w:rsidRPr="00EF5EB6">
        <w:t xml:space="preserve"> a parameter to switch between either </w:t>
      </w:r>
      <w:r w:rsidR="00391B90">
        <w:t>sexual orientation</w:t>
      </w:r>
      <w:r w:rsidRPr="00EF5EB6">
        <w:t xml:space="preserve"> or gender. We examined responses to key survey questions to assess academic performance, mental health, and feelings of the campus climate. </w:t>
      </w:r>
    </w:p>
    <w:p w14:paraId="20F43D3D" w14:textId="77777777" w:rsidR="005E3C65" w:rsidRDefault="005E3C65" w:rsidP="00EF5EB6">
      <w:pPr>
        <w:contextualSpacing/>
        <w:rPr>
          <w:b/>
          <w:bCs/>
          <w:u w:val="single"/>
        </w:rPr>
      </w:pPr>
    </w:p>
    <w:p w14:paraId="1CBD6B72" w14:textId="15B94DF8" w:rsidR="00AB51E4" w:rsidRDefault="00E4216A" w:rsidP="00EF5EB6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Conclusions and Recommendations</w:t>
      </w:r>
    </w:p>
    <w:p w14:paraId="533D5283" w14:textId="3C5AC136" w:rsidR="00AB51E4" w:rsidRPr="00EF5EB6" w:rsidRDefault="00E4216A" w:rsidP="00EF5EB6">
      <w:pPr>
        <w:contextualSpacing/>
      </w:pPr>
      <w:r w:rsidRPr="00E4216A">
        <w:t>Students who have a stronger sense of group and campus belonging are more likely to choose their school again and finish their degree</w:t>
      </w:r>
      <w:r w:rsidR="00095826">
        <w:t xml:space="preserve">. </w:t>
      </w:r>
      <w:r w:rsidR="00095826">
        <w:t xml:space="preserve">Students at schools that prioritize mental health are more likely to </w:t>
      </w:r>
      <w:r w:rsidR="00095826">
        <w:t xml:space="preserve">feel like they are able to </w:t>
      </w:r>
      <w:r w:rsidR="00095826">
        <w:t>finish their degree</w:t>
      </w:r>
      <w:r w:rsidR="00095826">
        <w:t xml:space="preserve">. </w:t>
      </w:r>
      <w:r w:rsidR="00095826">
        <w:t>LGBTQ+ students report that personal struggles affect their academic performance and outcomes</w:t>
      </w:r>
      <w:r w:rsidR="00095826">
        <w:t xml:space="preserve">. </w:t>
      </w:r>
      <w:r w:rsidR="00095826">
        <w:t>LGBTQ+ students have different experiences on campus in terms of trauma witnessed, sense of belonging, and sense of community</w:t>
      </w:r>
      <w:r w:rsidR="00095826">
        <w:t xml:space="preserve">. </w:t>
      </w:r>
      <w:r w:rsidR="00095826">
        <w:t>Experiences vary dramatically within the LGBTQ+ community by both sexual orientation and especially by gender identity</w:t>
      </w:r>
    </w:p>
    <w:p w14:paraId="4FD5F7F1" w14:textId="7421B2F0" w:rsidR="00EF5EB6" w:rsidRPr="00EF5EB6" w:rsidRDefault="00EF5EB6" w:rsidP="00E213AC">
      <w:pPr>
        <w:ind w:firstLine="720"/>
        <w:contextualSpacing/>
      </w:pPr>
      <w:r w:rsidRPr="00EF5EB6">
        <w:t>This analysis demonstrate</w:t>
      </w:r>
      <w:r w:rsidR="002C2AE9">
        <w:t>s</w:t>
      </w:r>
      <w:r w:rsidRPr="00EF5EB6">
        <w:t xml:space="preserve"> differences in shared experiences between different demographic groups in order to quantify the needs of students. Identifying the needs of underrepresented groups is a critical step to help institutions identify resources and </w:t>
      </w:r>
      <w:r w:rsidR="00437DFB" w:rsidRPr="00EF5EB6">
        <w:t>initiatives</w:t>
      </w:r>
      <w:r w:rsidRPr="00EF5EB6">
        <w:t xml:space="preserve"> to help improve their academic performance and mental health. Results can inform both policy and practice at colleges and universities.</w:t>
      </w:r>
      <w:r w:rsidR="00437DFB">
        <w:t xml:space="preserve"> </w:t>
      </w:r>
      <w:r w:rsidRPr="00EF5EB6">
        <w:t xml:space="preserve">Increasing availability and access to resources of underrepresented groups also benefits these institutions by reducing student risk on campus, improving academic performance, and increasing student retention rates. </w:t>
      </w:r>
      <w:r w:rsidR="00611E2F">
        <w:t xml:space="preserve">Documenting student performance and experience can help universities make decisions about resource allocation, such as </w:t>
      </w:r>
      <w:r w:rsidR="00303264">
        <w:t xml:space="preserve">providing </w:t>
      </w:r>
      <w:r w:rsidR="00265B67">
        <w:t xml:space="preserve">additional mental health </w:t>
      </w:r>
      <w:r w:rsidR="00D31AAA">
        <w:t>resources</w:t>
      </w:r>
      <w:r w:rsidR="00C60A06">
        <w:t xml:space="preserve"> for students</w:t>
      </w:r>
      <w:r w:rsidR="00B25495">
        <w:t xml:space="preserve"> </w:t>
      </w:r>
      <w:r w:rsidR="00C60A06">
        <w:t>and prioritizing</w:t>
      </w:r>
      <w:r w:rsidR="00B25495">
        <w:t xml:space="preserve"> opportunities for</w:t>
      </w:r>
      <w:r w:rsidR="00C60A06">
        <w:t xml:space="preserve"> underrepresented </w:t>
      </w:r>
      <w:r w:rsidR="00B25495">
        <w:t>groups to foster their sense of campus belonging.</w:t>
      </w:r>
    </w:p>
    <w:p w14:paraId="5E95ADD1" w14:textId="77777777" w:rsidR="00EF5EB6" w:rsidRPr="00EF5EB6" w:rsidRDefault="00EF5EB6" w:rsidP="00EF5EB6">
      <w:pPr>
        <w:contextualSpacing/>
      </w:pPr>
    </w:p>
    <w:p w14:paraId="2F3A1FE4" w14:textId="77777777" w:rsidR="00EF5EB6" w:rsidRPr="00EF5EB6" w:rsidRDefault="00EF5EB6" w:rsidP="00EF5EB6">
      <w:pPr>
        <w:contextualSpacing/>
        <w:rPr>
          <w:b/>
          <w:bCs/>
          <w:u w:val="single"/>
        </w:rPr>
      </w:pPr>
      <w:r w:rsidRPr="00EF5EB6">
        <w:rPr>
          <w:b/>
          <w:bCs/>
          <w:u w:val="single"/>
        </w:rPr>
        <w:t>Future work</w:t>
      </w:r>
    </w:p>
    <w:p w14:paraId="459F52A9" w14:textId="189596DE" w:rsidR="00E05CFC" w:rsidRDefault="0005634F">
      <w:pPr>
        <w:contextualSpacing/>
      </w:pPr>
      <w:r>
        <w:t>Future work will include analysis of additional survey years. The Healthy Minds Study has run</w:t>
      </w:r>
      <w:r w:rsidR="00920162">
        <w:t xml:space="preserve"> since </w:t>
      </w:r>
      <w:r w:rsidR="00B45034">
        <w:t>2014 and</w:t>
      </w:r>
      <w:r w:rsidR="00920162">
        <w:t xml:space="preserve"> has data available up to 2021-2022. However, since survey years include different questions and response options, </w:t>
      </w:r>
      <w:r w:rsidR="00D51B15">
        <w:t xml:space="preserve">additional data cleaning and transformation is needed. </w:t>
      </w:r>
      <w:r w:rsidR="0084281F">
        <w:t xml:space="preserve">Data from 2021-2022 is notable in that respondents could select more than one gender or sexual orientation option, leading to more complex and nuanced responses. </w:t>
      </w:r>
      <w:r w:rsidR="00D51B15">
        <w:t xml:space="preserve">More granular analyses that focus on </w:t>
      </w:r>
      <w:r w:rsidR="00836C20">
        <w:t xml:space="preserve">these </w:t>
      </w:r>
      <w:r w:rsidR="00D51B15">
        <w:t xml:space="preserve">different identities would better inform results and impacts of this work. </w:t>
      </w:r>
      <w:r w:rsidR="00836C20">
        <w:t xml:space="preserve">The results of this current project indicate </w:t>
      </w:r>
      <w:r w:rsidR="000C570A">
        <w:t>different reported experiences within the</w:t>
      </w:r>
      <w:r w:rsidR="00836C20">
        <w:t xml:space="preserve"> </w:t>
      </w:r>
      <w:r w:rsidR="000C570A">
        <w:t>LGBTQ+ community, and more detailed analyses can better inform</w:t>
      </w:r>
      <w:r w:rsidR="00E4588E">
        <w:t xml:space="preserve"> more targeted and effective</w:t>
      </w:r>
      <w:r w:rsidR="000C570A">
        <w:t xml:space="preserve"> </w:t>
      </w:r>
      <w:r w:rsidR="00E4588E">
        <w:t>institutional policy.</w:t>
      </w:r>
    </w:p>
    <w:sectPr w:rsidR="00E05CFC" w:rsidSect="00AA41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75"/>
    <w:multiLevelType w:val="hybridMultilevel"/>
    <w:tmpl w:val="DF94E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F433B"/>
    <w:multiLevelType w:val="hybridMultilevel"/>
    <w:tmpl w:val="EB9C7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B5A00"/>
    <w:multiLevelType w:val="hybridMultilevel"/>
    <w:tmpl w:val="D0ACF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C6868"/>
    <w:multiLevelType w:val="hybridMultilevel"/>
    <w:tmpl w:val="3E32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12120">
    <w:abstractNumId w:val="2"/>
  </w:num>
  <w:num w:numId="2" w16cid:durableId="244842889">
    <w:abstractNumId w:val="0"/>
  </w:num>
  <w:num w:numId="3" w16cid:durableId="537743351">
    <w:abstractNumId w:val="1"/>
  </w:num>
  <w:num w:numId="4" w16cid:durableId="1144587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B6"/>
    <w:rsid w:val="0005634F"/>
    <w:rsid w:val="00073D1C"/>
    <w:rsid w:val="00095826"/>
    <w:rsid w:val="000C570A"/>
    <w:rsid w:val="00265B67"/>
    <w:rsid w:val="002A6234"/>
    <w:rsid w:val="002C2AE9"/>
    <w:rsid w:val="002E3931"/>
    <w:rsid w:val="00303264"/>
    <w:rsid w:val="00391B90"/>
    <w:rsid w:val="00437DFB"/>
    <w:rsid w:val="0044286A"/>
    <w:rsid w:val="004E212B"/>
    <w:rsid w:val="0051521C"/>
    <w:rsid w:val="00545407"/>
    <w:rsid w:val="00565E1F"/>
    <w:rsid w:val="00572D1B"/>
    <w:rsid w:val="005B6DEF"/>
    <w:rsid w:val="005E3C65"/>
    <w:rsid w:val="00611E2F"/>
    <w:rsid w:val="00836C20"/>
    <w:rsid w:val="0084281F"/>
    <w:rsid w:val="00920162"/>
    <w:rsid w:val="009A2552"/>
    <w:rsid w:val="00A82C67"/>
    <w:rsid w:val="00AB51E4"/>
    <w:rsid w:val="00AD0880"/>
    <w:rsid w:val="00B25495"/>
    <w:rsid w:val="00B45034"/>
    <w:rsid w:val="00B611C8"/>
    <w:rsid w:val="00C60A06"/>
    <w:rsid w:val="00C662AD"/>
    <w:rsid w:val="00D31AAA"/>
    <w:rsid w:val="00D51B15"/>
    <w:rsid w:val="00D95125"/>
    <w:rsid w:val="00E213AC"/>
    <w:rsid w:val="00E4216A"/>
    <w:rsid w:val="00E4588E"/>
    <w:rsid w:val="00ED6C38"/>
    <w:rsid w:val="00E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187F"/>
  <w15:chartTrackingRefBased/>
  <w15:docId w15:val="{E9329B91-D41E-4404-8437-A230181A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1C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1C"/>
    <w:pPr>
      <w:keepNext/>
      <w:keepLines/>
      <w:spacing w:before="40" w:after="0"/>
      <w:outlineLvl w:val="1"/>
    </w:pPr>
    <w:rPr>
      <w:rFonts w:eastAsiaTheme="majorEastAsia" w:cstheme="majorBidi"/>
      <w:b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1C"/>
    <w:rPr>
      <w:rFonts w:eastAsiaTheme="majorEastAsia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1C"/>
    <w:rPr>
      <w:rFonts w:eastAsiaTheme="majorEastAsia" w:cstheme="majorBidi"/>
      <w:b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EF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Mincer</dc:creator>
  <cp:keywords/>
  <dc:description/>
  <cp:lastModifiedBy>Sarah Mincer</cp:lastModifiedBy>
  <cp:revision>32</cp:revision>
  <dcterms:created xsi:type="dcterms:W3CDTF">2023-05-31T20:52:00Z</dcterms:created>
  <dcterms:modified xsi:type="dcterms:W3CDTF">2023-06-02T21:29:00Z</dcterms:modified>
</cp:coreProperties>
</file>