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B371" w14:textId="50D1602E" w:rsidR="000B6D32" w:rsidRDefault="008F45F0">
      <w:r>
        <w:t xml:space="preserve">In summer 2022 (May, June &amp; July) we sampled at </w:t>
      </w:r>
      <w:r w:rsidR="002264B7">
        <w:t xml:space="preserve">40 </w:t>
      </w:r>
      <w:r>
        <w:t xml:space="preserve">historical sites to determine the density of </w:t>
      </w:r>
      <w:r>
        <w:rPr>
          <w:i/>
          <w:iCs/>
        </w:rPr>
        <w:t xml:space="preserve">Ixodes scapularis </w:t>
      </w:r>
      <w:r>
        <w:t>nymphs across Rhode Island (RI). Additionally, we tested all nymphs for 6 tick-borne pathogens known or suspected to occur within RI. We analyzed our dataset to determine rates of infection and co-infection, environmental covariates that might mediate infection rates, and the spatial relationship of nymphal infection.</w:t>
      </w:r>
    </w:p>
    <w:p w14:paraId="7375F4E5" w14:textId="3D328B99" w:rsidR="006F236D" w:rsidRPr="00F0513E" w:rsidRDefault="00CD2A01">
      <w:pPr>
        <w:rPr>
          <w:iCs/>
        </w:rPr>
      </w:pPr>
      <w:r>
        <w:t xml:space="preserve">Overall, we collected 1566 </w:t>
      </w:r>
      <w:r>
        <w:rPr>
          <w:i/>
          <w:iCs/>
        </w:rPr>
        <w:t xml:space="preserve">I. scapularis </w:t>
      </w:r>
      <w:r w:rsidR="002264B7">
        <w:t xml:space="preserve">across 38 sites (2 sites </w:t>
      </w:r>
      <w:r w:rsidR="003B5DD8">
        <w:t>under testing) with</w:t>
      </w:r>
      <w:r>
        <w:t xml:space="preserve"> no nymphs found to be infected for </w:t>
      </w:r>
      <w:r>
        <w:rPr>
          <w:i/>
          <w:iCs/>
        </w:rPr>
        <w:t xml:space="preserve">Borrelia mayonii </w:t>
      </w:r>
      <w:r>
        <w:t xml:space="preserve">or </w:t>
      </w:r>
      <w:r>
        <w:rPr>
          <w:i/>
          <w:iCs/>
        </w:rPr>
        <w:t>Ehrlichia muris eauclairensis</w:t>
      </w:r>
      <w:r>
        <w:t>.</w:t>
      </w:r>
      <w:r w:rsidR="00906B92">
        <w:t xml:space="preserve"> Infection rates, considered here as # of infected nymphs, were as follows: 266 for </w:t>
      </w:r>
      <w:r w:rsidR="00906B92">
        <w:rPr>
          <w:i/>
          <w:iCs/>
        </w:rPr>
        <w:t>B. burgdorferi</w:t>
      </w:r>
      <w:r w:rsidR="006F236D">
        <w:rPr>
          <w:i/>
          <w:iCs/>
        </w:rPr>
        <w:t xml:space="preserve"> (Bb)</w:t>
      </w:r>
      <w:r w:rsidR="00906B92">
        <w:rPr>
          <w:i/>
          <w:iCs/>
        </w:rPr>
        <w:t xml:space="preserve">, 17 </w:t>
      </w:r>
      <w:r w:rsidR="00906B92">
        <w:t xml:space="preserve">for </w:t>
      </w:r>
      <w:r w:rsidR="00906B92">
        <w:rPr>
          <w:i/>
          <w:iCs/>
        </w:rPr>
        <w:t>B. miyamotoi</w:t>
      </w:r>
      <w:r w:rsidR="006F236D">
        <w:rPr>
          <w:i/>
          <w:iCs/>
        </w:rPr>
        <w:t xml:space="preserve"> (Bmy)</w:t>
      </w:r>
      <w:r w:rsidR="00906B92">
        <w:rPr>
          <w:i/>
          <w:iCs/>
        </w:rPr>
        <w:t xml:space="preserve">, </w:t>
      </w:r>
      <w:r w:rsidR="00906B92">
        <w:t xml:space="preserve">107 for </w:t>
      </w:r>
      <w:r w:rsidR="00906B92">
        <w:rPr>
          <w:i/>
          <w:iCs/>
        </w:rPr>
        <w:t>Babesia microt</w:t>
      </w:r>
      <w:r w:rsidR="00F54949">
        <w:rPr>
          <w:i/>
          <w:iCs/>
        </w:rPr>
        <w:t>i</w:t>
      </w:r>
      <w:r w:rsidR="006F236D">
        <w:rPr>
          <w:i/>
          <w:iCs/>
        </w:rPr>
        <w:t xml:space="preserve"> (Bam)</w:t>
      </w:r>
      <w:r w:rsidR="00906B92">
        <w:t xml:space="preserve">, 105 for </w:t>
      </w:r>
      <w:r w:rsidR="00906B92">
        <w:rPr>
          <w:i/>
          <w:iCs/>
        </w:rPr>
        <w:t>Anaplasmosis phagocytophilum</w:t>
      </w:r>
      <w:r w:rsidR="006F236D">
        <w:rPr>
          <w:i/>
          <w:iCs/>
        </w:rPr>
        <w:t xml:space="preserve"> (Ap)</w:t>
      </w:r>
      <w:r w:rsidR="00906B92">
        <w:rPr>
          <w:iCs/>
        </w:rPr>
        <w:t>, and 4 for Powassan Virus/Deer Tick Virus</w:t>
      </w:r>
      <w:r w:rsidR="006F236D">
        <w:rPr>
          <w:iCs/>
        </w:rPr>
        <w:t xml:space="preserve"> (DTV)</w:t>
      </w:r>
      <w:r w:rsidR="00906B92">
        <w:rPr>
          <w:iCs/>
        </w:rPr>
        <w:t>.</w:t>
      </w:r>
      <w:r w:rsidR="006F236D">
        <w:rPr>
          <w:iCs/>
        </w:rPr>
        <w:t xml:space="preserve"> Additionally, 65 nymphs were to be simultaneously infected with 2 or more pathogens simultaneously, hereafter referred to as co-infection. Among these co-infected nymphs, 2 nymphs were found to have a triple co-infection (</w:t>
      </w:r>
      <w:r w:rsidR="00406638">
        <w:rPr>
          <w:iCs/>
        </w:rPr>
        <w:t>simultaneous</w:t>
      </w:r>
      <w:r w:rsidR="006F236D">
        <w:rPr>
          <w:iCs/>
        </w:rPr>
        <w:t xml:space="preserve"> </w:t>
      </w:r>
      <w:r w:rsidR="00406638">
        <w:rPr>
          <w:iCs/>
        </w:rPr>
        <w:t>infection</w:t>
      </w:r>
      <w:r w:rsidR="006F236D">
        <w:rPr>
          <w:iCs/>
        </w:rPr>
        <w:t xml:space="preserve"> with</w:t>
      </w:r>
      <w:r w:rsidR="00406638">
        <w:rPr>
          <w:iCs/>
        </w:rPr>
        <w:t xml:space="preserve"> Bb/Bam/Ap)</w:t>
      </w:r>
      <w:r w:rsidR="00F54949">
        <w:rPr>
          <w:iCs/>
        </w:rPr>
        <w:t xml:space="preserve"> (Fig 7)</w:t>
      </w:r>
      <w:r w:rsidR="00406638">
        <w:rPr>
          <w:iCs/>
        </w:rPr>
        <w:t xml:space="preserve">. The remaining 63 nymphs only had double co-infections of varying frequency between pathogen combinations (Fig. 1). Interestingly, despite </w:t>
      </w:r>
      <w:r w:rsidR="00F0513E">
        <w:rPr>
          <w:iCs/>
        </w:rPr>
        <w:t xml:space="preserve">there being roughly similar rates of individual infections across nymphs, co-infection rates are substantially different between </w:t>
      </w:r>
      <w:r w:rsidR="00F0513E">
        <w:rPr>
          <w:i/>
        </w:rPr>
        <w:t xml:space="preserve">A. phagocytophilum </w:t>
      </w:r>
      <w:r w:rsidR="00F0513E">
        <w:rPr>
          <w:iCs/>
        </w:rPr>
        <w:t xml:space="preserve">an </w:t>
      </w:r>
      <w:r w:rsidR="00F0513E">
        <w:rPr>
          <w:i/>
        </w:rPr>
        <w:t>Ba. microti</w:t>
      </w:r>
      <w:r w:rsidR="00F0513E">
        <w:rPr>
          <w:iCs/>
        </w:rPr>
        <w:t xml:space="preserve">. In co-infection with </w:t>
      </w:r>
      <w:r w:rsidR="00F0513E">
        <w:rPr>
          <w:i/>
        </w:rPr>
        <w:t>B. burgdorferi</w:t>
      </w:r>
      <w:r w:rsidR="00F0513E">
        <w:rPr>
          <w:iCs/>
        </w:rPr>
        <w:t xml:space="preserve">, </w:t>
      </w:r>
      <w:r w:rsidR="00F0513E">
        <w:rPr>
          <w:i/>
        </w:rPr>
        <w:t xml:space="preserve">B. microti </w:t>
      </w:r>
      <w:r w:rsidR="00F0513E">
        <w:rPr>
          <w:iCs/>
        </w:rPr>
        <w:t xml:space="preserve">had nearly 2.5 times as many </w:t>
      </w:r>
      <w:r w:rsidR="002264B7">
        <w:rPr>
          <w:iCs/>
        </w:rPr>
        <w:t>infections</w:t>
      </w:r>
      <w:r w:rsidR="00F0513E">
        <w:rPr>
          <w:iCs/>
        </w:rPr>
        <w:t xml:space="preserve"> than co-infection with </w:t>
      </w:r>
      <w:r w:rsidR="00F0513E">
        <w:rPr>
          <w:i/>
        </w:rPr>
        <w:t>A. phagocytophilum</w:t>
      </w:r>
      <w:r w:rsidR="00F0513E">
        <w:rPr>
          <w:iCs/>
        </w:rPr>
        <w:t>. All other co-infection between 2 pathogens were low, generally not any higher than 5 infected nymphs.</w:t>
      </w:r>
    </w:p>
    <w:p w14:paraId="25010EA1" w14:textId="77777777" w:rsidR="00406638" w:rsidRDefault="00406638" w:rsidP="00406638">
      <w:pPr>
        <w:keepNext/>
      </w:pPr>
      <w:r>
        <w:rPr>
          <w:iCs/>
          <w:noProof/>
        </w:rPr>
        <w:drawing>
          <wp:inline distT="0" distB="0" distL="0" distR="0" wp14:anchorId="4AC4C0BF" wp14:editId="5011FB8B">
            <wp:extent cx="5416550" cy="4185674"/>
            <wp:effectExtent l="0" t="0" r="0" b="571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418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4F96" w14:textId="42763070" w:rsidR="00406638" w:rsidRDefault="00406638" w:rsidP="00406638">
      <w:pPr>
        <w:pStyle w:val="Caption"/>
      </w:pPr>
      <w:r>
        <w:t xml:space="preserve">Figure </w:t>
      </w:r>
      <w:fldSimple w:instr=" SEQ Figure \* ARABIC ">
        <w:r w:rsidR="00F54949">
          <w:rPr>
            <w:noProof/>
          </w:rPr>
          <w:t>1</w:t>
        </w:r>
      </w:fldSimple>
      <w:r>
        <w:t>. Graph of frequency of double co-infections across all observed pathogen combinations.</w:t>
      </w:r>
    </w:p>
    <w:p w14:paraId="274357A8" w14:textId="77777777" w:rsidR="00F54949" w:rsidRDefault="00F54949" w:rsidP="00F54949">
      <w:pPr>
        <w:keepNext/>
      </w:pPr>
      <w:r>
        <w:rPr>
          <w:noProof/>
        </w:rPr>
        <w:lastRenderedPageBreak/>
        <w:drawing>
          <wp:inline distT="0" distB="0" distL="0" distR="0" wp14:anchorId="21D38E25" wp14:editId="58E76B7E">
            <wp:extent cx="5943600" cy="4592955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4CB5" w14:textId="6C241515" w:rsidR="00F54949" w:rsidRDefault="00F54949" w:rsidP="00F5494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Frequency of infection type for I. scapularis nymphs</w:t>
      </w:r>
    </w:p>
    <w:p w14:paraId="2A1D5334" w14:textId="572247B2" w:rsidR="00C26989" w:rsidRPr="002264B7" w:rsidRDefault="00C26989" w:rsidP="00C26989">
      <w:r>
        <w:t>Continuing down the line to analyze relationship between pathogens, we used parametric statistical tests to determine if there was a positive, negative, or random relationship for occurrence between pathogen specie pairs. We performed analysis in terms of both prevalence and presence/absence. We used a specific package called “</w:t>
      </w:r>
      <w:proofErr w:type="spellStart"/>
      <w:r>
        <w:t>coccur</w:t>
      </w:r>
      <w:proofErr w:type="spellEnd"/>
      <w:r>
        <w:t xml:space="preserve">” in R, with built in tools for analysis. Relationship between pathogens were analyzed using the formula below (2). Here </w:t>
      </w:r>
      <w:r>
        <w:rPr>
          <w:i/>
          <w:iCs/>
        </w:rPr>
        <w:t xml:space="preserve">N </w:t>
      </w:r>
      <w:r>
        <w:t xml:space="preserve">= the number of sites where either species 1 or species 2 occurs. </w:t>
      </w:r>
      <w:r>
        <w:rPr>
          <w:i/>
          <w:iCs/>
        </w:rPr>
        <w:t xml:space="preserve">J = </w:t>
      </w:r>
      <w:r>
        <w:t>number of sites where both species 1 and species 2 occurs.</w:t>
      </w:r>
      <w:r w:rsidR="002264B7">
        <w:t xml:space="preserve"> </w:t>
      </w:r>
      <w:proofErr w:type="spellStart"/>
      <w:proofErr w:type="gramStart"/>
      <w:r w:rsidR="002264B7">
        <w:rPr>
          <w:i/>
          <w:iCs/>
        </w:rPr>
        <w:t>P</w:t>
      </w:r>
      <w:r w:rsidR="002264B7">
        <w:rPr>
          <w:i/>
          <w:iCs/>
          <w:vertAlign w:val="subscript"/>
        </w:rPr>
        <w:t>j</w:t>
      </w:r>
      <w:proofErr w:type="spellEnd"/>
      <w:r w:rsidR="002264B7">
        <w:rPr>
          <w:i/>
          <w:iCs/>
          <w:vertAlign w:val="subscript"/>
        </w:rPr>
        <w:t xml:space="preserve"> </w:t>
      </w:r>
      <w:r w:rsidR="002264B7">
        <w:rPr>
          <w:i/>
          <w:iCs/>
        </w:rPr>
        <w:t xml:space="preserve"> </w:t>
      </w:r>
      <w:r w:rsidR="002264B7">
        <w:t>=</w:t>
      </w:r>
      <w:proofErr w:type="gramEnd"/>
      <w:r w:rsidR="002264B7">
        <w:t xml:space="preserve"> the probability that 2 species co-occur at exactly </w:t>
      </w:r>
      <w:r w:rsidR="002264B7">
        <w:rPr>
          <w:i/>
          <w:iCs/>
        </w:rPr>
        <w:t xml:space="preserve">j </w:t>
      </w:r>
      <w:r w:rsidR="002264B7">
        <w:t>number of sites.</w:t>
      </w:r>
    </w:p>
    <w:p w14:paraId="21147D97" w14:textId="77777777" w:rsidR="00C26989" w:rsidRDefault="00C26989" w:rsidP="00C26989">
      <w:pPr>
        <w:keepNext/>
      </w:pPr>
      <w:r w:rsidRPr="00C26989">
        <w:drawing>
          <wp:inline distT="0" distB="0" distL="0" distR="0" wp14:anchorId="2CCBAA6C" wp14:editId="604BEDC5">
            <wp:extent cx="1892300" cy="827882"/>
            <wp:effectExtent l="0" t="0" r="0" b="0"/>
            <wp:docPr id="2" name="Picture 2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white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9872" cy="83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6C40" w14:textId="0A61F2F1" w:rsidR="00C26989" w:rsidRDefault="00C26989" w:rsidP="00C26989">
      <w:pPr>
        <w:pStyle w:val="Caption"/>
      </w:pPr>
      <w:r>
        <w:t xml:space="preserve">Figure </w:t>
      </w:r>
      <w:fldSimple w:instr=" SEQ Figure \* ARABIC ">
        <w:r w:rsidR="00F54949">
          <w:rPr>
            <w:noProof/>
          </w:rPr>
          <w:t>3</w:t>
        </w:r>
      </w:fldSimple>
      <w:r>
        <w:t xml:space="preserve">. Formula to determine relationship between pathogen into </w:t>
      </w:r>
      <w:r w:rsidR="002264B7">
        <w:t>positive</w:t>
      </w:r>
      <w:r>
        <w:t>, negative, or random.</w:t>
      </w:r>
    </w:p>
    <w:p w14:paraId="6CCB829E" w14:textId="4FA9D65E" w:rsidR="00C26989" w:rsidRDefault="002264B7" w:rsidP="00C26989">
      <w:r>
        <w:t xml:space="preserve">Based on this analysis we consider infection of terms of spatial sites </w:t>
      </w:r>
      <w:proofErr w:type="gramStart"/>
      <w:r>
        <w:t>were</w:t>
      </w:r>
      <w:proofErr w:type="gramEnd"/>
      <w:r>
        <w:t xml:space="preserve"> we sampled and as each individual nymph as a “site”. Since nymphs experience differing selection pressure due to host movements and interaction between </w:t>
      </w:r>
      <w:r w:rsidR="00D76C55">
        <w:t>pathogen,</w:t>
      </w:r>
      <w:r>
        <w:t xml:space="preserve"> we think this a reasonable generalization for what </w:t>
      </w:r>
      <w:r>
        <w:lastRenderedPageBreak/>
        <w:t xml:space="preserve">constitutes. In terms of sites, we found that all possible double combinations for all pathogens </w:t>
      </w:r>
      <w:r w:rsidR="00D76C55">
        <w:t>except</w:t>
      </w:r>
      <w:r>
        <w:t xml:space="preserve"> Deer Tick Virus we positively associated. This is unsurprising considering th</w:t>
      </w:r>
      <w:r w:rsidR="00D76C55">
        <w:t xml:space="preserve">e number of collected nymphs and the closeness of sites. However, when we analyzed co-occurrence across individuals, we found that the only non-random positive association was between </w:t>
      </w:r>
      <w:r w:rsidR="00D76C55">
        <w:rPr>
          <w:i/>
          <w:iCs/>
        </w:rPr>
        <w:t xml:space="preserve">B. burgdorferi </w:t>
      </w:r>
      <w:r w:rsidR="00D76C55">
        <w:t xml:space="preserve">and </w:t>
      </w:r>
      <w:r w:rsidR="00D76C55">
        <w:rPr>
          <w:i/>
          <w:iCs/>
        </w:rPr>
        <w:t xml:space="preserve">Ba. microti </w:t>
      </w:r>
      <w:r w:rsidR="00D76C55">
        <w:t>(P-values .0001) (Figure 2.). All other pair combinations were found to be purely random.</w:t>
      </w:r>
      <w:r w:rsidR="003B5DD8">
        <w:t xml:space="preserve"> Additionally, we found that considering abundance of pathogen species at a site (# of infected nymphs) all associations between pathogen pairs were random.</w:t>
      </w:r>
    </w:p>
    <w:p w14:paraId="06525933" w14:textId="77777777" w:rsidR="003B5DD8" w:rsidRDefault="003B5DD8" w:rsidP="003B5DD8">
      <w:pPr>
        <w:keepNext/>
      </w:pPr>
      <w:r>
        <w:rPr>
          <w:noProof/>
        </w:rPr>
        <w:drawing>
          <wp:inline distT="0" distB="0" distL="0" distR="0" wp14:anchorId="4D4DD70E" wp14:editId="40C88584">
            <wp:extent cx="4381500" cy="3361023"/>
            <wp:effectExtent l="0" t="0" r="0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5EAF" w14:textId="551DAC86" w:rsidR="003B5DD8" w:rsidRDefault="003B5DD8" w:rsidP="003B5DD8">
      <w:pPr>
        <w:pStyle w:val="Caption"/>
      </w:pPr>
      <w:r>
        <w:t xml:space="preserve">Figure </w:t>
      </w:r>
      <w:fldSimple w:instr=" SEQ Figure \* ARABIC ">
        <w:r w:rsidR="00F54949">
          <w:rPr>
            <w:noProof/>
          </w:rPr>
          <w:t>4</w:t>
        </w:r>
      </w:fldSimple>
      <w:r>
        <w:t>. Species Co-occurrence matrix for pathogen species within individuals I. scapularis nymphs.</w:t>
      </w:r>
    </w:p>
    <w:p w14:paraId="713B5A7A" w14:textId="5846D2A7" w:rsidR="00D76C55" w:rsidRPr="008D6FAF" w:rsidRDefault="003B5DD8" w:rsidP="00C26989">
      <w:r>
        <w:t>We then fit a Generalized linear model (GLM) to understand if rates of non-</w:t>
      </w:r>
      <w:r>
        <w:rPr>
          <w:i/>
          <w:iCs/>
        </w:rPr>
        <w:t xml:space="preserve">B. burgdorferi </w:t>
      </w:r>
      <w:r>
        <w:t xml:space="preserve">influenced rates of </w:t>
      </w:r>
      <w:r>
        <w:rPr>
          <w:i/>
          <w:iCs/>
        </w:rPr>
        <w:t xml:space="preserve">B. burgdorferi </w:t>
      </w:r>
      <w:r>
        <w:t xml:space="preserve">infection in nymphs. This is distinct from the previous analysis since this only consider a </w:t>
      </w:r>
      <w:r w:rsidR="00507570">
        <w:t>corollary relationship among singular infection rates at the site level</w:t>
      </w:r>
      <w:r>
        <w:t xml:space="preserve"> rather than </w:t>
      </w:r>
      <w:r w:rsidR="00507570">
        <w:t xml:space="preserve">co-infections. Using a gaussian distribution with a logit link function we used </w:t>
      </w:r>
      <w:r w:rsidR="00507570" w:rsidRPr="00507570">
        <w:rPr>
          <w:i/>
          <w:iCs/>
        </w:rPr>
        <w:t xml:space="preserve">A. phagocytophilum, Ba. microti, </w:t>
      </w:r>
      <w:r w:rsidR="00507570" w:rsidRPr="00507570">
        <w:t>and</w:t>
      </w:r>
      <w:r w:rsidR="00507570" w:rsidRPr="00507570">
        <w:rPr>
          <w:i/>
          <w:iCs/>
        </w:rPr>
        <w:t xml:space="preserve"> B. miyamotoi</w:t>
      </w:r>
      <w:r w:rsidR="00507570">
        <w:rPr>
          <w:i/>
          <w:iCs/>
        </w:rPr>
        <w:t xml:space="preserve"> </w:t>
      </w:r>
      <w:r w:rsidR="00507570">
        <w:t xml:space="preserve">as predictors and </w:t>
      </w:r>
      <w:r w:rsidR="00507570">
        <w:rPr>
          <w:i/>
          <w:iCs/>
        </w:rPr>
        <w:t xml:space="preserve">B. burgdorferi </w:t>
      </w:r>
      <w:r w:rsidR="00507570">
        <w:t xml:space="preserve">as the response variable. All variables were square root transform to normalize the distribution. We found that while </w:t>
      </w:r>
      <w:r w:rsidR="00507570">
        <w:rPr>
          <w:i/>
          <w:iCs/>
        </w:rPr>
        <w:t xml:space="preserve">B. miyamotoi </w:t>
      </w:r>
      <w:proofErr w:type="gramStart"/>
      <w:r w:rsidR="00507570">
        <w:t>( P</w:t>
      </w:r>
      <w:proofErr w:type="gramEnd"/>
      <w:r w:rsidR="00507570">
        <w:t>-value</w:t>
      </w:r>
      <w:r w:rsidR="00B165F1">
        <w:t xml:space="preserve"> .009)</w:t>
      </w:r>
      <w:r w:rsidR="00507570">
        <w:t xml:space="preserve"> and </w:t>
      </w:r>
      <w:r w:rsidR="00507570">
        <w:rPr>
          <w:i/>
          <w:iCs/>
        </w:rPr>
        <w:t xml:space="preserve">Ba. microti </w:t>
      </w:r>
      <w:r w:rsidR="00B165F1">
        <w:t>(P</w:t>
      </w:r>
      <w:r w:rsidR="00B165F1">
        <w:t xml:space="preserve">-value &lt; .0001) </w:t>
      </w:r>
      <w:r w:rsidR="00507570">
        <w:t xml:space="preserve">were significant predictors of </w:t>
      </w:r>
      <w:r w:rsidR="00507570">
        <w:rPr>
          <w:i/>
          <w:iCs/>
        </w:rPr>
        <w:t xml:space="preserve">B. burgdorferi </w:t>
      </w:r>
      <w:r w:rsidR="00507570">
        <w:t xml:space="preserve">singular infection rates, </w:t>
      </w:r>
      <w:r w:rsidR="00507570">
        <w:rPr>
          <w:i/>
          <w:iCs/>
        </w:rPr>
        <w:t xml:space="preserve">A. phagocytophilum </w:t>
      </w:r>
      <w:r w:rsidR="00507570">
        <w:t>was not</w:t>
      </w:r>
      <w:r w:rsidR="00B165F1">
        <w:t xml:space="preserve"> (P value .759)</w:t>
      </w:r>
      <w:r w:rsidR="00507570">
        <w:t xml:space="preserve"> (Table 1</w:t>
      </w:r>
      <w:r w:rsidR="00B165F1">
        <w:t xml:space="preserve">). Model Coefficients suggest that when </w:t>
      </w:r>
      <w:r w:rsidR="00B165F1">
        <w:rPr>
          <w:i/>
          <w:iCs/>
        </w:rPr>
        <w:t xml:space="preserve">Ba. microti </w:t>
      </w:r>
      <w:r w:rsidR="00B165F1">
        <w:t xml:space="preserve">and </w:t>
      </w:r>
      <w:r w:rsidR="00B165F1">
        <w:rPr>
          <w:i/>
          <w:iCs/>
        </w:rPr>
        <w:t xml:space="preserve">B. miyamotoi </w:t>
      </w:r>
      <w:r w:rsidR="00B165F1">
        <w:t xml:space="preserve">infection rates rise than </w:t>
      </w:r>
      <w:r w:rsidR="00B165F1">
        <w:rPr>
          <w:i/>
          <w:iCs/>
        </w:rPr>
        <w:t xml:space="preserve">B. burgdorferi </w:t>
      </w:r>
      <w:r w:rsidR="00B165F1">
        <w:t>infection rates rise in tandem.</w:t>
      </w:r>
      <w:r w:rsidR="00507570">
        <w:t xml:space="preserve"> However, when we tested models </w:t>
      </w:r>
      <w:r w:rsidR="00B165F1" w:rsidRPr="00B165F1">
        <w:rPr>
          <w:i/>
          <w:iCs/>
        </w:rPr>
        <w:t>A. phagocytophilu</w:t>
      </w:r>
      <w:r w:rsidR="00B165F1">
        <w:t xml:space="preserve">m was significant until </w:t>
      </w:r>
      <w:r w:rsidR="00B165F1">
        <w:rPr>
          <w:i/>
          <w:iCs/>
        </w:rPr>
        <w:t xml:space="preserve">Ba. microti </w:t>
      </w:r>
      <w:r w:rsidR="00B165F1">
        <w:t xml:space="preserve">was included as a predictor. </w:t>
      </w:r>
      <w:r w:rsidR="00B165F1">
        <w:rPr>
          <w:i/>
          <w:iCs/>
        </w:rPr>
        <w:t>B. miyamotoi</w:t>
      </w:r>
      <w:r w:rsidR="00B165F1">
        <w:t xml:space="preserve"> Among all models tested AIC score was lowest for the currently discussed model, suggesting that the data is a good fit for this model.</w:t>
      </w:r>
      <w:r w:rsidR="008D6FAF">
        <w:t xml:space="preserve"> An issue of collinearity may arise due to the high correlation between </w:t>
      </w:r>
      <w:r w:rsidR="008D6FAF" w:rsidRPr="008D6FAF">
        <w:rPr>
          <w:i/>
          <w:iCs/>
        </w:rPr>
        <w:t>B. burgdorferi</w:t>
      </w:r>
      <w:r w:rsidR="008D6FAF">
        <w:t xml:space="preserve"> and all other pathogens, but we consider the non-significance of </w:t>
      </w:r>
      <w:r w:rsidR="008D6FAF">
        <w:rPr>
          <w:i/>
          <w:iCs/>
        </w:rPr>
        <w:t xml:space="preserve">A. phagocytophilum </w:t>
      </w:r>
      <w:r w:rsidR="008D6FAF">
        <w:t>to be confirmation of non-collinearity.</w:t>
      </w:r>
    </w:p>
    <w:p w14:paraId="6A09C8F0" w14:textId="62AF8470" w:rsidR="00F54949" w:rsidRDefault="00F54949" w:rsidP="00F54949">
      <w:pPr>
        <w:pStyle w:val="Caption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Summary table of B. burgdorferi infection rate as function of other singular pathogen infection rates.</w:t>
      </w:r>
    </w:p>
    <w:p w14:paraId="0C23279E" w14:textId="77777777" w:rsidR="00507570" w:rsidRDefault="00507570" w:rsidP="00507570">
      <w:pPr>
        <w:keepNext/>
      </w:pPr>
      <w:r w:rsidRPr="00507570">
        <w:drawing>
          <wp:inline distT="0" distB="0" distL="0" distR="0" wp14:anchorId="42400BBF" wp14:editId="6C8DF550">
            <wp:extent cx="4591286" cy="220991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58FC" w14:textId="16C85AE8" w:rsidR="008D6FAF" w:rsidRDefault="008D6FAF" w:rsidP="008D6FAF">
      <w:pPr>
        <w:rPr>
          <w:i/>
          <w:iCs/>
        </w:rPr>
      </w:pPr>
      <w:r>
        <w:t>We additionally tested models to understand if probability of a nymph becoming infected with a specific pathogen. As infection status is binary (infected/not infected) we assumed a binomial distribution with a logit link function in a GLM. We considered TAMEs</w:t>
      </w:r>
      <w:r w:rsidR="0044482A">
        <w:t xml:space="preserve"> (Tick adverse humidity events)</w:t>
      </w:r>
      <w:r>
        <w:t>, % forest cover, and the interaction between them for use in predicting infection across all pathogens.</w:t>
      </w:r>
      <w:r w:rsidR="00A2235E">
        <w:t xml:space="preserve"> We also attempted to use % forest cover across deciduous, coniferous, and mixed forest but found them to be highly correlated and collinear due to high coefficients we found in model testing</w:t>
      </w:r>
      <w:r>
        <w:t xml:space="preserve"> We also fit a model with these covariates to determine if the same held true for co-infection probability. A separate GLM was fitted for each mode</w:t>
      </w:r>
      <w:r w:rsidR="00A2235E">
        <w:t>. The model of best fit for all pathogens and co-infections was found to be that included all covariates and the interaction between them.</w:t>
      </w:r>
      <w:r w:rsidR="0044482A">
        <w:t xml:space="preserve"> We found that models that included TAMEs and % forest cover and their interactions as the best fit for the data. We found that TAMEs, % forest cover, and interaction was not significant for </w:t>
      </w:r>
      <w:r w:rsidR="0044482A">
        <w:rPr>
          <w:i/>
          <w:iCs/>
        </w:rPr>
        <w:t xml:space="preserve">B. miyamotoi </w:t>
      </w:r>
      <w:r w:rsidR="0044482A">
        <w:t xml:space="preserve">and </w:t>
      </w:r>
      <w:r w:rsidR="0044482A">
        <w:rPr>
          <w:i/>
          <w:iCs/>
        </w:rPr>
        <w:t>A. phagocytophilum</w:t>
      </w:r>
      <w:r w:rsidR="0044482A">
        <w:t xml:space="preserve">. % forest cover was significant for </w:t>
      </w:r>
      <w:r w:rsidR="0044482A">
        <w:rPr>
          <w:i/>
          <w:iCs/>
        </w:rPr>
        <w:t xml:space="preserve">Ba. microti </w:t>
      </w:r>
      <w:r w:rsidR="0044482A">
        <w:t xml:space="preserve">and co-infection. TAMES, % forest cover, and interaction was only significant for </w:t>
      </w:r>
      <w:r w:rsidR="0044482A">
        <w:rPr>
          <w:i/>
          <w:iCs/>
        </w:rPr>
        <w:t>B. burgdorferi</w:t>
      </w:r>
      <w:r w:rsidR="00F54949">
        <w:rPr>
          <w:i/>
          <w:iCs/>
        </w:rPr>
        <w:t xml:space="preserve"> </w:t>
      </w:r>
      <w:r w:rsidR="00F54949">
        <w:t>(Table 2)</w:t>
      </w:r>
      <w:r w:rsidR="0044482A">
        <w:rPr>
          <w:i/>
          <w:iCs/>
        </w:rPr>
        <w:t>.</w:t>
      </w:r>
    </w:p>
    <w:p w14:paraId="11A52936" w14:textId="0153435B" w:rsidR="00F54949" w:rsidRDefault="00F54949" w:rsidP="00F54949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. summary table of B. burgdorferi for environmental covariates model</w:t>
      </w:r>
    </w:p>
    <w:p w14:paraId="1F5431DA" w14:textId="08F84363" w:rsidR="00F54949" w:rsidRDefault="00F54949" w:rsidP="008D6FAF">
      <w:pPr>
        <w:rPr>
          <w:i/>
          <w:iCs/>
        </w:rPr>
      </w:pPr>
      <w:r w:rsidRPr="00F54949">
        <w:rPr>
          <w:i/>
          <w:iCs/>
        </w:rPr>
        <w:drawing>
          <wp:inline distT="0" distB="0" distL="0" distR="0" wp14:anchorId="373DEC81" wp14:editId="1DDC5674">
            <wp:extent cx="4108661" cy="2235315"/>
            <wp:effectExtent l="0" t="0" r="6350" b="0"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A13B" w14:textId="1D23EA5E" w:rsidR="0044482A" w:rsidRDefault="0044482A" w:rsidP="008D6FAF">
      <w:r>
        <w:t xml:space="preserve">Next, we analyzed spatial dependence for all pathogens. To do this considered all previous covariates but added a nugget effect to the model. In short, a low nugget effect suggests that a variable does not </w:t>
      </w:r>
      <w:r>
        <w:lastRenderedPageBreak/>
        <w:t xml:space="preserve">experience large scale variability compared to similar spatial points surrounding the measured point. A high nugget suggests the variability is so high that a spatial point, in our case a site, does not share similarity with nearby measured sites. </w:t>
      </w:r>
      <w:r w:rsidR="005F7E3C">
        <w:t>Nugget must be compared to the range, which denotes distance between sites. We assumed a zero inflated distribution and a spherical spatial correlation function. We did not consider Deer Tick Virus due to low prevalence.</w:t>
      </w:r>
      <w:r>
        <w:t xml:space="preserve"> </w:t>
      </w:r>
      <w:r w:rsidR="005F7E3C">
        <w:t>We found there to be a moderate spatial association for A. phagocytophilum</w:t>
      </w:r>
      <w:r w:rsidR="00F54949">
        <w:t xml:space="preserve"> (Table 3)</w:t>
      </w:r>
      <w:r w:rsidR="005F7E3C">
        <w:t xml:space="preserve"> but not for any other pathogen, co-infections, or total infection.</w:t>
      </w:r>
    </w:p>
    <w:p w14:paraId="41E6E535" w14:textId="592476F9" w:rsidR="00F54949" w:rsidRDefault="00F54949" w:rsidP="00F54949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. model output for spatial association of A. phagocytophilum</w:t>
      </w:r>
    </w:p>
    <w:p w14:paraId="05E2DCC9" w14:textId="51357371" w:rsidR="00F54949" w:rsidRDefault="00F54949" w:rsidP="008D6FAF">
      <w:r w:rsidRPr="00F54949">
        <w:drawing>
          <wp:inline distT="0" distB="0" distL="0" distR="0" wp14:anchorId="0A9A8A0D" wp14:editId="65AEB996">
            <wp:extent cx="4140413" cy="143517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9771" w14:textId="690227D3" w:rsidR="005F7E3C" w:rsidRPr="0044482A" w:rsidRDefault="005F7E3C" w:rsidP="008D6FAF">
      <w:r>
        <w:t>Overall, while there are some associations between pathogens, we could not identify any strong spatial relationship for any pathogen or co-infection except for A. phagocytophilum.</w:t>
      </w:r>
    </w:p>
    <w:sectPr w:rsidR="005F7E3C" w:rsidRPr="0044482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B829D" w14:textId="77777777" w:rsidR="00636FD2" w:rsidRDefault="00636FD2" w:rsidP="00F54949">
      <w:pPr>
        <w:spacing w:after="0" w:line="240" w:lineRule="auto"/>
      </w:pPr>
      <w:r>
        <w:separator/>
      </w:r>
    </w:p>
  </w:endnote>
  <w:endnote w:type="continuationSeparator" w:id="0">
    <w:p w14:paraId="2057E422" w14:textId="77777777" w:rsidR="00636FD2" w:rsidRDefault="00636FD2" w:rsidP="00F5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B7E30" w14:textId="77777777" w:rsidR="00636FD2" w:rsidRDefault="00636FD2" w:rsidP="00F54949">
      <w:pPr>
        <w:spacing w:after="0" w:line="240" w:lineRule="auto"/>
      </w:pPr>
      <w:r>
        <w:separator/>
      </w:r>
    </w:p>
  </w:footnote>
  <w:footnote w:type="continuationSeparator" w:id="0">
    <w:p w14:paraId="45198FFD" w14:textId="77777777" w:rsidR="00636FD2" w:rsidRDefault="00636FD2" w:rsidP="00F54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FD535" w14:textId="7CA5312D" w:rsidR="00F54949" w:rsidRDefault="00F54949">
    <w:pPr>
      <w:pStyle w:val="Header"/>
    </w:pPr>
    <w:r>
      <w:t>TK Wallace</w:t>
    </w:r>
  </w:p>
  <w:p w14:paraId="685C785E" w14:textId="335A4A89" w:rsidR="00F54949" w:rsidRDefault="00F54949">
    <w:pPr>
      <w:pStyle w:val="Header"/>
    </w:pPr>
    <w:r>
      <w:t>Summary Analysis 5/1/2023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MrM0NzO2sLQ0M7VQ0lEKTi0uzszPAykwrAUA+vl1pCwAAAA="/>
  </w:docVars>
  <w:rsids>
    <w:rsidRoot w:val="000B6D32"/>
    <w:rsid w:val="000B6D32"/>
    <w:rsid w:val="002264B7"/>
    <w:rsid w:val="002D7D95"/>
    <w:rsid w:val="003B5DD8"/>
    <w:rsid w:val="00406638"/>
    <w:rsid w:val="0044482A"/>
    <w:rsid w:val="00507570"/>
    <w:rsid w:val="005F7E3C"/>
    <w:rsid w:val="00602802"/>
    <w:rsid w:val="00636FD2"/>
    <w:rsid w:val="006F236D"/>
    <w:rsid w:val="008D6FAF"/>
    <w:rsid w:val="008F45F0"/>
    <w:rsid w:val="00906B92"/>
    <w:rsid w:val="009F7A3D"/>
    <w:rsid w:val="00A2235E"/>
    <w:rsid w:val="00B165F1"/>
    <w:rsid w:val="00C26989"/>
    <w:rsid w:val="00CD2A01"/>
    <w:rsid w:val="00D76C55"/>
    <w:rsid w:val="00D971DA"/>
    <w:rsid w:val="00F0513E"/>
    <w:rsid w:val="00F5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42BE"/>
  <w15:chartTrackingRefBased/>
  <w15:docId w15:val="{C9A28F6B-E0A3-4E73-BD07-71C27395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066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949"/>
  </w:style>
  <w:style w:type="paragraph" w:styleId="Footer">
    <w:name w:val="footer"/>
    <w:basedOn w:val="Normal"/>
    <w:link w:val="FooterChar"/>
    <w:uiPriority w:val="99"/>
    <w:unhideWhenUsed/>
    <w:rsid w:val="00F5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wallace</dc:creator>
  <cp:keywords/>
  <dc:description/>
  <cp:lastModifiedBy>thomas wallace</cp:lastModifiedBy>
  <cp:revision>2</cp:revision>
  <dcterms:created xsi:type="dcterms:W3CDTF">2023-05-02T02:52:00Z</dcterms:created>
  <dcterms:modified xsi:type="dcterms:W3CDTF">2023-05-02T02:52:00Z</dcterms:modified>
</cp:coreProperties>
</file>