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دليل الاستخدام الكامل</w:t>
      </w:r>
    </w:p>
    <w:p>
      <w:pPr>
        <w:spacing w:after="160"/>
        <w:jc w:val="center"/>
      </w:pPr>
      <w:r>
        <w:rPr>
          <w:color w:val="666666"/>
          <w:sz w:val="24"/>
          <w:szCs w:val="24"/>
        </w:rPr>
        <w:t xml:space="preserve">وحدة PrestaShop 8 و 9 — الإصدار 1.0.31</w:t>
      </w:r>
    </w:p>
    <w:p>
      <w:pPr>
        <w:spacing w:after="2400"/>
        <w:jc w:val="center"/>
      </w:pPr>
      <w:r>
        <w:rPr>
          <w:color w:val="999999"/>
          <w:sz w:val="22"/>
          <w:szCs w:val="22"/>
        </w:rPr>
        <w:t xml:space="preserve">19 لغة  ·  117 قالبًا  ·  88 ميزة</w:t>
      </w:r>
    </w:p>
    <w:p>
      <w:pPr>
        <w:jc w:val="center"/>
      </w:pPr>
      <w:r>
        <w:rPr>
          <w:color w:val="999999"/>
          <w:sz w:val="18"/>
          <w:szCs w:val="18"/>
        </w:rPr>
        <w:t xml:space="preserve">© 2026 Neriasoftware — جميع الحقوق محفوظة</w:t>
      </w:r>
    </w:p>
    <w:p>
      <w:r>
        <w:br w:type="page"/>
      </w:r>
    </w:p>
    <w:p>
      <w:pPr>
        <w:pStyle w:val="Heading1"/>
        <w:spacing w:after="200" w:before="400"/>
      </w:pPr>
      <w:r>
        <w:t xml:space="preserve">الفهرس</w:t>
      </w:r>
    </w:p>
    <w:p>
      <w:pPr>
        <w:tabs>
          <w:tab w:val="right" w:pos="9026" w:leader="dot"/>
        </w:tabs>
        <w:spacing w:after="60"/>
        <w:ind w:left="0"/>
      </w:pPr>
      <w:hyperlink w:history="1" w:anchor="sec1">
        <w:r>
          <w:rPr>
            <w:b/>
            <w:bCs/>
            <w:color w:val="2B2520"/>
            <w:sz w:val="22"/>
            <w:szCs w:val="22"/>
          </w:rPr>
          <w:t xml:space="preserve">1. حول Neria</w:t>
        </w:r>
      </w:hyperlink>
    </w:p>
    <w:p>
      <w:pPr>
        <w:tabs>
          <w:tab w:val="right" w:pos="9026" w:leader="dot"/>
        </w:tabs>
        <w:spacing w:after="20"/>
        <w:ind w:left="340"/>
      </w:pPr>
      <w:hyperlink w:history="1" w:anchor="sec2">
        <w:r>
          <w:rPr>
            <w:b w:val="false"/>
            <w:bCs w:val="false"/>
            <w:color w:val="666666"/>
            <w:sz w:val="20"/>
            <w:szCs w:val="20"/>
          </w:rPr>
          <w:t xml:space="preserve">1.1 التوافقية</w:t>
        </w:r>
      </w:hyperlink>
    </w:p>
    <w:p>
      <w:pPr>
        <w:tabs>
          <w:tab w:val="right" w:pos="9026" w:leader="dot"/>
        </w:tabs>
        <w:spacing w:after="20"/>
        <w:ind w:left="340"/>
      </w:pPr>
      <w:hyperlink w:history="1" w:anchor="sec3">
        <w:r>
          <w:rPr>
            <w:b w:val="false"/>
            <w:bCs w:val="false"/>
            <w:color w:val="666666"/>
            <w:sz w:val="20"/>
            <w:szCs w:val="20"/>
          </w:rPr>
          <w:t xml:space="preserve">1.2 ما تقوم به Neria تلقائيًا</w:t>
        </w:r>
      </w:hyperlink>
    </w:p>
    <w:p>
      <w:pPr>
        <w:tabs>
          <w:tab w:val="right" w:pos="9026" w:leader="dot"/>
        </w:tabs>
        <w:spacing w:after="20"/>
        <w:ind w:left="340"/>
      </w:pPr>
      <w:hyperlink w:history="1" w:anchor="sec4">
        <w:r>
          <w:rPr>
            <w:b w:val="false"/>
            <w:bCs w:val="false"/>
            <w:color w:val="666666"/>
            <w:sz w:val="20"/>
            <w:szCs w:val="20"/>
          </w:rPr>
          <w:t xml:space="preserve">1.3 الاتصالات الشبكية الخارجية</w:t>
        </w:r>
      </w:hyperlink>
    </w:p>
    <w:p>
      <w:pPr>
        <w:tabs>
          <w:tab w:val="right" w:pos="9026" w:leader="dot"/>
        </w:tabs>
        <w:spacing w:after="60"/>
        <w:ind w:left="0"/>
      </w:pPr>
      <w:hyperlink w:history="1" w:anchor="sec5">
        <w:r>
          <w:rPr>
            <w:b/>
            <w:bCs/>
            <w:color w:val="2B2520"/>
            <w:sz w:val="22"/>
            <w:szCs w:val="22"/>
          </w:rPr>
          <w:t xml:space="preserve">2. المتطلبات التقنية</w:t>
        </w:r>
      </w:hyperlink>
    </w:p>
    <w:p>
      <w:pPr>
        <w:tabs>
          <w:tab w:val="right" w:pos="9026" w:leader="dot"/>
        </w:tabs>
        <w:spacing w:after="20"/>
        <w:ind w:left="340"/>
      </w:pPr>
      <w:hyperlink w:history="1" w:anchor="sec6">
        <w:r>
          <w:rPr>
            <w:b w:val="false"/>
            <w:bCs w:val="false"/>
            <w:color w:val="666666"/>
            <w:sz w:val="20"/>
            <w:szCs w:val="20"/>
          </w:rPr>
          <w:t xml:space="preserve">2.1 بيئة الخادم</w:t>
        </w:r>
      </w:hyperlink>
    </w:p>
    <w:p>
      <w:pPr>
        <w:tabs>
          <w:tab w:val="right" w:pos="9026" w:leader="dot"/>
        </w:tabs>
        <w:spacing w:after="20"/>
        <w:ind w:left="340"/>
      </w:pPr>
      <w:hyperlink w:history="1" w:anchor="sec7">
        <w:r>
          <w:rPr>
            <w:b w:val="false"/>
            <w:bCs w:val="false"/>
            <w:color w:val="666666"/>
            <w:sz w:val="20"/>
            <w:szCs w:val="20"/>
          </w:rPr>
          <w:t xml:space="preserve">2.2 خطافات PrestaShop المُستخدَمة</w:t>
        </w:r>
      </w:hyperlink>
    </w:p>
    <w:p>
      <w:pPr>
        <w:tabs>
          <w:tab w:val="right" w:pos="9026" w:leader="dot"/>
        </w:tabs>
        <w:spacing w:after="20"/>
        <w:ind w:left="340"/>
      </w:pPr>
      <w:hyperlink w:history="1" w:anchor="sec8">
        <w:r>
          <w:rPr>
            <w:b w:val="false"/>
            <w:bCs w:val="false"/>
            <w:color w:val="666666"/>
            <w:sz w:val="20"/>
            <w:szCs w:val="20"/>
          </w:rPr>
          <w:t xml:space="preserve">2.3 جداول SQL المُنشأة</w:t>
        </w:r>
      </w:hyperlink>
    </w:p>
    <w:p>
      <w:pPr>
        <w:tabs>
          <w:tab w:val="right" w:pos="9026" w:leader="dot"/>
        </w:tabs>
        <w:spacing w:after="60"/>
        <w:ind w:left="0"/>
      </w:pPr>
      <w:hyperlink w:history="1" w:anchor="sec9">
        <w:r>
          <w:rPr>
            <w:b/>
            <w:bCs/>
            <w:color w:val="2B2520"/>
            <w:sz w:val="22"/>
            <w:szCs w:val="22"/>
          </w:rPr>
          <w:t xml:space="preserve">3. التثبيت</w:t>
        </w:r>
      </w:hyperlink>
    </w:p>
    <w:p>
      <w:pPr>
        <w:tabs>
          <w:tab w:val="right" w:pos="9026" w:leader="dot"/>
        </w:tabs>
        <w:spacing w:after="20"/>
        <w:ind w:left="340"/>
      </w:pPr>
      <w:hyperlink w:history="1" w:anchor="sec10">
        <w:r>
          <w:rPr>
            <w:b w:val="false"/>
            <w:bCs w:val="false"/>
            <w:color w:val="666666"/>
            <w:sz w:val="20"/>
            <w:szCs w:val="20"/>
          </w:rPr>
          <w:t xml:space="preserve">3.1 من PrestaShop Addons (موصى به)</w:t>
        </w:r>
      </w:hyperlink>
    </w:p>
    <w:p>
      <w:pPr>
        <w:tabs>
          <w:tab w:val="right" w:pos="9026" w:leader="dot"/>
        </w:tabs>
        <w:spacing w:after="20"/>
        <w:ind w:left="340"/>
      </w:pPr>
      <w:hyperlink w:history="1" w:anchor="sec11">
        <w:r>
          <w:rPr>
            <w:b w:val="false"/>
            <w:bCs w:val="false"/>
            <w:color w:val="666666"/>
            <w:sz w:val="20"/>
            <w:szCs w:val="20"/>
          </w:rPr>
          <w:t xml:space="preserve">3.2 التثبيت اليدوي (ملف .zip)</w:t>
        </w:r>
      </w:hyperlink>
    </w:p>
    <w:p>
      <w:pPr>
        <w:tabs>
          <w:tab w:val="right" w:pos="9026" w:leader="dot"/>
        </w:tabs>
        <w:spacing w:after="20"/>
        <w:ind w:left="340"/>
      </w:pPr>
      <w:hyperlink w:history="1" w:anchor="sec12">
        <w:r>
          <w:rPr>
            <w:b w:val="false"/>
            <w:bCs w:val="false"/>
            <w:color w:val="666666"/>
            <w:sz w:val="20"/>
            <w:szCs w:val="20"/>
          </w:rPr>
          <w:t xml:space="preserve">3.3 ما ينشئه التثبيت</w:t>
        </w:r>
      </w:hyperlink>
    </w:p>
    <w:p>
      <w:pPr>
        <w:tabs>
          <w:tab w:val="right" w:pos="9026" w:leader="dot"/>
        </w:tabs>
        <w:spacing w:after="60"/>
        <w:ind w:left="0"/>
      </w:pPr>
      <w:hyperlink w:history="1" w:anchor="sec13">
        <w:r>
          <w:rPr>
            <w:b/>
            <w:bCs/>
            <w:color w:val="2B2520"/>
            <w:sz w:val="22"/>
            <w:szCs w:val="22"/>
          </w:rPr>
          <w:t xml:space="preserve">4. تفعيل الترخيص</w:t>
        </w:r>
      </w:hyperlink>
    </w:p>
    <w:p>
      <w:pPr>
        <w:tabs>
          <w:tab w:val="right" w:pos="9026" w:leader="dot"/>
        </w:tabs>
        <w:spacing w:after="20"/>
        <w:ind w:left="340"/>
      </w:pPr>
      <w:hyperlink w:history="1" w:anchor="sec14">
        <w:r>
          <w:rPr>
            <w:b w:val="false"/>
            <w:bCs w:val="false"/>
            <w:color w:val="666666"/>
            <w:sz w:val="20"/>
            <w:szCs w:val="20"/>
          </w:rPr>
          <w:t xml:space="preserve">4.1 تفعيل مفتاحكم</w:t>
        </w:r>
      </w:hyperlink>
    </w:p>
    <w:p>
      <w:pPr>
        <w:tabs>
          <w:tab w:val="right" w:pos="9026" w:leader="dot"/>
        </w:tabs>
        <w:spacing w:after="20"/>
        <w:ind w:left="340"/>
      </w:pPr>
      <w:hyperlink w:history="1" w:anchor="sec15">
        <w:r>
          <w:rPr>
            <w:b w:val="false"/>
            <w:bCs w:val="false"/>
            <w:color w:val="666666"/>
            <w:sz w:val="20"/>
            <w:szCs w:val="20"/>
          </w:rPr>
          <w:t xml:space="preserve">4.2 تغيير النطاق</w:t>
        </w:r>
      </w:hyperlink>
    </w:p>
    <w:p>
      <w:pPr>
        <w:tabs>
          <w:tab w:val="right" w:pos="9026" w:leader="dot"/>
        </w:tabs>
        <w:spacing w:after="20"/>
        <w:ind w:left="340"/>
      </w:pPr>
      <w:hyperlink w:history="1" w:anchor="sec16">
        <w:r>
          <w:rPr>
            <w:b w:val="false"/>
            <w:bCs w:val="false"/>
            <w:color w:val="666666"/>
            <w:sz w:val="20"/>
            <w:szCs w:val="20"/>
          </w:rPr>
          <w:t xml:space="preserve">4.3 التسامح مع الأعطال</w:t>
        </w:r>
      </w:hyperlink>
    </w:p>
    <w:p>
      <w:pPr>
        <w:tabs>
          <w:tab w:val="right" w:pos="9026" w:leader="dot"/>
        </w:tabs>
        <w:spacing w:after="60"/>
        <w:ind w:left="0"/>
      </w:pPr>
      <w:hyperlink w:history="1" w:anchor="sec17">
        <w:r>
          <w:rPr>
            <w:b/>
            <w:bCs/>
            <w:color w:val="2B2520"/>
            <w:sz w:val="22"/>
            <w:szCs w:val="22"/>
          </w:rPr>
          <w:t xml:space="preserve">5. نظرة عامة على لوحة تحكم Neria</w:t>
        </w:r>
      </w:hyperlink>
    </w:p>
    <w:p>
      <w:pPr>
        <w:tabs>
          <w:tab w:val="right" w:pos="9026" w:leader="dot"/>
        </w:tabs>
        <w:spacing w:after="20"/>
        <w:ind w:left="340"/>
      </w:pPr>
      <w:hyperlink w:history="1" w:anchor="sec18">
        <w:r>
          <w:rPr>
            <w:b w:val="false"/>
            <w:bCs w:val="false"/>
            <w:color w:val="666666"/>
            <w:sz w:val="20"/>
            <w:szCs w:val="20"/>
          </w:rPr>
          <w:t xml:space="preserve">5.1 قائمة علامات التبويب</w:t>
        </w:r>
      </w:hyperlink>
    </w:p>
    <w:p>
      <w:pPr>
        <w:tabs>
          <w:tab w:val="right" w:pos="9026" w:leader="dot"/>
        </w:tabs>
        <w:spacing w:after="60"/>
        <w:ind w:left="0"/>
      </w:pPr>
      <w:hyperlink w:history="1" w:anchor="sec19">
        <w:r>
          <w:rPr>
            <w:b/>
            <w:bCs/>
            <w:color w:val="2B2520"/>
            <w:sz w:val="22"/>
            <w:szCs w:val="22"/>
          </w:rPr>
          <w:t xml:space="preserve">6. علامة التبويب الرئيسية — الإعدادات العامة</w:t>
        </w:r>
      </w:hyperlink>
    </w:p>
    <w:p>
      <w:pPr>
        <w:tabs>
          <w:tab w:val="right" w:pos="9026" w:leader="dot"/>
        </w:tabs>
        <w:spacing w:after="20"/>
        <w:ind w:left="340"/>
      </w:pPr>
      <w:hyperlink w:history="1" w:anchor="sec20">
        <w:r>
          <w:rPr>
            <w:b w:val="false"/>
            <w:bCs w:val="false"/>
            <w:color w:val="666666"/>
            <w:sz w:val="20"/>
            <w:szCs w:val="20"/>
          </w:rPr>
          <w:t xml:space="preserve">6.1 مؤشرات الأداء لـ30 يومًا</w:t>
        </w:r>
      </w:hyperlink>
    </w:p>
    <w:p>
      <w:pPr>
        <w:tabs>
          <w:tab w:val="right" w:pos="9026" w:leader="dot"/>
        </w:tabs>
        <w:spacing w:after="20"/>
        <w:ind w:left="340"/>
      </w:pPr>
      <w:hyperlink w:history="1" w:anchor="sec21">
        <w:r>
          <w:rPr>
            <w:b w:val="false"/>
            <w:bCs w:val="false"/>
            <w:color w:val="666666"/>
            <w:sz w:val="20"/>
            <w:szCs w:val="20"/>
          </w:rPr>
          <w:t xml:space="preserve">6.2 الاكتشاف التلقائي للغة</w:t>
        </w:r>
      </w:hyperlink>
    </w:p>
    <w:p>
      <w:pPr>
        <w:tabs>
          <w:tab w:val="right" w:pos="9026" w:leader="dot"/>
        </w:tabs>
        <w:spacing w:after="20"/>
        <w:ind w:left="340"/>
      </w:pPr>
      <w:hyperlink w:history="1" w:anchor="sec22">
        <w:r>
          <w:rPr>
            <w:b w:val="false"/>
            <w:bCs w:val="false"/>
            <w:color w:val="666666"/>
            <w:sz w:val="20"/>
            <w:szCs w:val="20"/>
          </w:rPr>
          <w:t xml:space="preserve">6.3 التحية الذكية — التوقيت المحلي</w:t>
        </w:r>
      </w:hyperlink>
    </w:p>
    <w:p>
      <w:pPr>
        <w:tabs>
          <w:tab w:val="right" w:pos="9026" w:leader="dot"/>
        </w:tabs>
        <w:spacing w:after="20"/>
        <w:ind w:left="340"/>
      </w:pPr>
      <w:hyperlink w:history="1" w:anchor="sec23">
        <w:r>
          <w:rPr>
            <w:b w:val="false"/>
            <w:bCs w:val="false"/>
            <w:color w:val="666666"/>
            <w:sz w:val="20"/>
            <w:szCs w:val="20"/>
          </w:rPr>
          <w:t xml:space="preserve">6.4 الإعدادات العامة</w:t>
        </w:r>
      </w:hyperlink>
    </w:p>
    <w:p>
      <w:pPr>
        <w:tabs>
          <w:tab w:val="right" w:pos="9026" w:leader="dot"/>
        </w:tabs>
        <w:spacing w:after="60"/>
        <w:ind w:left="0"/>
      </w:pPr>
      <w:hyperlink w:history="1" w:anchor="sec24">
        <w:r>
          <w:rPr>
            <w:b/>
            <w:bCs/>
            <w:color w:val="2B2520"/>
            <w:sz w:val="22"/>
            <w:szCs w:val="22"/>
          </w:rPr>
          <w:t xml:space="preserve">7. علامة التبويب التصميم — الهوية البصرية</w:t>
        </w:r>
      </w:hyperlink>
    </w:p>
    <w:p>
      <w:pPr>
        <w:tabs>
          <w:tab w:val="right" w:pos="9026" w:leader="dot"/>
        </w:tabs>
        <w:spacing w:after="20"/>
        <w:ind w:left="340"/>
      </w:pPr>
      <w:hyperlink w:history="1" w:anchor="sec25">
        <w:r>
          <w:rPr>
            <w:b w:val="false"/>
            <w:bCs w:val="false"/>
            <w:color w:val="666666"/>
            <w:sz w:val="20"/>
            <w:szCs w:val="20"/>
          </w:rPr>
          <w:t xml:space="preserve">7.1 الألوان</w:t>
        </w:r>
      </w:hyperlink>
    </w:p>
    <w:p>
      <w:pPr>
        <w:tabs>
          <w:tab w:val="right" w:pos="9026" w:leader="dot"/>
        </w:tabs>
        <w:spacing w:after="20"/>
        <w:ind w:left="340"/>
      </w:pPr>
      <w:hyperlink w:history="1" w:anchor="sec26">
        <w:r>
          <w:rPr>
            <w:b w:val="false"/>
            <w:bCs w:val="false"/>
            <w:color w:val="666666"/>
            <w:sz w:val="20"/>
            <w:szCs w:val="20"/>
          </w:rPr>
          <w:t xml:space="preserve">7.2 الشعار</w:t>
        </w:r>
      </w:hyperlink>
    </w:p>
    <w:p>
      <w:pPr>
        <w:tabs>
          <w:tab w:val="right" w:pos="9026" w:leader="dot"/>
        </w:tabs>
        <w:spacing w:after="20"/>
        <w:ind w:left="340"/>
      </w:pPr>
      <w:hyperlink w:history="1" w:anchor="sec27">
        <w:r>
          <w:rPr>
            <w:b w:val="false"/>
            <w:bCs w:val="false"/>
            <w:color w:val="666666"/>
            <w:sz w:val="20"/>
            <w:szCs w:val="20"/>
          </w:rPr>
          <w:t xml:space="preserve">7.3 الوضع الداكن</w:t>
        </w:r>
      </w:hyperlink>
    </w:p>
    <w:p>
      <w:pPr>
        <w:tabs>
          <w:tab w:val="right" w:pos="9026" w:leader="dot"/>
        </w:tabs>
        <w:spacing w:after="20"/>
        <w:ind w:left="340"/>
      </w:pPr>
      <w:hyperlink w:history="1" w:anchor="sec28">
        <w:r>
          <w:rPr>
            <w:b w:val="false"/>
            <w:bCs w:val="false"/>
            <w:color w:val="666666"/>
            <w:sz w:val="20"/>
            <w:szCs w:val="20"/>
          </w:rPr>
          <w:t xml:space="preserve">7.4 عرض الحاوية</w:t>
        </w:r>
      </w:hyperlink>
    </w:p>
    <w:p>
      <w:pPr>
        <w:tabs>
          <w:tab w:val="right" w:pos="9026" w:leader="dot"/>
        </w:tabs>
        <w:spacing w:after="20"/>
        <w:ind w:left="340"/>
      </w:pPr>
      <w:hyperlink w:history="1" w:anchor="sec29">
        <w:r>
          <w:rPr>
            <w:b w:val="false"/>
            <w:bCs w:val="false"/>
            <w:color w:val="666666"/>
            <w:sz w:val="20"/>
            <w:szCs w:val="20"/>
          </w:rPr>
          <w:t xml:space="preserve">7.5 الأنماط السريعة — إعدادات مسبقة بنقرة واحدة</w:t>
        </w:r>
      </w:hyperlink>
    </w:p>
    <w:p>
      <w:pPr>
        <w:tabs>
          <w:tab w:val="right" w:pos="9026" w:leader="dot"/>
        </w:tabs>
        <w:spacing w:after="20"/>
        <w:ind w:left="340"/>
      </w:pPr>
      <w:hyperlink w:history="1" w:anchor="sec30">
        <w:r>
          <w:rPr>
            <w:b w:val="false"/>
            <w:bCs w:val="false"/>
            <w:color w:val="666666"/>
            <w:sz w:val="20"/>
            <w:szCs w:val="20"/>
          </w:rPr>
          <w:t xml:space="preserve">7.6 التوقيع اليدوي</w:t>
        </w:r>
      </w:hyperlink>
    </w:p>
    <w:p>
      <w:pPr>
        <w:tabs>
          <w:tab w:val="right" w:pos="9026" w:leader="dot"/>
        </w:tabs>
        <w:spacing w:after="60"/>
        <w:ind w:left="0"/>
      </w:pPr>
      <w:hyperlink w:history="1" w:anchor="sec31">
        <w:r>
          <w:rPr>
            <w:b/>
            <w:bCs/>
            <w:color w:val="2B2520"/>
            <w:sz w:val="22"/>
            <w:szCs w:val="22"/>
          </w:rPr>
          <w:t xml:space="preserve">8. علامة التبويب الطباعة</w:t>
        </w:r>
      </w:hyperlink>
    </w:p>
    <w:p>
      <w:pPr>
        <w:tabs>
          <w:tab w:val="right" w:pos="9026" w:leader="dot"/>
        </w:tabs>
        <w:spacing w:after="20"/>
        <w:ind w:left="340"/>
      </w:pPr>
      <w:hyperlink w:history="1" w:anchor="sec32">
        <w:r>
          <w:rPr>
            <w:b w:val="false"/>
            <w:bCs w:val="false"/>
            <w:color w:val="666666"/>
            <w:sz w:val="20"/>
            <w:szCs w:val="20"/>
          </w:rPr>
          <w:t xml:space="preserve">8.1 إعداد الخطوط</w:t>
        </w:r>
      </w:hyperlink>
    </w:p>
    <w:p>
      <w:pPr>
        <w:tabs>
          <w:tab w:val="right" w:pos="9026" w:leader="dot"/>
        </w:tabs>
        <w:spacing w:after="60"/>
        <w:ind w:left="0"/>
      </w:pPr>
      <w:hyperlink w:history="1" w:anchor="sec33">
        <w:r>
          <w:rPr>
            <w:b/>
            <w:bCs/>
            <w:color w:val="2B2520"/>
            <w:sz w:val="22"/>
            <w:szCs w:val="22"/>
          </w:rPr>
          <w:t xml:space="preserve">9. علامة التبويب التواصل الاجتماعي</w:t>
        </w:r>
      </w:hyperlink>
    </w:p>
    <w:p>
      <w:pPr>
        <w:tabs>
          <w:tab w:val="right" w:pos="9026" w:leader="dot"/>
        </w:tabs>
        <w:spacing w:after="60"/>
        <w:ind w:left="0"/>
      </w:pPr>
      <w:hyperlink w:history="1" w:anchor="sec34">
        <w:r>
          <w:rPr>
            <w:b/>
            <w:bCs/>
            <w:color w:val="2B2520"/>
            <w:sz w:val="22"/>
            <w:szCs w:val="22"/>
          </w:rPr>
          <w:t xml:space="preserve">10. علامة التبويب الترجمات — 19 لغة</w:t>
        </w:r>
      </w:hyperlink>
    </w:p>
    <w:p>
      <w:pPr>
        <w:tabs>
          <w:tab w:val="right" w:pos="9026" w:leader="dot"/>
        </w:tabs>
        <w:spacing w:after="20"/>
        <w:ind w:left="340"/>
      </w:pPr>
      <w:hyperlink w:history="1" w:anchor="sec35">
        <w:r>
          <w:rPr>
            <w:b w:val="false"/>
            <w:bCs w:val="false"/>
            <w:color w:val="666666"/>
            <w:sz w:val="20"/>
            <w:szCs w:val="20"/>
          </w:rPr>
          <w:t xml:space="preserve">10.1 تحرير قالب</w:t>
        </w:r>
      </w:hyperlink>
    </w:p>
    <w:p>
      <w:pPr>
        <w:tabs>
          <w:tab w:val="right" w:pos="9026" w:leader="dot"/>
        </w:tabs>
        <w:spacing w:after="20"/>
        <w:ind w:left="340"/>
      </w:pPr>
      <w:hyperlink w:history="1" w:anchor="sec36">
        <w:r>
          <w:rPr>
            <w:b w:val="false"/>
            <w:bCs w:val="false"/>
            <w:color w:val="666666"/>
            <w:sz w:val="20"/>
            <w:szCs w:val="20"/>
          </w:rPr>
          <w:t xml:space="preserve">10.2 الترجمة التلقائية عبر DeepL</w:t>
        </w:r>
      </w:hyperlink>
    </w:p>
    <w:p>
      <w:pPr>
        <w:tabs>
          <w:tab w:val="right" w:pos="9026" w:leader="dot"/>
        </w:tabs>
        <w:spacing w:after="20"/>
        <w:ind w:left="340"/>
      </w:pPr>
      <w:hyperlink w:history="1" w:anchor="sec37">
        <w:r>
          <w:rPr>
            <w:b w:val="false"/>
            <w:bCs w:val="false"/>
            <w:color w:val="666666"/>
            <w:sz w:val="20"/>
            <w:szCs w:val="20"/>
          </w:rPr>
          <w:t xml:space="preserve">10.3 التصدير والاستيراد بصيغة CSV</w:t>
        </w:r>
      </w:hyperlink>
    </w:p>
    <w:p>
      <w:pPr>
        <w:tabs>
          <w:tab w:val="right" w:pos="9026" w:leader="dot"/>
        </w:tabs>
        <w:spacing w:after="20"/>
        <w:ind w:left="340"/>
      </w:pPr>
      <w:hyperlink w:history="1" w:anchor="sec38">
        <w:r>
          <w:rPr>
            <w:b w:val="false"/>
            <w:bCs w:val="false"/>
            <w:color w:val="666666"/>
            <w:sz w:val="20"/>
            <w:szCs w:val="20"/>
          </w:rPr>
          <w:t xml:space="preserve">10.4 استبعاد قالب</w:t>
        </w:r>
      </w:hyperlink>
    </w:p>
    <w:p>
      <w:pPr>
        <w:tabs>
          <w:tab w:val="right" w:pos="9026" w:leader="dot"/>
        </w:tabs>
        <w:spacing w:after="20"/>
        <w:ind w:left="340"/>
      </w:pPr>
      <w:hyperlink w:history="1" w:anchor="sec39">
        <w:r>
          <w:rPr>
            <w:b w:val="false"/>
            <w:bCs w:val="false"/>
            <w:color w:val="666666"/>
            <w:sz w:val="20"/>
            <w:szCs w:val="20"/>
          </w:rPr>
          <w:t xml:space="preserve">10.5 سجل الترجمات</w:t>
        </w:r>
      </w:hyperlink>
    </w:p>
    <w:p>
      <w:pPr>
        <w:tabs>
          <w:tab w:val="right" w:pos="9026" w:leader="dot"/>
        </w:tabs>
        <w:spacing w:after="60"/>
        <w:ind w:left="0"/>
      </w:pPr>
      <w:hyperlink w:history="1" w:anchor="sec40">
        <w:r>
          <w:rPr>
            <w:b/>
            <w:bCs/>
            <w:color w:val="2B2520"/>
            <w:sz w:val="22"/>
            <w:szCs w:val="22"/>
          </w:rPr>
          <w:t xml:space="preserve">11. البصمة الصوتية للعلامة التجارية</w:t>
        </w:r>
      </w:hyperlink>
    </w:p>
    <w:p>
      <w:pPr>
        <w:tabs>
          <w:tab w:val="right" w:pos="9026" w:leader="dot"/>
        </w:tabs>
        <w:spacing w:after="60"/>
        <w:ind w:left="0"/>
      </w:pPr>
      <w:hyperlink w:history="1" w:anchor="sec41">
        <w:r>
          <w:rPr>
            <w:b/>
            <w:bCs/>
            <w:color w:val="2B2520"/>
            <w:sz w:val="22"/>
            <w:szCs w:val="22"/>
          </w:rPr>
          <w:t xml:space="preserve">12. علامة التبويب الإرسال اليدوي</w:t>
        </w:r>
      </w:hyperlink>
    </w:p>
    <w:p>
      <w:pPr>
        <w:tabs>
          <w:tab w:val="right" w:pos="9026" w:leader="dot"/>
        </w:tabs>
        <w:spacing w:after="60"/>
        <w:ind w:left="0"/>
      </w:pPr>
      <w:hyperlink w:history="1" w:anchor="sec42">
        <w:r>
          <w:rPr>
            <w:b/>
            <w:bCs/>
            <w:color w:val="2B2520"/>
            <w:sz w:val="22"/>
            <w:szCs w:val="22"/>
          </w:rPr>
          <w:t xml:space="preserve">13. علامة التبويب المعاينة متعددة العملاء</w:t>
        </w:r>
      </w:hyperlink>
    </w:p>
    <w:p>
      <w:pPr>
        <w:tabs>
          <w:tab w:val="right" w:pos="9026" w:leader="dot"/>
        </w:tabs>
        <w:spacing w:after="20"/>
        <w:ind w:left="340"/>
      </w:pPr>
      <w:hyperlink w:history="1" w:anchor="sec43">
        <w:r>
          <w:rPr>
            <w:b w:val="false"/>
            <w:bCs w:val="false"/>
            <w:color w:val="666666"/>
            <w:sz w:val="20"/>
            <w:szCs w:val="20"/>
          </w:rPr>
          <w:t xml:space="preserve">13.1 محاكاة الوضع الداكن</w:t>
        </w:r>
      </w:hyperlink>
    </w:p>
    <w:p>
      <w:pPr>
        <w:tabs>
          <w:tab w:val="right" w:pos="9026" w:leader="dot"/>
        </w:tabs>
        <w:spacing w:after="60"/>
        <w:ind w:left="0"/>
      </w:pPr>
      <w:hyperlink w:history="1" w:anchor="sec44">
        <w:r>
          <w:rPr>
            <w:b/>
            <w:bCs/>
            <w:color w:val="2B2520"/>
            <w:sz w:val="22"/>
            <w:szCs w:val="22"/>
          </w:rPr>
          <w:t xml:space="preserve">14. الأتمتة السلوكية</w:t>
        </w:r>
      </w:hyperlink>
    </w:p>
    <w:p>
      <w:pPr>
        <w:tabs>
          <w:tab w:val="right" w:pos="9026" w:leader="dot"/>
        </w:tabs>
        <w:spacing w:after="20"/>
        <w:ind w:left="340"/>
      </w:pPr>
      <w:hyperlink w:history="1" w:anchor="sec45">
        <w:r>
          <w:rPr>
            <w:b w:val="false"/>
            <w:bCs w:val="false"/>
            <w:color w:val="666666"/>
            <w:sz w:val="20"/>
            <w:szCs w:val="20"/>
          </w:rPr>
          <w:t xml:space="preserve">14.1 إعداد الجدولة الزمنية للخادم</w:t>
        </w:r>
      </w:hyperlink>
    </w:p>
    <w:p>
      <w:pPr>
        <w:tabs>
          <w:tab w:val="right" w:pos="9026" w:leader="dot"/>
        </w:tabs>
        <w:spacing w:after="20"/>
        <w:ind w:left="340"/>
      </w:pPr>
      <w:hyperlink w:history="1" w:anchor="sec46">
        <w:r>
          <w:rPr>
            <w:b w:val="false"/>
            <w:bCs w:val="false"/>
            <w:color w:val="666666"/>
            <w:sz w:val="20"/>
            <w:szCs w:val="20"/>
          </w:rPr>
          <w:t xml:space="preserve">14.2 أعياد ميلاد العملاء</w:t>
        </w:r>
      </w:hyperlink>
    </w:p>
    <w:p>
      <w:pPr>
        <w:tabs>
          <w:tab w:val="right" w:pos="9026" w:leader="dot"/>
        </w:tabs>
        <w:spacing w:after="20"/>
        <w:ind w:left="340"/>
      </w:pPr>
      <w:hyperlink w:history="1" w:anchor="sec47">
        <w:r>
          <w:rPr>
            <w:b w:val="false"/>
            <w:bCs w:val="false"/>
            <w:color w:val="666666"/>
            <w:sz w:val="20"/>
            <w:szCs w:val="20"/>
          </w:rPr>
          <w:t xml:space="preserve">14.3 السلة المهجورة — 3 موجات</w:t>
        </w:r>
      </w:hyperlink>
    </w:p>
    <w:p>
      <w:pPr>
        <w:tabs>
          <w:tab w:val="right" w:pos="9026" w:leader="dot"/>
        </w:tabs>
        <w:spacing w:after="20"/>
        <w:ind w:left="340"/>
      </w:pPr>
      <w:hyperlink w:history="1" w:anchor="sec48">
        <w:r>
          <w:rPr>
            <w:b w:val="false"/>
            <w:bCs w:val="false"/>
            <w:color w:val="666666"/>
            <w:sz w:val="20"/>
            <w:szCs w:val="20"/>
          </w:rPr>
          <w:t xml:space="preserve">14.4 هجران الدفع</w:t>
        </w:r>
      </w:hyperlink>
    </w:p>
    <w:p>
      <w:pPr>
        <w:tabs>
          <w:tab w:val="right" w:pos="9026" w:leader="dot"/>
        </w:tabs>
        <w:spacing w:after="20"/>
        <w:ind w:left="340"/>
      </w:pPr>
      <w:hyperlink w:history="1" w:anchor="sec49">
        <w:r>
          <w:rPr>
            <w:b w:val="false"/>
            <w:bCs w:val="false"/>
            <w:color w:val="666666"/>
            <w:sz w:val="20"/>
            <w:szCs w:val="20"/>
          </w:rPr>
          <w:t xml:space="preserve">14.5 متابعة ما بعد الشراء</w:t>
        </w:r>
      </w:hyperlink>
    </w:p>
    <w:p>
      <w:pPr>
        <w:tabs>
          <w:tab w:val="right" w:pos="9026" w:leader="dot"/>
        </w:tabs>
        <w:spacing w:after="20"/>
        <w:ind w:left="340"/>
      </w:pPr>
      <w:hyperlink w:history="1" w:anchor="sec50">
        <w:r>
          <w:rPr>
            <w:b w:val="false"/>
            <w:bCs w:val="false"/>
            <w:color w:val="666666"/>
            <w:sz w:val="20"/>
            <w:szCs w:val="20"/>
          </w:rPr>
          <w:t xml:space="preserve">14.6 تذكير إعادة الشراء</w:t>
        </w:r>
      </w:hyperlink>
    </w:p>
    <w:p>
      <w:pPr>
        <w:tabs>
          <w:tab w:val="right" w:pos="9026" w:leader="dot"/>
        </w:tabs>
        <w:spacing w:after="20"/>
        <w:ind w:left="340"/>
      </w:pPr>
      <w:hyperlink w:history="1" w:anchor="sec51">
        <w:r>
          <w:rPr>
            <w:b w:val="false"/>
            <w:bCs w:val="false"/>
            <w:color w:val="666666"/>
            <w:sz w:val="20"/>
            <w:szCs w:val="20"/>
          </w:rPr>
          <w:t xml:space="preserve">14.7 استعادة العملاء (Win-back)</w:t>
        </w:r>
      </w:hyperlink>
    </w:p>
    <w:p>
      <w:pPr>
        <w:tabs>
          <w:tab w:val="right" w:pos="9026" w:leader="dot"/>
        </w:tabs>
        <w:spacing w:after="20"/>
        <w:ind w:left="340"/>
      </w:pPr>
      <w:hyperlink w:history="1" w:anchor="sec52">
        <w:r>
          <w:rPr>
            <w:b w:val="false"/>
            <w:bCs w:val="false"/>
            <w:color w:val="666666"/>
            <w:sz w:val="20"/>
            <w:szCs w:val="20"/>
          </w:rPr>
          <w:t xml:space="preserve">14.8 تأخر التسليم</w:t>
        </w:r>
      </w:hyperlink>
    </w:p>
    <w:p>
      <w:pPr>
        <w:tabs>
          <w:tab w:val="right" w:pos="9026" w:leader="dot"/>
        </w:tabs>
        <w:spacing w:after="20"/>
        <w:ind w:left="340"/>
      </w:pPr>
      <w:hyperlink w:history="1" w:anchor="sec53">
        <w:r>
          <w:rPr>
            <w:b w:val="false"/>
            <w:bCs w:val="false"/>
            <w:color w:val="666666"/>
            <w:sz w:val="20"/>
            <w:szCs w:val="20"/>
          </w:rPr>
          <w:t xml:space="preserve">14.9 السلة الشبحية</w:t>
        </w:r>
      </w:hyperlink>
    </w:p>
    <w:p>
      <w:pPr>
        <w:tabs>
          <w:tab w:val="right" w:pos="9026" w:leader="dot"/>
        </w:tabs>
        <w:spacing w:after="60"/>
        <w:ind w:left="0"/>
      </w:pPr>
      <w:hyperlink w:history="1" w:anchor="sec54">
        <w:r>
          <w:rPr>
            <w:b/>
            <w:bCs/>
            <w:color w:val="2B2520"/>
            <w:sz w:val="22"/>
            <w:szCs w:val="22"/>
          </w:rPr>
          <w:t xml:space="preserve">15. مُفعِّلات الطلب</w:t>
        </w:r>
      </w:hyperlink>
    </w:p>
    <w:p>
      <w:pPr>
        <w:tabs>
          <w:tab w:val="right" w:pos="9026" w:leader="dot"/>
        </w:tabs>
        <w:spacing w:after="20"/>
        <w:ind w:left="340"/>
      </w:pPr>
      <w:hyperlink w:history="1" w:anchor="sec55">
        <w:r>
          <w:rPr>
            <w:b w:val="false"/>
            <w:bCs w:val="false"/>
            <w:color w:val="666666"/>
            <w:sz w:val="20"/>
            <w:szCs w:val="20"/>
          </w:rPr>
          <w:t xml:space="preserve">15.1 مراحل الطلب (milestone_order)</w:t>
        </w:r>
      </w:hyperlink>
    </w:p>
    <w:p>
      <w:pPr>
        <w:tabs>
          <w:tab w:val="right" w:pos="9026" w:leader="dot"/>
        </w:tabs>
        <w:spacing w:after="20"/>
        <w:ind w:left="340"/>
      </w:pPr>
      <w:hyperlink w:history="1" w:anchor="sec56">
        <w:r>
          <w:rPr>
            <w:b w:val="false"/>
            <w:bCs w:val="false"/>
            <w:color w:val="666666"/>
            <w:sz w:val="20"/>
            <w:szCs w:val="20"/>
          </w:rPr>
          <w:t xml:space="preserve">15.2 تعليق الطلب</w:t>
        </w:r>
      </w:hyperlink>
    </w:p>
    <w:p>
      <w:pPr>
        <w:tabs>
          <w:tab w:val="right" w:pos="9026" w:leader="dot"/>
        </w:tabs>
        <w:spacing w:after="20"/>
        <w:ind w:left="340"/>
      </w:pPr>
      <w:hyperlink w:history="1" w:anchor="sec57">
        <w:r>
          <w:rPr>
            <w:b w:val="false"/>
            <w:bCs w:val="false"/>
            <w:color w:val="666666"/>
            <w:sz w:val="20"/>
            <w:szCs w:val="20"/>
          </w:rPr>
          <w:t xml:space="preserve">15.3 الشحن الجزئي</w:t>
        </w:r>
      </w:hyperlink>
    </w:p>
    <w:p>
      <w:pPr>
        <w:tabs>
          <w:tab w:val="right" w:pos="9026" w:leader="dot"/>
        </w:tabs>
        <w:spacing w:after="20"/>
        <w:ind w:left="340"/>
      </w:pPr>
      <w:hyperlink w:history="1" w:anchor="sec58">
        <w:r>
          <w:rPr>
            <w:b w:val="false"/>
            <w:bCs w:val="false"/>
            <w:color w:val="666666"/>
            <w:sz w:val="20"/>
            <w:szCs w:val="20"/>
          </w:rPr>
          <w:t xml:space="preserve">15.4 معالجة استرجاع المبلغ</w:t>
        </w:r>
      </w:hyperlink>
    </w:p>
    <w:p>
      <w:pPr>
        <w:tabs>
          <w:tab w:val="right" w:pos="9026" w:leader="dot"/>
        </w:tabs>
        <w:spacing w:after="20"/>
        <w:ind w:left="340"/>
      </w:pPr>
      <w:hyperlink w:history="1" w:anchor="sec59">
        <w:r>
          <w:rPr>
            <w:b w:val="false"/>
            <w:bCs w:val="false"/>
            <w:color w:val="666666"/>
            <w:sz w:val="20"/>
            <w:szCs w:val="20"/>
          </w:rPr>
          <w:t xml:space="preserve">15.5 استلام الإرجاع</w:t>
        </w:r>
      </w:hyperlink>
    </w:p>
    <w:p>
      <w:pPr>
        <w:tabs>
          <w:tab w:val="right" w:pos="9026" w:leader="dot"/>
        </w:tabs>
        <w:spacing w:after="60"/>
        <w:ind w:left="0"/>
      </w:pPr>
      <w:hyperlink w:history="1" w:anchor="sec60">
        <w:r>
          <w:rPr>
            <w:b/>
            <w:bCs/>
            <w:color w:val="2B2520"/>
            <w:sz w:val="22"/>
            <w:szCs w:val="22"/>
          </w:rPr>
          <w:t xml:space="preserve">16. علامة التبويب التقويم — المناسبات التقويمية</w:t>
        </w:r>
      </w:hyperlink>
    </w:p>
    <w:p>
      <w:pPr>
        <w:tabs>
          <w:tab w:val="right" w:pos="9026" w:leader="dot"/>
        </w:tabs>
        <w:spacing w:after="20"/>
        <w:ind w:left="340"/>
      </w:pPr>
      <w:hyperlink w:history="1" w:anchor="sec61">
        <w:r>
          <w:rPr>
            <w:b w:val="false"/>
            <w:bCs w:val="false"/>
            <w:color w:val="666666"/>
            <w:sz w:val="20"/>
            <w:szCs w:val="20"/>
          </w:rPr>
          <w:t xml:space="preserve">16.1 تفعيل / تعطيل مناسبة</w:t>
        </w:r>
      </w:hyperlink>
    </w:p>
    <w:p>
      <w:pPr>
        <w:tabs>
          <w:tab w:val="right" w:pos="9026" w:leader="dot"/>
        </w:tabs>
        <w:spacing w:after="20"/>
        <w:ind w:left="340"/>
      </w:pPr>
      <w:hyperlink w:history="1" w:anchor="sec62">
        <w:r>
          <w:rPr>
            <w:b w:val="false"/>
            <w:bCs w:val="false"/>
            <w:color w:val="666666"/>
            <w:sz w:val="20"/>
            <w:szCs w:val="20"/>
          </w:rPr>
          <w:t xml:space="preserve">16.2 تخصيص التاريخ</w:t>
        </w:r>
      </w:hyperlink>
    </w:p>
    <w:p>
      <w:pPr>
        <w:tabs>
          <w:tab w:val="right" w:pos="9026" w:leader="dot"/>
        </w:tabs>
        <w:spacing w:after="60"/>
        <w:ind w:left="0"/>
      </w:pPr>
      <w:hyperlink w:history="1" w:anchor="sec63">
        <w:r>
          <w:rPr>
            <w:b/>
            <w:bCs/>
            <w:color w:val="2B2520"/>
            <w:sz w:val="22"/>
            <w:szCs w:val="22"/>
          </w:rPr>
          <w:t xml:space="preserve">17. علامة التبويب الحملات الموسمية</w:t>
        </w:r>
      </w:hyperlink>
    </w:p>
    <w:p>
      <w:pPr>
        <w:tabs>
          <w:tab w:val="right" w:pos="9026" w:leader="dot"/>
        </w:tabs>
        <w:spacing w:after="20"/>
        <w:ind w:left="340"/>
      </w:pPr>
      <w:hyperlink w:history="1" w:anchor="sec64">
        <w:r>
          <w:rPr>
            <w:b w:val="false"/>
            <w:bCs w:val="false"/>
            <w:color w:val="666666"/>
            <w:sz w:val="20"/>
            <w:szCs w:val="20"/>
          </w:rPr>
          <w:t xml:space="preserve">17.1 إنشاء حملة</w:t>
        </w:r>
      </w:hyperlink>
    </w:p>
    <w:p>
      <w:pPr>
        <w:tabs>
          <w:tab w:val="right" w:pos="9026" w:leader="dot"/>
        </w:tabs>
        <w:spacing w:after="60"/>
        <w:ind w:left="0"/>
      </w:pPr>
      <w:hyperlink w:history="1" w:anchor="sec65">
        <w:r>
          <w:rPr>
            <w:b/>
            <w:bCs/>
            <w:color w:val="2B2520"/>
            <w:sz w:val="22"/>
            <w:szCs w:val="22"/>
          </w:rPr>
          <w:t xml:space="preserve">18. برنامج الولاء</w:t>
        </w:r>
      </w:hyperlink>
    </w:p>
    <w:p>
      <w:pPr>
        <w:tabs>
          <w:tab w:val="right" w:pos="9026" w:leader="dot"/>
        </w:tabs>
        <w:spacing w:after="20"/>
        <w:ind w:left="340"/>
      </w:pPr>
      <w:hyperlink w:history="1" w:anchor="sec66">
        <w:r>
          <w:rPr>
            <w:b w:val="false"/>
            <w:bCs w:val="false"/>
            <w:color w:val="666666"/>
            <w:sz w:val="20"/>
            <w:szCs w:val="20"/>
          </w:rPr>
          <w:t xml:space="preserve">18.1 توزيع النقاط</w:t>
        </w:r>
      </w:hyperlink>
    </w:p>
    <w:p>
      <w:pPr>
        <w:tabs>
          <w:tab w:val="right" w:pos="9026" w:leader="dot"/>
        </w:tabs>
        <w:spacing w:after="20"/>
        <w:ind w:left="340"/>
      </w:pPr>
      <w:hyperlink w:history="1" w:anchor="sec67">
        <w:r>
          <w:rPr>
            <w:b w:val="false"/>
            <w:bCs w:val="false"/>
            <w:color w:val="666666"/>
            <w:sz w:val="20"/>
            <w:szCs w:val="20"/>
          </w:rPr>
          <w:t xml:space="preserve">18.2 مراحل الولاء</w:t>
        </w:r>
      </w:hyperlink>
    </w:p>
    <w:p>
      <w:pPr>
        <w:tabs>
          <w:tab w:val="right" w:pos="9026" w:leader="dot"/>
        </w:tabs>
        <w:spacing w:after="20"/>
        <w:ind w:left="340"/>
      </w:pPr>
      <w:hyperlink w:history="1" w:anchor="sec68">
        <w:r>
          <w:rPr>
            <w:b w:val="false"/>
            <w:bCs w:val="false"/>
            <w:color w:val="666666"/>
            <w:sz w:val="20"/>
            <w:szCs w:val="20"/>
          </w:rPr>
          <w:t xml:space="preserve">18.3 رسائل الولاء</w:t>
        </w:r>
      </w:hyperlink>
    </w:p>
    <w:p>
      <w:pPr>
        <w:tabs>
          <w:tab w:val="right" w:pos="9026" w:leader="dot"/>
        </w:tabs>
        <w:spacing w:after="20"/>
        <w:ind w:left="340"/>
      </w:pPr>
      <w:hyperlink w:history="1" w:anchor="sec69">
        <w:r>
          <w:rPr>
            <w:b w:val="false"/>
            <w:bCs w:val="false"/>
            <w:color w:val="666666"/>
            <w:sz w:val="20"/>
            <w:szCs w:val="20"/>
          </w:rPr>
          <w:t xml:space="preserve">18.4 التراكم متعدد المتاجر</w:t>
        </w:r>
      </w:hyperlink>
    </w:p>
    <w:p>
      <w:pPr>
        <w:tabs>
          <w:tab w:val="right" w:pos="9026" w:leader="dot"/>
        </w:tabs>
        <w:spacing w:after="60"/>
        <w:ind w:left="0"/>
      </w:pPr>
      <w:hyperlink w:history="1" w:anchor="sec70">
        <w:r>
          <w:rPr>
            <w:b/>
            <w:bCs/>
            <w:color w:val="2B2520"/>
            <w:sz w:val="22"/>
            <w:szCs w:val="22"/>
          </w:rPr>
          <w:t xml:space="preserve">19. علامة التبويب الشرائح — التقسيم السلوكي</w:t>
        </w:r>
      </w:hyperlink>
    </w:p>
    <w:p>
      <w:pPr>
        <w:tabs>
          <w:tab w:val="right" w:pos="9026" w:leader="dot"/>
        </w:tabs>
        <w:spacing w:after="20"/>
        <w:ind w:left="340"/>
      </w:pPr>
      <w:hyperlink w:history="1" w:anchor="sec71">
        <w:r>
          <w:rPr>
            <w:b w:val="false"/>
            <w:bCs w:val="false"/>
            <w:color w:val="666666"/>
            <w:sz w:val="20"/>
            <w:szCs w:val="20"/>
          </w:rPr>
          <w:t xml:space="preserve">19.1 الشرائح الخمس</w:t>
        </w:r>
      </w:hyperlink>
    </w:p>
    <w:p>
      <w:pPr>
        <w:tabs>
          <w:tab w:val="right" w:pos="9026" w:leader="dot"/>
        </w:tabs>
        <w:spacing w:after="20"/>
        <w:ind w:left="340"/>
      </w:pPr>
      <w:hyperlink w:history="1" w:anchor="sec72">
        <w:r>
          <w:rPr>
            <w:b w:val="false"/>
            <w:bCs w:val="false"/>
            <w:color w:val="666666"/>
            <w:sz w:val="20"/>
            <w:szCs w:val="20"/>
          </w:rPr>
          <w:t xml:space="preserve">19.2 استخدام الشرائح في الحملات</w:t>
        </w:r>
      </w:hyperlink>
    </w:p>
    <w:p>
      <w:pPr>
        <w:tabs>
          <w:tab w:val="right" w:pos="9026" w:leader="dot"/>
        </w:tabs>
        <w:spacing w:after="60"/>
        <w:ind w:left="0"/>
      </w:pPr>
      <w:hyperlink w:history="1" w:anchor="sec73">
        <w:r>
          <w:rPr>
            <w:b/>
            <w:bCs/>
            <w:color w:val="2B2520"/>
            <w:sz w:val="22"/>
            <w:szCs w:val="22"/>
          </w:rPr>
          <w:t xml:space="preserve">20. الساعة الذهبية — أفضل وقت للإرسال</w:t>
        </w:r>
      </w:hyperlink>
    </w:p>
    <w:p>
      <w:pPr>
        <w:tabs>
          <w:tab w:val="right" w:pos="9026" w:leader="dot"/>
        </w:tabs>
        <w:spacing w:after="60"/>
        <w:ind w:left="0"/>
      </w:pPr>
      <w:hyperlink w:history="1" w:anchor="sec74">
        <w:r>
          <w:rPr>
            <w:b/>
            <w:bCs/>
            <w:color w:val="2B2520"/>
            <w:sz w:val="22"/>
            <w:szCs w:val="22"/>
          </w:rPr>
          <w:t xml:space="preserve">21. نافذة الشراء الفردية</w:t>
        </w:r>
      </w:hyperlink>
    </w:p>
    <w:p>
      <w:pPr>
        <w:tabs>
          <w:tab w:val="right" w:pos="9026" w:leader="dot"/>
        </w:tabs>
        <w:spacing w:after="20"/>
        <w:ind w:left="340"/>
      </w:pPr>
      <w:hyperlink w:history="1" w:anchor="sec75">
        <w:r>
          <w:rPr>
            <w:b w:val="false"/>
            <w:bCs w:val="false"/>
            <w:color w:val="666666"/>
            <w:sz w:val="20"/>
            <w:szCs w:val="20"/>
          </w:rPr>
          <w:t xml:space="preserve">21.1 تفعيل قائمة الانتظار</w:t>
        </w:r>
      </w:hyperlink>
    </w:p>
    <w:p>
      <w:pPr>
        <w:tabs>
          <w:tab w:val="right" w:pos="9026" w:leader="dot"/>
        </w:tabs>
        <w:spacing w:after="60"/>
        <w:ind w:left="0"/>
      </w:pPr>
      <w:hyperlink w:history="1" w:anchor="sec76">
        <w:r>
          <w:rPr>
            <w:b/>
            <w:bCs/>
            <w:color w:val="2B2520"/>
            <w:sz w:val="22"/>
            <w:szCs w:val="22"/>
          </w:rPr>
          <w:t xml:space="preserve">22. البيع الإضافي واستكمال المجموعة</w:t>
        </w:r>
      </w:hyperlink>
    </w:p>
    <w:p>
      <w:pPr>
        <w:tabs>
          <w:tab w:val="right" w:pos="9026" w:leader="dot"/>
        </w:tabs>
        <w:spacing w:after="20"/>
        <w:ind w:left="340"/>
      </w:pPr>
      <w:hyperlink w:history="1" w:anchor="sec77">
        <w:r>
          <w:rPr>
            <w:b w:val="false"/>
            <w:bCs w:val="false"/>
            <w:color w:val="666666"/>
            <w:sz w:val="20"/>
            <w:szCs w:val="20"/>
          </w:rPr>
          <w:t xml:space="preserve">22.1 البيع الإضافي الذكي</w:t>
        </w:r>
      </w:hyperlink>
    </w:p>
    <w:p>
      <w:pPr>
        <w:tabs>
          <w:tab w:val="right" w:pos="9026" w:leader="dot"/>
        </w:tabs>
        <w:spacing w:after="20"/>
        <w:ind w:left="340"/>
      </w:pPr>
      <w:hyperlink w:history="1" w:anchor="sec78">
        <w:r>
          <w:rPr>
            <w:b w:val="false"/>
            <w:bCs w:val="false"/>
            <w:color w:val="666666"/>
            <w:sz w:val="20"/>
            <w:szCs w:val="20"/>
          </w:rPr>
          <w:t xml:space="preserve">22.2 أكملوا إطلالتكم</w:t>
        </w:r>
      </w:hyperlink>
    </w:p>
    <w:p>
      <w:pPr>
        <w:tabs>
          <w:tab w:val="right" w:pos="9026" w:leader="dot"/>
        </w:tabs>
        <w:spacing w:after="20"/>
        <w:ind w:left="340"/>
      </w:pPr>
      <w:hyperlink w:history="1" w:anchor="sec79">
        <w:r>
          <w:rPr>
            <w:b w:val="false"/>
            <w:bCs w:val="false"/>
            <w:color w:val="666666"/>
            <w:sz w:val="20"/>
            <w:szCs w:val="20"/>
          </w:rPr>
          <w:t xml:space="preserve">22.3 استكمال المجموعة</w:t>
        </w:r>
      </w:hyperlink>
    </w:p>
    <w:p>
      <w:pPr>
        <w:tabs>
          <w:tab w:val="right" w:pos="9026" w:leader="dot"/>
        </w:tabs>
        <w:spacing w:after="60"/>
        <w:ind w:left="0"/>
      </w:pPr>
      <w:hyperlink w:history="1" w:anchor="sec80">
        <w:r>
          <w:rPr>
            <w:b/>
            <w:bCs/>
            <w:color w:val="2B2520"/>
            <w:sz w:val="22"/>
            <w:szCs w:val="22"/>
          </w:rPr>
          <w:t xml:space="preserve">23. قائمة انتظار المنتجات</w:t>
        </w:r>
      </w:hyperlink>
    </w:p>
    <w:p>
      <w:pPr>
        <w:tabs>
          <w:tab w:val="right" w:pos="9026" w:leader="dot"/>
        </w:tabs>
        <w:spacing w:after="20"/>
        <w:ind w:left="340"/>
      </w:pPr>
      <w:hyperlink w:history="1" w:anchor="sec81">
        <w:r>
          <w:rPr>
            <w:b w:val="false"/>
            <w:bCs w:val="false"/>
            <w:color w:val="666666"/>
            <w:sz w:val="20"/>
            <w:szCs w:val="20"/>
          </w:rPr>
          <w:t xml:space="preserve">23.1 الإعداد</w:t>
        </w:r>
      </w:hyperlink>
    </w:p>
    <w:p>
      <w:pPr>
        <w:tabs>
          <w:tab w:val="right" w:pos="9026" w:leader="dot"/>
        </w:tabs>
        <w:spacing w:after="20"/>
        <w:ind w:left="340"/>
      </w:pPr>
      <w:hyperlink w:history="1" w:anchor="sec82">
        <w:r>
          <w:rPr>
            <w:b w:val="false"/>
            <w:bCs w:val="false"/>
            <w:color w:val="666666"/>
            <w:sz w:val="20"/>
            <w:szCs w:val="20"/>
          </w:rPr>
          <w:t xml:space="preserve">23.2 إدارة التسجيلات</w:t>
        </w:r>
      </w:hyperlink>
    </w:p>
    <w:p>
      <w:pPr>
        <w:tabs>
          <w:tab w:val="right" w:pos="9026" w:leader="dot"/>
        </w:tabs>
        <w:spacing w:after="60"/>
        <w:ind w:left="0"/>
      </w:pPr>
      <w:hyperlink w:history="1" w:anchor="sec83">
        <w:r>
          <w:rPr>
            <w:b/>
            <w:bCs/>
            <w:color w:val="2B2520"/>
            <w:sz w:val="22"/>
            <w:szCs w:val="22"/>
          </w:rPr>
          <w:t xml:space="preserve">24. علامة التبويب اختبارات A/B</w:t>
        </w:r>
      </w:hyperlink>
    </w:p>
    <w:p>
      <w:pPr>
        <w:tabs>
          <w:tab w:val="right" w:pos="9026" w:leader="dot"/>
        </w:tabs>
        <w:spacing w:after="20"/>
        <w:ind w:left="340"/>
      </w:pPr>
      <w:hyperlink w:history="1" w:anchor="sec84">
        <w:r>
          <w:rPr>
            <w:b w:val="false"/>
            <w:bCs w:val="false"/>
            <w:color w:val="666666"/>
            <w:sz w:val="20"/>
            <w:szCs w:val="20"/>
          </w:rPr>
          <w:t xml:space="preserve">24.1 إنشاء اختبار</w:t>
        </w:r>
      </w:hyperlink>
    </w:p>
    <w:p>
      <w:pPr>
        <w:tabs>
          <w:tab w:val="right" w:pos="9026" w:leader="dot"/>
        </w:tabs>
        <w:spacing w:after="20"/>
        <w:ind w:left="340"/>
      </w:pPr>
      <w:hyperlink w:history="1" w:anchor="sec85">
        <w:r>
          <w:rPr>
            <w:b w:val="false"/>
            <w:bCs w:val="false"/>
            <w:color w:val="666666"/>
            <w:sz w:val="20"/>
            <w:szCs w:val="20"/>
          </w:rPr>
          <w:t xml:space="preserve">24.2 متابعة النتائج</w:t>
        </w:r>
      </w:hyperlink>
    </w:p>
    <w:p>
      <w:pPr>
        <w:tabs>
          <w:tab w:val="right" w:pos="9026" w:leader="dot"/>
        </w:tabs>
        <w:spacing w:after="20"/>
        <w:ind w:left="340"/>
      </w:pPr>
      <w:hyperlink w:history="1" w:anchor="sec86">
        <w:r>
          <w:rPr>
            <w:b w:val="false"/>
            <w:bCs w:val="false"/>
            <w:color w:val="666666"/>
            <w:sz w:val="20"/>
            <w:szCs w:val="20"/>
          </w:rPr>
          <w:t xml:space="preserve">24.3 تعيين الفائز</w:t>
        </w:r>
      </w:hyperlink>
    </w:p>
    <w:p>
      <w:pPr>
        <w:tabs>
          <w:tab w:val="right" w:pos="9026" w:leader="dot"/>
        </w:tabs>
        <w:spacing w:after="60"/>
        <w:ind w:left="0"/>
      </w:pPr>
      <w:hyperlink w:history="1" w:anchor="sec87">
        <w:r>
          <w:rPr>
            <w:b/>
            <w:bCs/>
            <w:color w:val="2B2520"/>
            <w:sz w:val="22"/>
            <w:szCs w:val="22"/>
          </w:rPr>
          <w:t xml:space="preserve">25. علامة التبويب الإحصائيات</w:t>
        </w:r>
      </w:hyperlink>
    </w:p>
    <w:p>
      <w:pPr>
        <w:tabs>
          <w:tab w:val="right" w:pos="9026" w:leader="dot"/>
        </w:tabs>
        <w:spacing w:after="20"/>
        <w:ind w:left="340"/>
      </w:pPr>
      <w:hyperlink w:history="1" w:anchor="sec88">
        <w:r>
          <w:rPr>
            <w:b w:val="false"/>
            <w:bCs w:val="false"/>
            <w:color w:val="666666"/>
            <w:sz w:val="20"/>
            <w:szCs w:val="20"/>
          </w:rPr>
          <w:t xml:space="preserve">25.1 لوحة قيادة مؤشرات الأداء</w:t>
        </w:r>
      </w:hyperlink>
    </w:p>
    <w:p>
      <w:pPr>
        <w:tabs>
          <w:tab w:val="right" w:pos="9026" w:leader="dot"/>
        </w:tabs>
        <w:spacing w:after="20"/>
        <w:ind w:left="340"/>
      </w:pPr>
      <w:hyperlink w:history="1" w:anchor="sec89">
        <w:r>
          <w:rPr>
            <w:b w:val="false"/>
            <w:bCs w:val="false"/>
            <w:color w:val="666666"/>
            <w:sz w:val="20"/>
            <w:szCs w:val="20"/>
          </w:rPr>
          <w:t xml:space="preserve">25.2 تتبع الفتحات والنقرات</w:t>
        </w:r>
      </w:hyperlink>
    </w:p>
    <w:p>
      <w:pPr>
        <w:tabs>
          <w:tab w:val="right" w:pos="9026" w:leader="dot"/>
        </w:tabs>
        <w:spacing w:after="20"/>
        <w:ind w:left="340"/>
      </w:pPr>
      <w:hyperlink w:history="1" w:anchor="sec90">
        <w:r>
          <w:rPr>
            <w:b w:val="false"/>
            <w:bCs w:val="false"/>
            <w:color w:val="666666"/>
            <w:sz w:val="20"/>
            <w:szCs w:val="20"/>
          </w:rPr>
          <w:t xml:space="preserve">25.3 إسناد الإيرادات</w:t>
        </w:r>
      </w:hyperlink>
    </w:p>
    <w:p>
      <w:pPr>
        <w:tabs>
          <w:tab w:val="right" w:pos="9026" w:leader="dot"/>
        </w:tabs>
        <w:spacing w:after="20"/>
        <w:ind w:left="340"/>
      </w:pPr>
      <w:hyperlink w:history="1" w:anchor="sec91">
        <w:r>
          <w:rPr>
            <w:b w:val="false"/>
            <w:bCs w:val="false"/>
            <w:color w:val="666666"/>
            <w:sz w:val="20"/>
            <w:szCs w:val="20"/>
          </w:rPr>
          <w:t xml:space="preserve">25.4 درجة قابلية التسليم</w:t>
        </w:r>
      </w:hyperlink>
    </w:p>
    <w:p>
      <w:pPr>
        <w:tabs>
          <w:tab w:val="right" w:pos="9026" w:leader="dot"/>
        </w:tabs>
        <w:spacing w:after="20"/>
        <w:ind w:left="340"/>
      </w:pPr>
      <w:hyperlink w:history="1" w:anchor="sec92">
        <w:r>
          <w:rPr>
            <w:b w:val="false"/>
            <w:bCs w:val="false"/>
            <w:color w:val="666666"/>
            <w:sz w:val="20"/>
            <w:szCs w:val="20"/>
          </w:rPr>
          <w:t xml:space="preserve">25.5 درجة الانقطاع</w:t>
        </w:r>
      </w:hyperlink>
    </w:p>
    <w:p>
      <w:pPr>
        <w:tabs>
          <w:tab w:val="right" w:pos="9026" w:leader="dot"/>
        </w:tabs>
        <w:spacing w:after="20"/>
        <w:ind w:left="340"/>
      </w:pPr>
      <w:hyperlink w:history="1" w:anchor="sec93">
        <w:r>
          <w:rPr>
            <w:b w:val="false"/>
            <w:bCs w:val="false"/>
            <w:color w:val="666666"/>
            <w:sz w:val="20"/>
            <w:szCs w:val="20"/>
          </w:rPr>
          <w:t xml:space="preserve">25.6 القيمة الدائمة للعميل على 12 شهرًا</w:t>
        </w:r>
      </w:hyperlink>
    </w:p>
    <w:p>
      <w:pPr>
        <w:tabs>
          <w:tab w:val="right" w:pos="9026" w:leader="dot"/>
        </w:tabs>
        <w:spacing w:after="20"/>
        <w:ind w:left="340"/>
      </w:pPr>
      <w:hyperlink w:history="1" w:anchor="sec94">
        <w:r>
          <w:rPr>
            <w:b w:val="false"/>
            <w:bCs w:val="false"/>
            <w:color w:val="666666"/>
            <w:sz w:val="20"/>
            <w:szCs w:val="20"/>
          </w:rPr>
          <w:t xml:space="preserve">25.7 درجة الميل نحو الشراء</w:t>
        </w:r>
      </w:hyperlink>
    </w:p>
    <w:p>
      <w:pPr>
        <w:tabs>
          <w:tab w:val="right" w:pos="9026" w:leader="dot"/>
        </w:tabs>
        <w:spacing w:after="20"/>
        <w:ind w:left="340"/>
      </w:pPr>
      <w:hyperlink w:history="1" w:anchor="sec95">
        <w:r>
          <w:rPr>
            <w:b w:val="false"/>
            <w:bCs w:val="false"/>
            <w:color w:val="666666"/>
            <w:sz w:val="20"/>
            <w:szCs w:val="20"/>
          </w:rPr>
          <w:t xml:space="preserve">25.8 سجل رسائل بريد العميل</w:t>
        </w:r>
      </w:hyperlink>
    </w:p>
    <w:p>
      <w:pPr>
        <w:tabs>
          <w:tab w:val="right" w:pos="9026" w:leader="dot"/>
        </w:tabs>
        <w:spacing w:after="60"/>
        <w:ind w:left="0"/>
      </w:pPr>
      <w:hyperlink w:history="1" w:anchor="sec96">
        <w:r>
          <w:rPr>
            <w:b/>
            <w:bCs/>
            <w:color w:val="2B2520"/>
            <w:sz w:val="22"/>
            <w:szCs w:val="22"/>
          </w:rPr>
          <w:t xml:space="preserve">25ب. علامة التبويب سجل العملاء</w:t>
        </w:r>
      </w:hyperlink>
    </w:p>
    <w:p>
      <w:pPr>
        <w:tabs>
          <w:tab w:val="right" w:pos="9026" w:leader="dot"/>
        </w:tabs>
        <w:spacing w:after="20"/>
        <w:ind w:left="340"/>
      </w:pPr>
      <w:hyperlink w:history="1" w:anchor="sec97">
        <w:r>
          <w:rPr>
            <w:b w:val="false"/>
            <w:bCs w:val="false"/>
            <w:color w:val="666666"/>
            <w:sz w:val="20"/>
            <w:szCs w:val="20"/>
          </w:rPr>
          <w:t xml:space="preserve">25ب.1 الفلاتر المتاحة</w:t>
        </w:r>
      </w:hyperlink>
    </w:p>
    <w:p>
      <w:pPr>
        <w:tabs>
          <w:tab w:val="right" w:pos="9026" w:leader="dot"/>
        </w:tabs>
        <w:spacing w:after="20"/>
        <w:ind w:left="340"/>
      </w:pPr>
      <w:hyperlink w:history="1" w:anchor="sec98">
        <w:r>
          <w:rPr>
            <w:b w:val="false"/>
            <w:bCs w:val="false"/>
            <w:color w:val="666666"/>
            <w:sz w:val="20"/>
            <w:szCs w:val="20"/>
          </w:rPr>
          <w:t xml:space="preserve">25ب.2 التصدير إلى CSV</w:t>
        </w:r>
      </w:hyperlink>
    </w:p>
    <w:p>
      <w:pPr>
        <w:tabs>
          <w:tab w:val="right" w:pos="9026" w:leader="dot"/>
        </w:tabs>
        <w:spacing w:after="60"/>
        <w:ind w:left="0"/>
      </w:pPr>
      <w:hyperlink w:history="1" w:anchor="sec99">
        <w:r>
          <w:rPr>
            <w:b/>
            <w:bCs/>
            <w:color w:val="2B2520"/>
            <w:sz w:val="22"/>
            <w:szCs w:val="22"/>
          </w:rPr>
          <w:t xml:space="preserve">26. التقرير الشهري التلقائي</w:t>
        </w:r>
      </w:hyperlink>
    </w:p>
    <w:p>
      <w:pPr>
        <w:tabs>
          <w:tab w:val="right" w:pos="9026" w:leader="dot"/>
        </w:tabs>
        <w:spacing w:after="20"/>
        <w:ind w:left="340"/>
      </w:pPr>
      <w:hyperlink w:history="1" w:anchor="sec100">
        <w:r>
          <w:rPr>
            <w:b w:val="false"/>
            <w:bCs w:val="false"/>
            <w:color w:val="666666"/>
            <w:sz w:val="20"/>
            <w:szCs w:val="20"/>
          </w:rPr>
          <w:t xml:space="preserve">26.1 الإعداد</w:t>
        </w:r>
      </w:hyperlink>
    </w:p>
    <w:p>
      <w:pPr>
        <w:tabs>
          <w:tab w:val="right" w:pos="9026" w:leader="dot"/>
        </w:tabs>
        <w:spacing w:after="60"/>
        <w:ind w:left="0"/>
      </w:pPr>
      <w:hyperlink w:history="1" w:anchor="sec101">
        <w:r>
          <w:rPr>
            <w:b/>
            <w:bCs/>
            <w:color w:val="2B2520"/>
            <w:sz w:val="22"/>
            <w:szCs w:val="22"/>
          </w:rPr>
          <w:t xml:space="preserve">27. سمعة نطاق الإرسال</w:t>
        </w:r>
      </w:hyperlink>
    </w:p>
    <w:p>
      <w:pPr>
        <w:tabs>
          <w:tab w:val="right" w:pos="9026" w:leader="dot"/>
        </w:tabs>
        <w:spacing w:after="20"/>
        <w:ind w:left="340"/>
      </w:pPr>
      <w:hyperlink w:history="1" w:anchor="sec102">
        <w:r>
          <w:rPr>
            <w:b w:val="false"/>
            <w:bCs w:val="false"/>
            <w:color w:val="666666"/>
            <w:sz w:val="20"/>
            <w:szCs w:val="20"/>
          </w:rPr>
          <w:t xml:space="preserve">27.1 تفسير النتائج</w:t>
        </w:r>
      </w:hyperlink>
    </w:p>
    <w:p>
      <w:pPr>
        <w:tabs>
          <w:tab w:val="right" w:pos="9026" w:leader="dot"/>
        </w:tabs>
        <w:spacing w:after="60"/>
        <w:ind w:left="0"/>
      </w:pPr>
      <w:hyperlink w:history="1" w:anchor="sec103">
        <w:r>
          <w:rPr>
            <w:b/>
            <w:bCs/>
            <w:color w:val="2B2520"/>
            <w:sz w:val="22"/>
            <w:szCs w:val="22"/>
          </w:rPr>
          <w:t xml:space="preserve">28. تكاملات Google وتحسين محركات البحث</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وMoz (اختياري)</w:t>
        </w:r>
      </w:hyperlink>
    </w:p>
    <w:p>
      <w:pPr>
        <w:tabs>
          <w:tab w:val="right" w:pos="9026" w:leader="dot"/>
        </w:tabs>
        <w:spacing w:after="60"/>
        <w:ind w:left="0"/>
      </w:pPr>
      <w:hyperlink w:history="1" w:anchor="sec108">
        <w:r>
          <w:rPr>
            <w:b/>
            <w:bCs/>
            <w:color w:val="2B2520"/>
            <w:sz w:val="22"/>
            <w:szCs w:val="22"/>
          </w:rPr>
          <w:t xml:space="preserve">29. علامة التبويب الارتدادات — إدارة رسائل البريد غير الصالحة</w:t>
        </w:r>
      </w:hyperlink>
    </w:p>
    <w:p>
      <w:pPr>
        <w:tabs>
          <w:tab w:val="right" w:pos="9026" w:leader="dot"/>
        </w:tabs>
        <w:spacing w:after="20"/>
        <w:ind w:left="340"/>
      </w:pPr>
      <w:hyperlink w:history="1" w:anchor="sec109">
        <w:r>
          <w:rPr>
            <w:b w:val="false"/>
            <w:bCs w:val="false"/>
            <w:color w:val="666666"/>
            <w:sz w:val="20"/>
            <w:szCs w:val="20"/>
          </w:rPr>
          <w:t xml:space="preserve">29.1 إعداد IMAP</w:t>
        </w:r>
      </w:hyperlink>
    </w:p>
    <w:p>
      <w:pPr>
        <w:tabs>
          <w:tab w:val="right" w:pos="9026" w:leader="dot"/>
        </w:tabs>
        <w:spacing w:after="20"/>
        <w:ind w:left="340"/>
      </w:pPr>
      <w:hyperlink w:history="1" w:anchor="sec110">
        <w:r>
          <w:rPr>
            <w:b w:val="false"/>
            <w:bCs w:val="false"/>
            <w:color w:val="666666"/>
            <w:sz w:val="20"/>
            <w:szCs w:val="20"/>
          </w:rPr>
          <w:t xml:space="preserve">29.2 إعداد webhook مزود خدمة البريد</w:t>
        </w:r>
      </w:hyperlink>
    </w:p>
    <w:p>
      <w:pPr>
        <w:tabs>
          <w:tab w:val="right" w:pos="9026" w:leader="dot"/>
        </w:tabs>
        <w:spacing w:after="20"/>
        <w:ind w:left="340"/>
      </w:pPr>
      <w:hyperlink w:history="1" w:anchor="sec111">
        <w:r>
          <w:rPr>
            <w:b w:val="false"/>
            <w:bCs w:val="false"/>
            <w:color w:val="666666"/>
            <w:sz w:val="20"/>
            <w:szCs w:val="20"/>
          </w:rPr>
          <w:t xml:space="preserve">29.3 الارتداد الصلب والارتداد الناعم</w:t>
        </w:r>
      </w:hyperlink>
    </w:p>
    <w:p>
      <w:pPr>
        <w:tabs>
          <w:tab w:val="right" w:pos="9026" w:leader="dot"/>
        </w:tabs>
        <w:spacing w:after="60"/>
        <w:ind w:left="0"/>
      </w:pPr>
      <w:hyperlink w:history="1" w:anchor="sec112">
        <w:r>
          <w:rPr>
            <w:b/>
            <w:bCs/>
            <w:color w:val="2B2520"/>
            <w:sz w:val="22"/>
            <w:szCs w:val="22"/>
          </w:rPr>
          <w:t xml:space="preserve">30. شهادات الأصالة</w:t>
        </w:r>
      </w:hyperlink>
    </w:p>
    <w:p>
      <w:pPr>
        <w:tabs>
          <w:tab w:val="right" w:pos="9026" w:leader="dot"/>
        </w:tabs>
        <w:spacing w:after="20"/>
        <w:ind w:left="340"/>
      </w:pPr>
      <w:hyperlink w:history="1" w:anchor="sec113">
        <w:r>
          <w:rPr>
            <w:b w:val="false"/>
            <w:bCs w:val="false"/>
            <w:color w:val="666666"/>
            <w:sz w:val="20"/>
            <w:szCs w:val="20"/>
          </w:rPr>
          <w:t xml:space="preserve">30.1 الإعداد</w:t>
        </w:r>
      </w:hyperlink>
    </w:p>
    <w:p>
      <w:pPr>
        <w:tabs>
          <w:tab w:val="right" w:pos="9026" w:leader="dot"/>
        </w:tabs>
        <w:spacing w:after="20"/>
        <w:ind w:left="340"/>
      </w:pPr>
      <w:hyperlink w:history="1" w:anchor="sec114">
        <w:r>
          <w:rPr>
            <w:b w:val="false"/>
            <w:bCs w:val="false"/>
            <w:color w:val="666666"/>
            <w:sz w:val="20"/>
            <w:szCs w:val="20"/>
          </w:rPr>
          <w:t xml:space="preserve">30.2 إصدار شهادة يدويًا</w:t>
        </w:r>
      </w:hyperlink>
    </w:p>
    <w:p>
      <w:pPr>
        <w:tabs>
          <w:tab w:val="right" w:pos="9026" w:leader="dot"/>
        </w:tabs>
        <w:spacing w:after="60"/>
        <w:ind w:left="0"/>
      </w:pPr>
      <w:hyperlink w:history="1" w:anchor="sec115">
        <w:r>
          <w:rPr>
            <w:b/>
            <w:bCs/>
            <w:color w:val="2B2520"/>
            <w:sz w:val="22"/>
            <w:szCs w:val="22"/>
          </w:rPr>
          <w:t xml:space="preserve">31. مركز تفضيلات العميل</w:t>
        </w:r>
      </w:hyperlink>
    </w:p>
    <w:p>
      <w:pPr>
        <w:tabs>
          <w:tab w:val="right" w:pos="9026" w:leader="dot"/>
        </w:tabs>
        <w:spacing w:after="20"/>
        <w:ind w:left="340"/>
      </w:pPr>
      <w:hyperlink w:history="1" w:anchor="sec116">
        <w:r>
          <w:rPr>
            <w:b w:val="false"/>
            <w:bCs w:val="false"/>
            <w:color w:val="666666"/>
            <w:sz w:val="20"/>
            <w:szCs w:val="20"/>
          </w:rPr>
          <w:t xml:space="preserve">31.1 فئات التفضيلات</w:t>
        </w:r>
      </w:hyperlink>
    </w:p>
    <w:p>
      <w:pPr>
        <w:tabs>
          <w:tab w:val="right" w:pos="9026" w:leader="dot"/>
        </w:tabs>
        <w:spacing w:after="20"/>
        <w:ind w:left="340"/>
      </w:pPr>
      <w:hyperlink w:history="1" w:anchor="sec117">
        <w:r>
          <w:rPr>
            <w:b w:val="false"/>
            <w:bCs w:val="false"/>
            <w:color w:val="666666"/>
            <w:sz w:val="20"/>
            <w:szCs w:val="20"/>
          </w:rPr>
          <w:t xml:space="preserve">31.2 إلغاء الاشتراك الشامل</w:t>
        </w:r>
      </w:hyperlink>
    </w:p>
    <w:p>
      <w:pPr>
        <w:tabs>
          <w:tab w:val="right" w:pos="9026" w:leader="dot"/>
        </w:tabs>
        <w:spacing w:after="60"/>
        <w:ind w:left="0"/>
      </w:pPr>
      <w:hyperlink w:history="1" w:anchor="sec118">
        <w:r>
          <w:rPr>
            <w:b/>
            <w:bCs/>
            <w:color w:val="2B2520"/>
            <w:sz w:val="22"/>
            <w:szCs w:val="22"/>
          </w:rPr>
          <w:t xml:space="preserve">32. علامة التبويب اللائحة العامة لحماية البيانات — التدقيق والامتثال</w:t>
        </w:r>
      </w:hyperlink>
    </w:p>
    <w:p>
      <w:pPr>
        <w:tabs>
          <w:tab w:val="right" w:pos="9026" w:leader="dot"/>
        </w:tabs>
        <w:spacing w:after="20"/>
        <w:ind w:left="340"/>
      </w:pPr>
      <w:hyperlink w:history="1" w:anchor="sec119">
        <w:r>
          <w:rPr>
            <w:b w:val="false"/>
            <w:bCs w:val="false"/>
            <w:color w:val="666666"/>
            <w:sz w:val="20"/>
            <w:szCs w:val="20"/>
          </w:rPr>
          <w:t xml:space="preserve">32.1 درجة الامتثال</w:t>
        </w:r>
      </w:hyperlink>
    </w:p>
    <w:p>
      <w:pPr>
        <w:tabs>
          <w:tab w:val="right" w:pos="9026" w:leader="dot"/>
        </w:tabs>
        <w:spacing w:after="20"/>
        <w:ind w:left="340"/>
      </w:pPr>
      <w:hyperlink w:history="1" w:anchor="sec120">
        <w:r>
          <w:rPr>
            <w:b w:val="false"/>
            <w:bCs w:val="false"/>
            <w:color w:val="666666"/>
            <w:sz w:val="20"/>
            <w:szCs w:val="20"/>
          </w:rPr>
          <w:t xml:space="preserve">32.2 مدد الاحتفاظ</w:t>
        </w:r>
      </w:hyperlink>
    </w:p>
    <w:p>
      <w:pPr>
        <w:tabs>
          <w:tab w:val="right" w:pos="9026" w:leader="dot"/>
        </w:tabs>
        <w:spacing w:after="20"/>
        <w:ind w:left="340"/>
      </w:pPr>
      <w:hyperlink w:history="1" w:anchor="sec121">
        <w:r>
          <w:rPr>
            <w:b w:val="false"/>
            <w:bCs w:val="false"/>
            <w:color w:val="666666"/>
            <w:sz w:val="20"/>
            <w:szCs w:val="20"/>
          </w:rPr>
          <w:t xml:space="preserve">32.3 حذف البيانات</w:t>
        </w:r>
      </w:hyperlink>
    </w:p>
    <w:p>
      <w:pPr>
        <w:tabs>
          <w:tab w:val="right" w:pos="9026" w:leader="dot"/>
        </w:tabs>
        <w:spacing w:after="60"/>
        <w:ind w:left="0"/>
      </w:pPr>
      <w:hyperlink w:history="1" w:anchor="sec122">
        <w:r>
          <w:rPr>
            <w:b/>
            <w:bCs/>
            <w:color w:val="2B2520"/>
            <w:sz w:val="22"/>
            <w:szCs w:val="22"/>
          </w:rPr>
          <w:t xml:space="preserve">33. تشفير البيانات الحساسة</w:t>
        </w:r>
      </w:hyperlink>
    </w:p>
    <w:p>
      <w:pPr>
        <w:tabs>
          <w:tab w:val="right" w:pos="9026" w:leader="dot"/>
        </w:tabs>
        <w:spacing w:after="20"/>
        <w:ind w:left="340"/>
      </w:pPr>
      <w:hyperlink w:history="1" w:anchor="sec123">
        <w:r>
          <w:rPr>
            <w:b w:val="false"/>
            <w:bCs w:val="false"/>
            <w:color w:val="666666"/>
            <w:sz w:val="20"/>
            <w:szCs w:val="20"/>
          </w:rPr>
          <w:t xml:space="preserve">33.1 ما الذي يُشفَّر</w:t>
        </w:r>
      </w:hyperlink>
    </w:p>
    <w:p>
      <w:pPr>
        <w:tabs>
          <w:tab w:val="right" w:pos="9026" w:leader="dot"/>
        </w:tabs>
        <w:spacing w:after="20"/>
        <w:ind w:left="340"/>
      </w:pPr>
      <w:hyperlink w:history="1" w:anchor="sec124">
        <w:r>
          <w:rPr>
            <w:b w:val="false"/>
            <w:bCs w:val="false"/>
            <w:color w:val="666666"/>
            <w:sz w:val="20"/>
            <w:szCs w:val="20"/>
          </w:rPr>
          <w:t xml:space="preserve">33.2 آلية العمل</w:t>
        </w:r>
      </w:hyperlink>
    </w:p>
    <w:p>
      <w:pPr>
        <w:tabs>
          <w:tab w:val="right" w:pos="9026" w:leader="dot"/>
        </w:tabs>
        <w:spacing w:after="20"/>
        <w:ind w:left="340"/>
      </w:pPr>
      <w:hyperlink w:history="1" w:anchor="sec125">
        <w:r>
          <w:rPr>
            <w:b w:val="false"/>
            <w:bCs w:val="false"/>
            <w:color w:val="666666"/>
            <w:sz w:val="20"/>
            <w:szCs w:val="20"/>
          </w:rPr>
          <w:t xml:space="preserve">33.3 مراقبة Watchdog</w:t>
        </w:r>
      </w:hyperlink>
    </w:p>
    <w:p>
      <w:pPr>
        <w:tabs>
          <w:tab w:val="right" w:pos="9026" w:leader="dot"/>
        </w:tabs>
        <w:spacing w:after="20"/>
        <w:ind w:left="340"/>
      </w:pPr>
      <w:hyperlink w:history="1" w:anchor="sec126">
        <w:r>
          <w:rPr>
            <w:b w:val="false"/>
            <w:bCs w:val="false"/>
            <w:color w:val="666666"/>
            <w:sz w:val="20"/>
            <w:szCs w:val="20"/>
          </w:rPr>
          <w:t xml:space="preserve">33.4 الترحيل الرجعي</w:t>
        </w:r>
      </w:hyperlink>
    </w:p>
    <w:p>
      <w:pPr>
        <w:tabs>
          <w:tab w:val="right" w:pos="9026" w:leader="dot"/>
        </w:tabs>
        <w:spacing w:after="60"/>
        <w:ind w:left="0"/>
      </w:pPr>
      <w:hyperlink w:history="1" w:anchor="sec127">
        <w:r>
          <w:rPr>
            <w:b/>
            <w:bCs/>
            <w:color w:val="2B2520"/>
            <w:sz w:val="22"/>
            <w:szCs w:val="22"/>
          </w:rPr>
          <w:t xml:space="preserve">34. علامة التبويب Webhooks — التكاملات الخارجية</w:t>
        </w:r>
      </w:hyperlink>
    </w:p>
    <w:p>
      <w:pPr>
        <w:tabs>
          <w:tab w:val="right" w:pos="9026" w:leader="dot"/>
        </w:tabs>
        <w:spacing w:after="20"/>
        <w:ind w:left="340"/>
      </w:pPr>
      <w:hyperlink w:history="1" w:anchor="sec128">
        <w:r>
          <w:rPr>
            <w:b w:val="false"/>
            <w:bCs w:val="false"/>
            <w:color w:val="666666"/>
            <w:sz w:val="20"/>
            <w:szCs w:val="20"/>
          </w:rPr>
          <w:t xml:space="preserve">34.1 الأحداث المتاحة</w:t>
        </w:r>
      </w:hyperlink>
    </w:p>
    <w:p>
      <w:pPr>
        <w:tabs>
          <w:tab w:val="right" w:pos="9026" w:leader="dot"/>
        </w:tabs>
        <w:spacing w:after="20"/>
        <w:ind w:left="340"/>
      </w:pPr>
      <w:hyperlink w:history="1" w:anchor="sec129">
        <w:r>
          <w:rPr>
            <w:b w:val="false"/>
            <w:bCs w:val="false"/>
            <w:color w:val="666666"/>
            <w:sz w:val="20"/>
            <w:szCs w:val="20"/>
          </w:rPr>
          <w:t xml:space="preserve">34.2 إعداد نقطة نهاية</w:t>
        </w:r>
      </w:hyperlink>
    </w:p>
    <w:p>
      <w:pPr>
        <w:tabs>
          <w:tab w:val="right" w:pos="9026" w:leader="dot"/>
        </w:tabs>
        <w:spacing w:after="60"/>
        <w:ind w:left="0"/>
      </w:pPr>
      <w:hyperlink w:history="1" w:anchor="sec130">
        <w:r>
          <w:rPr>
            <w:b/>
            <w:bCs/>
            <w:color w:val="2B2520"/>
            <w:sz w:val="22"/>
            <w:szCs w:val="22"/>
          </w:rPr>
          <w:t xml:space="preserve">35. الشاهد الصامت — الأرشفة بنسخة مخفية</w:t>
        </w:r>
      </w:hyperlink>
    </w:p>
    <w:p>
      <w:pPr>
        <w:tabs>
          <w:tab w:val="right" w:pos="9026" w:leader="dot"/>
        </w:tabs>
        <w:spacing w:after="60"/>
        <w:ind w:left="0"/>
      </w:pPr>
      <w:hyperlink w:history="1" w:anchor="sec131">
        <w:r>
          <w:rPr>
            <w:b/>
            <w:bCs/>
            <w:color w:val="2B2520"/>
            <w:sz w:val="22"/>
            <w:szCs w:val="22"/>
          </w:rPr>
          <w:t xml:space="preserve">36. البريد الإلكتروني الاحتياطي الذكي</w:t>
        </w:r>
      </w:hyperlink>
    </w:p>
    <w:p>
      <w:pPr>
        <w:tabs>
          <w:tab w:val="right" w:pos="9026" w:leader="dot"/>
        </w:tabs>
        <w:spacing w:after="60"/>
        <w:ind w:left="0"/>
      </w:pPr>
      <w:hyperlink w:history="1" w:anchor="sec132">
        <w:r>
          <w:rPr>
            <w:b/>
            <w:bCs/>
            <w:color w:val="2B2520"/>
            <w:sz w:val="22"/>
            <w:szCs w:val="22"/>
          </w:rPr>
          <w:t xml:space="preserve">37. وضع الصمت — منع التكرار</w:t>
        </w:r>
      </w:hyperlink>
    </w:p>
    <w:p>
      <w:pPr>
        <w:tabs>
          <w:tab w:val="right" w:pos="9026" w:leader="dot"/>
        </w:tabs>
        <w:spacing w:after="60"/>
        <w:ind w:left="0"/>
      </w:pPr>
      <w:hyperlink w:history="1" w:anchor="sec133">
        <w:r>
          <w:rPr>
            <w:b/>
            <w:bCs/>
            <w:color w:val="2B2520"/>
            <w:sz w:val="22"/>
            <w:szCs w:val="22"/>
          </w:rPr>
          <w:t xml:space="preserve">38. علامة التبويب المساعدة — Watchdog والتشخيص</w:t>
        </w:r>
      </w:hyperlink>
    </w:p>
    <w:p>
      <w:pPr>
        <w:tabs>
          <w:tab w:val="right" w:pos="9026" w:leader="dot"/>
        </w:tabs>
        <w:spacing w:after="20"/>
        <w:ind w:left="340"/>
      </w:pPr>
      <w:hyperlink w:history="1" w:anchor="sec134">
        <w:r>
          <w:rPr>
            <w:b w:val="false"/>
            <w:bCs w:val="false"/>
            <w:color w:val="666666"/>
            <w:sz w:val="20"/>
            <w:szCs w:val="20"/>
          </w:rPr>
          <w:t xml:space="preserve">38.1 سجل الأحداث</w:t>
        </w:r>
      </w:hyperlink>
    </w:p>
    <w:p>
      <w:pPr>
        <w:tabs>
          <w:tab w:val="right" w:pos="9026" w:leader="dot"/>
        </w:tabs>
        <w:spacing w:after="20"/>
        <w:ind w:left="340"/>
      </w:pPr>
      <w:hyperlink w:history="1" w:anchor="sec135">
        <w:r>
          <w:rPr>
            <w:b w:val="false"/>
            <w:bCs w:val="false"/>
            <w:color w:val="666666"/>
            <w:sz w:val="20"/>
            <w:szCs w:val="20"/>
          </w:rPr>
          <w:t xml:space="preserve">38.2 التنبيهات التلقائية</w:t>
        </w:r>
      </w:hyperlink>
    </w:p>
    <w:p>
      <w:pPr>
        <w:tabs>
          <w:tab w:val="right" w:pos="9026" w:leader="dot"/>
        </w:tabs>
        <w:spacing w:after="20"/>
        <w:ind w:left="340"/>
      </w:pPr>
      <w:hyperlink w:history="1" w:anchor="sec136">
        <w:r>
          <w:rPr>
            <w:b w:val="false"/>
            <w:bCs w:val="false"/>
            <w:color w:val="666666"/>
            <w:sz w:val="20"/>
            <w:szCs w:val="20"/>
          </w:rPr>
          <w:t xml:space="preserve">38.3 الإصلاح الذاتي</w:t>
        </w:r>
      </w:hyperlink>
    </w:p>
    <w:p>
      <w:pPr>
        <w:tabs>
          <w:tab w:val="right" w:pos="9026" w:leader="dot"/>
        </w:tabs>
        <w:spacing w:after="20"/>
        <w:ind w:left="340"/>
      </w:pPr>
      <w:hyperlink w:history="1" w:anchor="sec137">
        <w:r>
          <w:rPr>
            <w:b w:val="false"/>
            <w:bCs w:val="false"/>
            <w:color w:val="666666"/>
            <w:sz w:val="20"/>
            <w:szCs w:val="20"/>
          </w:rPr>
          <w:t xml:space="preserve">38.4 التشخيص الكامل</w:t>
        </w:r>
      </w:hyperlink>
    </w:p>
    <w:p>
      <w:pPr>
        <w:tabs>
          <w:tab w:val="right" w:pos="9026" w:leader="dot"/>
        </w:tabs>
        <w:spacing w:after="20"/>
        <w:ind w:left="340"/>
      </w:pPr>
      <w:hyperlink w:history="1" w:anchor="sec138">
        <w:r>
          <w:rPr>
            <w:b w:val="false"/>
            <w:bCs w:val="false"/>
            <w:color w:val="666666"/>
            <w:sz w:val="20"/>
            <w:szCs w:val="20"/>
          </w:rPr>
          <w:t xml:space="preserve">38.5 صفحة الطوارئ</w:t>
        </w:r>
      </w:hyperlink>
    </w:p>
    <w:p>
      <w:pPr>
        <w:tabs>
          <w:tab w:val="right" w:pos="9026" w:leader="dot"/>
        </w:tabs>
        <w:spacing w:after="60"/>
        <w:ind w:left="0"/>
      </w:pPr>
      <w:hyperlink w:history="1" w:anchor="sec139">
        <w:r>
          <w:rPr>
            <w:b/>
            <w:bCs/>
            <w:color w:val="2B2520"/>
            <w:sz w:val="22"/>
            <w:szCs w:val="22"/>
          </w:rPr>
          <w:t xml:space="preserve">39. مركز التحكم</w:t>
        </w:r>
      </w:hyperlink>
    </w:p>
    <w:p>
      <w:pPr>
        <w:tabs>
          <w:tab w:val="right" w:pos="9026" w:leader="dot"/>
        </w:tabs>
        <w:spacing w:after="60"/>
        <w:ind w:left="0"/>
      </w:pPr>
      <w:hyperlink w:history="1" w:anchor="sec140">
        <w:r>
          <w:rPr>
            <w:b/>
            <w:bCs/>
            <w:color w:val="2B2520"/>
            <w:sz w:val="22"/>
            <w:szCs w:val="22"/>
          </w:rPr>
          <w:t xml:space="preserve">40. أكاديمية Neria</w:t>
        </w:r>
      </w:hyperlink>
    </w:p>
    <w:p>
      <w:pPr>
        <w:tabs>
          <w:tab w:val="right" w:pos="9026" w:leader="dot"/>
        </w:tabs>
        <w:spacing w:after="60"/>
        <w:ind w:left="0"/>
      </w:pPr>
      <w:hyperlink w:history="1" w:anchor="sec141">
        <w:r>
          <w:rPr>
            <w:b/>
            <w:bCs/>
            <w:color w:val="2B2520"/>
            <w:sz w:val="22"/>
            <w:szCs w:val="22"/>
          </w:rPr>
          <w:t xml:space="preserve">41. كتالوج القوالب الـ117</w:t>
        </w:r>
      </w:hyperlink>
    </w:p>
    <w:p>
      <w:pPr>
        <w:tabs>
          <w:tab w:val="right" w:pos="9026" w:leader="dot"/>
        </w:tabs>
        <w:spacing w:after="20"/>
        <w:ind w:left="340"/>
      </w:pPr>
      <w:hyperlink w:history="1" w:anchor="sec142">
        <w:r>
          <w:rPr>
            <w:b w:val="false"/>
            <w:bCs w:val="false"/>
            <w:color w:val="666666"/>
            <w:sz w:val="20"/>
            <w:szCs w:val="20"/>
          </w:rPr>
          <w:t xml:space="preserve">41.1 رسائل PrestaShop المعاملاتية (مُعاد تصميمها)</w:t>
        </w:r>
      </w:hyperlink>
    </w:p>
    <w:p>
      <w:pPr>
        <w:tabs>
          <w:tab w:val="right" w:pos="9026" w:leader="dot"/>
        </w:tabs>
        <w:spacing w:after="20"/>
        <w:ind w:left="340"/>
      </w:pPr>
      <w:hyperlink w:history="1" w:anchor="sec143">
        <w:r>
          <w:rPr>
            <w:b w:val="false"/>
            <w:bCs w:val="false"/>
            <w:color w:val="666666"/>
            <w:sz w:val="20"/>
            <w:szCs w:val="20"/>
          </w:rPr>
          <w:t xml:space="preserve">41.2 رسائل البريد السلوكية</w:t>
        </w:r>
      </w:hyperlink>
    </w:p>
    <w:p>
      <w:pPr>
        <w:tabs>
          <w:tab w:val="right" w:pos="9026" w:leader="dot"/>
        </w:tabs>
        <w:spacing w:after="20"/>
        <w:ind w:left="340"/>
      </w:pPr>
      <w:hyperlink w:history="1" w:anchor="sec144">
        <w:r>
          <w:rPr>
            <w:b w:val="false"/>
            <w:bCs w:val="false"/>
            <w:color w:val="666666"/>
            <w:sz w:val="20"/>
            <w:szCs w:val="20"/>
          </w:rPr>
          <w:t xml:space="preserve">41.3 رسائل الفخامة والتجربة</w:t>
        </w:r>
      </w:hyperlink>
    </w:p>
    <w:p>
      <w:pPr>
        <w:tabs>
          <w:tab w:val="right" w:pos="9026" w:leader="dot"/>
        </w:tabs>
        <w:spacing w:after="20"/>
        <w:ind w:left="340"/>
      </w:pPr>
      <w:hyperlink w:history="1" w:anchor="sec145">
        <w:r>
          <w:rPr>
            <w:b w:val="false"/>
            <w:bCs w:val="false"/>
            <w:color w:val="666666"/>
            <w:sz w:val="20"/>
            <w:szCs w:val="20"/>
          </w:rPr>
          <w:t xml:space="preserve">41.4 رسائل الولاء</w:t>
        </w:r>
      </w:hyperlink>
    </w:p>
    <w:p>
      <w:pPr>
        <w:tabs>
          <w:tab w:val="right" w:pos="9026" w:leader="dot"/>
        </w:tabs>
        <w:spacing w:after="20"/>
        <w:ind w:left="340"/>
      </w:pPr>
      <w:hyperlink w:history="1" w:anchor="sec146">
        <w:r>
          <w:rPr>
            <w:b w:val="false"/>
            <w:bCs w:val="false"/>
            <w:color w:val="666666"/>
            <w:sz w:val="20"/>
            <w:szCs w:val="20"/>
          </w:rPr>
          <w:t xml:space="preserve">41.5 الرسائل التقويمية</w:t>
        </w:r>
      </w:hyperlink>
    </w:p>
    <w:p>
      <w:pPr>
        <w:tabs>
          <w:tab w:val="right" w:pos="9026" w:leader="dot"/>
        </w:tabs>
        <w:spacing w:after="20"/>
        <w:ind w:left="340"/>
      </w:pPr>
      <w:hyperlink w:history="1" w:anchor="sec147">
        <w:r>
          <w:rPr>
            <w:b w:val="false"/>
            <w:bCs w:val="false"/>
            <w:color w:val="666666"/>
            <w:sz w:val="20"/>
            <w:szCs w:val="20"/>
          </w:rPr>
          <w:t xml:space="preserve">41.6 رسائل B2B</w:t>
        </w:r>
      </w:hyperlink>
    </w:p>
    <w:p>
      <w:pPr>
        <w:tabs>
          <w:tab w:val="right" w:pos="9026" w:leader="dot"/>
        </w:tabs>
        <w:spacing w:after="20"/>
        <w:ind w:left="340"/>
      </w:pPr>
      <w:hyperlink w:history="1" w:anchor="sec148">
        <w:r>
          <w:rPr>
            <w:b w:val="false"/>
            <w:bCs w:val="false"/>
            <w:color w:val="666666"/>
            <w:sz w:val="20"/>
            <w:szCs w:val="20"/>
          </w:rPr>
          <w:t xml:space="preserve">41.7 رسائل نظام Neria</w:t>
        </w:r>
      </w:hyperlink>
    </w:p>
    <w:p>
      <w:pPr>
        <w:tabs>
          <w:tab w:val="right" w:pos="9026" w:leader="dot"/>
        </w:tabs>
        <w:spacing w:after="60"/>
        <w:ind w:left="0"/>
      </w:pPr>
      <w:hyperlink w:history="1" w:anchor="sec149">
        <w:r>
          <w:rPr>
            <w:b/>
            <w:bCs/>
            <w:color w:val="2B2520"/>
            <w:sz w:val="22"/>
            <w:szCs w:val="22"/>
          </w:rPr>
          <w:t xml:space="preserve">42. الأسئلة الشائعة</w:t>
        </w:r>
      </w:hyperlink>
    </w:p>
    <w:p>
      <w:pPr>
        <w:tabs>
          <w:tab w:val="right" w:pos="9026" w:leader="dot"/>
        </w:tabs>
        <w:spacing w:after="20"/>
        <w:ind w:left="340"/>
      </w:pPr>
      <w:hyperlink w:history="1" w:anchor="sec150">
        <w:r>
          <w:rPr>
            <w:b w:val="false"/>
            <w:bCs w:val="false"/>
            <w:color w:val="666666"/>
            <w:sz w:val="20"/>
            <w:szCs w:val="20"/>
          </w:rPr>
          <w:t xml:space="preserve">رسائل البريد الإلكتروني لا تُرسَل — ما الذي يجب التحقق منه؟</w:t>
        </w:r>
      </w:hyperlink>
    </w:p>
    <w:p>
      <w:pPr>
        <w:tabs>
          <w:tab w:val="right" w:pos="9026" w:leader="dot"/>
        </w:tabs>
        <w:spacing w:after="20"/>
        <w:ind w:left="340"/>
      </w:pPr>
      <w:hyperlink w:history="1" w:anchor="sec151">
        <w:r>
          <w:rPr>
            <w:b w:val="false"/>
            <w:bCs w:val="false"/>
            <w:color w:val="666666"/>
            <w:sz w:val="20"/>
            <w:szCs w:val="20"/>
          </w:rPr>
          <w:t xml:space="preserve">هل يمكنني تخصيص نص بريد إلكتروني محدَّد؟</w:t>
        </w:r>
      </w:hyperlink>
    </w:p>
    <w:p>
      <w:pPr>
        <w:tabs>
          <w:tab w:val="right" w:pos="9026" w:leader="dot"/>
        </w:tabs>
        <w:spacing w:after="20"/>
        <w:ind w:left="340"/>
      </w:pPr>
      <w:hyperlink w:history="1" w:anchor="sec152">
        <w:r>
          <w:rPr>
            <w:b w:val="false"/>
            <w:bCs w:val="false"/>
            <w:color w:val="666666"/>
            <w:sz w:val="20"/>
            <w:szCs w:val="20"/>
          </w:rPr>
          <w:t xml:space="preserve">قالب لا يناسبني — هل يمكنني تعطيله؟</w:t>
        </w:r>
      </w:hyperlink>
    </w:p>
    <w:p>
      <w:pPr>
        <w:tabs>
          <w:tab w:val="right" w:pos="9026" w:leader="dot"/>
        </w:tabs>
        <w:spacing w:after="20"/>
        <w:ind w:left="340"/>
      </w:pPr>
      <w:hyperlink w:history="1" w:anchor="sec153">
        <w:r>
          <w:rPr>
            <w:b w:val="false"/>
            <w:bCs w:val="false"/>
            <w:color w:val="666666"/>
            <w:sz w:val="20"/>
            <w:szCs w:val="20"/>
          </w:rPr>
          <w:t xml:space="preserve">كيف أُخصِّص وقت إرسال الأتمتة؟</w:t>
        </w:r>
      </w:hyperlink>
    </w:p>
    <w:p>
      <w:pPr>
        <w:tabs>
          <w:tab w:val="right" w:pos="9026" w:leader="dot"/>
        </w:tabs>
        <w:spacing w:after="20"/>
        <w:ind w:left="340"/>
      </w:pPr>
      <w:hyperlink w:history="1" w:anchor="sec154">
        <w:r>
          <w:rPr>
            <w:b w:val="false"/>
            <w:bCs w:val="false"/>
            <w:color w:val="666666"/>
            <w:sz w:val="20"/>
            <w:szCs w:val="20"/>
          </w:rPr>
          <w:t xml:space="preserve">هل تُبطئ الوحدة متجري؟</w:t>
        </w:r>
      </w:hyperlink>
    </w:p>
    <w:p>
      <w:pPr>
        <w:tabs>
          <w:tab w:val="right" w:pos="9026" w:leader="dot"/>
        </w:tabs>
        <w:spacing w:after="20"/>
        <w:ind w:left="340"/>
      </w:pPr>
      <w:hyperlink w:history="1" w:anchor="sec155">
        <w:r>
          <w:rPr>
            <w:b w:val="false"/>
            <w:bCs w:val="false"/>
            <w:color w:val="666666"/>
            <w:sz w:val="20"/>
            <w:szCs w:val="20"/>
          </w:rPr>
          <w:t xml:space="preserve">كيف أحصل على مساعدة؟</w:t>
        </w:r>
      </w:hyperlink>
    </w:p>
    <w:p>
      <w:pPr>
        <w:tabs>
          <w:tab w:val="right" w:pos="9026" w:leader="dot"/>
        </w:tabs>
        <w:spacing w:after="60"/>
        <w:ind w:left="0"/>
      </w:pPr>
      <w:hyperlink w:history="1" w:anchor="sec156">
        <w:r>
          <w:rPr>
            <w:b/>
            <w:bCs/>
            <w:color w:val="2B2520"/>
            <w:sz w:val="22"/>
            <w:szCs w:val="22"/>
          </w:rPr>
          <w:t xml:space="preserve">43. الدعم والعناية بالأعمال</w:t>
        </w:r>
      </w:hyperlink>
    </w:p>
    <w:p>
      <w:pPr>
        <w:tabs>
          <w:tab w:val="right" w:pos="9026" w:leader="dot"/>
        </w:tabs>
        <w:spacing w:after="20"/>
        <w:ind w:left="340"/>
      </w:pPr>
      <w:hyperlink w:history="1" w:anchor="sec157">
        <w:r>
          <w:rPr>
            <w:b w:val="false"/>
            <w:bCs w:val="false"/>
            <w:color w:val="666666"/>
            <w:sz w:val="20"/>
            <w:szCs w:val="20"/>
          </w:rPr>
          <w:t xml:space="preserve">43.1 الدعم التقني</w:t>
        </w:r>
      </w:hyperlink>
    </w:p>
    <w:p>
      <w:pPr>
        <w:tabs>
          <w:tab w:val="right" w:pos="9026" w:leader="dot"/>
        </w:tabs>
        <w:spacing w:after="20"/>
        <w:ind w:left="340"/>
      </w:pPr>
      <w:hyperlink w:history="1" w:anchor="sec158">
        <w:r>
          <w:rPr>
            <w:b w:val="false"/>
            <w:bCs w:val="false"/>
            <w:color w:val="666666"/>
            <w:sz w:val="20"/>
            <w:szCs w:val="20"/>
          </w:rPr>
          <w:t xml:space="preserve">43.2 العناية بالأعمال — 12 شهرًا مُضمَّنة</w:t>
        </w:r>
      </w:hyperlink>
    </w:p>
    <w:p>
      <w:pPr>
        <w:tabs>
          <w:tab w:val="right" w:pos="9026" w:leader="dot"/>
        </w:tabs>
        <w:spacing w:after="20"/>
        <w:ind w:left="340"/>
      </w:pPr>
      <w:hyperlink w:history="1" w:anchor="sec159">
        <w:r>
          <w:rPr>
            <w:b w:val="false"/>
            <w:bCs w:val="false"/>
            <w:color w:val="666666"/>
            <w:sz w:val="20"/>
            <w:szCs w:val="20"/>
          </w:rPr>
          <w:t xml:space="preserve">43.3 التجديد</w:t>
        </w:r>
      </w:hyperlink>
    </w:p>
    <w:p>
      <w:pPr>
        <w:tabs>
          <w:tab w:val="right" w:pos="9026" w:leader="dot"/>
        </w:tabs>
        <w:spacing w:after="60"/>
        <w:ind w:left="0"/>
      </w:pPr>
      <w:hyperlink w:history="1" w:anchor="sec160">
        <w:r>
          <w:rPr>
            <w:b/>
            <w:bCs/>
            <w:color w:val="2B2520"/>
            <w:sz w:val="22"/>
            <w:szCs w:val="22"/>
          </w:rPr>
          <w:t xml:space="preserve">الملحق أ — الإشعارات القانونية</w:t>
        </w:r>
      </w:hyperlink>
    </w:p>
    <w:p>
      <w:pPr>
        <w:tabs>
          <w:tab w:val="right" w:pos="9026" w:leader="dot"/>
        </w:tabs>
        <w:spacing w:after="20"/>
        <w:ind w:left="340"/>
      </w:pPr>
      <w:hyperlink w:history="1" w:anchor="sec161">
        <w:r>
          <w:rPr>
            <w:b w:val="false"/>
            <w:bCs w:val="false"/>
            <w:color w:val="666666"/>
            <w:sz w:val="20"/>
            <w:szCs w:val="20"/>
          </w:rPr>
          <w:t xml:space="preserve">أ.1 ترخيص الوحدة</w:t>
        </w:r>
      </w:hyperlink>
    </w:p>
    <w:p>
      <w:pPr>
        <w:tabs>
          <w:tab w:val="right" w:pos="9026" w:leader="dot"/>
        </w:tabs>
        <w:spacing w:after="20"/>
        <w:ind w:left="340"/>
      </w:pPr>
      <w:hyperlink w:history="1" w:anchor="sec162">
        <w:r>
          <w:rPr>
            <w:b w:val="false"/>
            <w:bCs w:val="false"/>
            <w:color w:val="666666"/>
            <w:sz w:val="20"/>
            <w:szCs w:val="20"/>
          </w:rPr>
          <w:t xml:space="preserve">أ.2 حقوق النشر</w:t>
        </w:r>
      </w:hyperlink>
    </w:p>
    <w:p>
      <w:pPr>
        <w:tabs>
          <w:tab w:val="right" w:pos="9026" w:leader="dot"/>
        </w:tabs>
        <w:spacing w:after="20"/>
        <w:ind w:left="340"/>
      </w:pPr>
      <w:hyperlink w:history="1" w:anchor="sec163">
        <w:r>
          <w:rPr>
            <w:b w:val="false"/>
            <w:bCs w:val="false"/>
            <w:color w:val="666666"/>
            <w:sz w:val="20"/>
            <w:szCs w:val="20"/>
          </w:rPr>
          <w:t xml:space="preserve">أ.3 الخطوط الخارجية المُستخدَمة</w:t>
        </w:r>
      </w:hyperlink>
    </w:p>
    <w:p>
      <w:pPr>
        <w:tabs>
          <w:tab w:val="right" w:pos="9026" w:leader="dot"/>
        </w:tabs>
        <w:spacing w:after="20"/>
        <w:ind w:left="340"/>
      </w:pPr>
      <w:hyperlink w:history="1" w:anchor="sec164">
        <w:r>
          <w:rPr>
            <w:b w:val="false"/>
            <w:bCs w:val="false"/>
            <w:color w:val="666666"/>
            <w:sz w:val="20"/>
            <w:szCs w:val="20"/>
          </w:rPr>
          <w:t xml:space="preserve">أ.4 المكتبات الخارجية</w:t>
        </w:r>
      </w:hyperlink>
    </w:p>
    <w:p>
      <w:pPr>
        <w:tabs>
          <w:tab w:val="right" w:pos="9026" w:leader="dot"/>
        </w:tabs>
        <w:spacing w:after="20"/>
        <w:ind w:left="340"/>
      </w:pPr>
      <w:hyperlink w:history="1" w:anchor="sec165">
        <w:r>
          <w:rPr>
            <w:b w:val="false"/>
            <w:bCs w:val="false"/>
            <w:color w:val="666666"/>
            <w:sz w:val="20"/>
            <w:szCs w:val="20"/>
          </w:rPr>
          <w:t xml:space="preserve">أ.5 البيانات الشخصية</w:t>
        </w:r>
      </w:hyperlink>
    </w:p>
    <w:p>
      <w:r>
        <w:br w:type="page"/>
      </w:r>
    </w:p>
    <w:p>
      <w:pPr>
        <w:pStyle w:val="Heading1"/>
        <w:pageBreakBefore/>
        <w:spacing w:after="200" w:before="500"/>
      </w:pPr>
      <w:bookmarkStart w:name="sec1" w:id="1"/>
      <w:r>
        <w:t xml:space="preserve">1. حول Neria</w:t>
      </w:r>
      <w:bookmarkEnd w:id="1"/>
    </w:p>
    <w:p>
      <w:pPr>
        <w:spacing w:after="160"/>
      </w:pPr>
      <w:r>
        <w:t xml:space="preserve">Neria — Luxury Email Suite هي وحدة PrestaShop مميزة تحل بالكامل محل نظام البريد الإلكتروني الأصلي للمنصة بمحرك عرض موحّد وأنيق ومتعدد اللغات، مزوّد بـ88 ميزة تمتد من الأتمتة السلوكية إلى التحليلات المتقدمة.</w:t>
      </w:r>
    </w:p>
    <w:p>
      <w:pPr>
        <w:spacing w:after="160"/>
      </w:pPr>
      <w:r>
        <w:t xml:space="preserve">تستهدف الوحدة متاجر المنتجات الفاخرة — المجوهرات، الجلديات، الأزياء، الحرف اليدوية الفنية، الديكور — حيث يُعدّ كل بريد إلكتروني عملاً تواصليًا للعلامة التجارية، وليس مجرد إشعار نظامي.</w:t>
      </w:r>
    </w:p>
    <w:p>
      <w:pPr>
        <w:pStyle w:val="Heading2"/>
        <w:spacing w:after="140" w:before="320"/>
      </w:pPr>
      <w:bookmarkStart w:name="sec2" w:id="1"/>
      <w:r>
        <w:t xml:space="preserve">1.1 التوافقية</w:t>
      </w:r>
      <w:bookmarkEnd w:id="1"/>
    </w:p>
    <w:p>
      <w:pPr>
        <w:pStyle w:val="ListParagraph"/>
        <w:numPr>
          <w:ilvl w:val="0"/>
          <w:numId w:val="2"/>
        </w:numPr>
        <w:spacing w:after="80"/>
      </w:pPr>
      <w:r>
        <w:t xml:space="preserve">متوافقة مع PrestaShop 8.x (مُختبَرة حتى الإصدار 8.2) و PrestaShop 9.x (مُختبَرة حتى الإصدار 9.0.2 على واجهة Hummingbird الجديدة).</w:t>
      </w:r>
    </w:p>
    <w:p>
      <w:pPr>
        <w:pStyle w:val="ListParagraph"/>
        <w:numPr>
          <w:ilvl w:val="0"/>
          <w:numId w:val="2"/>
        </w:numPr>
        <w:spacing w:after="80"/>
      </w:pPr>
      <w:r>
        <w:t xml:space="preserve">الحد الأدنى: PHP 7.4، ويُنصح بـ PHP 8.1 أو أحدث. الامتدادات المطلوبة: OpenSSL وcURL وGD أو Imagick وmbstring وjson.</w:t>
      </w:r>
    </w:p>
    <w:p>
      <w:pPr>
        <w:pStyle w:val="ListParagraph"/>
        <w:numPr>
          <w:ilvl w:val="0"/>
          <w:numId w:val="2"/>
        </w:numPr>
        <w:spacing w:after="80"/>
      </w:pPr>
      <w:r>
        <w:t xml:space="preserve">متوافقة مع المتاجر الفردية والمتعددة. جميع الميزات معزولة حسب كل متجر.</w:t>
      </w:r>
    </w:p>
    <w:p>
      <w:pPr>
        <w:pStyle w:val="ListParagraph"/>
        <w:numPr>
          <w:ilvl w:val="0"/>
          <w:numId w:val="2"/>
        </w:numPr>
        <w:spacing w:after="80"/>
      </w:pPr>
      <w:r>
        <w:t xml:space="preserve">خادم البريد: أي خادم متوافق مع SMTP (الآلية الأصلية لـ PrestaShop). لا ترسل Neria البريد بنفسها — بل تُنسّقه وتُثريه.</w:t>
      </w:r>
    </w:p>
    <w:p>
      <w:pPr>
        <w:pStyle w:val="Heading2"/>
        <w:spacing w:after="140" w:before="320"/>
      </w:pPr>
      <w:bookmarkStart w:name="sec3" w:id="1"/>
      <w:r>
        <w:t xml:space="preserve">1.2 ما تقوم به Neria تلقائيًا</w:t>
      </w:r>
      <w:bookmarkEnd w:id="1"/>
    </w:p>
    <w:p>
      <w:pPr>
        <w:spacing w:after="160"/>
      </w:pPr>
      <w:r>
        <w:t xml:space="preserve">فور التفعيل، تعترض Neria عبر الخطاف actionEmailSendBefore كل بريد إلكتروني يُرسله PrestaShop أو أي وحدة أخرى مُثبَّتة. تُحدد القالب، وتُحدد اللغة الفعلية للمستلم، وتُطبّق تصميم العلامة التجارية (الألوان والشعار والخطوط)، وتُدرج متغيرات الإثراء (التتبع، اختبار A/B، الولاء، التواصل الاجتماعي…)، ثم تُعيد البريد المُثرى إلى آلية الإرسال الأصلية في PrestaShop. لا حاجة لأي إعداد إضافي حتى تستفيد رسائل البريد الإلكتروني المعاملاتية القياسية فورًا من العرض الجديد.</w:t>
      </w:r>
    </w:p>
    <w:p>
      <w:pPr>
        <w:pStyle w:val="Heading2"/>
        <w:spacing w:after="140" w:before="320"/>
      </w:pPr>
      <w:bookmarkStart w:name="sec4" w:id="1"/>
      <w:r>
        <w:t xml:space="preserve">1.3 الاتصالات الشبكية الخارجية</w:t>
      </w:r>
      <w:bookmarkEnd w:id="1"/>
    </w:p>
    <w:p>
      <w:pPr>
        <w:spacing w:after="160"/>
      </w:pPr>
      <w:r>
        <w:t xml:space="preserve">تُجري Neria اتصالاً شبكيًا خارجيًا واحدًا فقط بخادم التراخيص الخاص بها (neriasoftware.com)، مرة واحدة كل 24 ساعة كحد أقصى، للتحقق من صلاحية المفتاح. البيانات المُرسَلة: مفتاح الترخيص، اسم النطاق، إصدار الوحدة. لا تُرسل أي بيانات شخصية للعملاء. في حال عدم توفر الخادم، يظل آخر تحقق مخزّن مؤقتًا صالحًا إلى أجل غير مسمى — لا تتوقف عمليات إرسال البريد الإلكتروني أبدًا بسبب عطل من جهة الناشر.</w:t>
      </w:r>
    </w:p>
    <w:p>
      <w:r>
        <w:br w:type="page"/>
      </w:r>
    </w:p>
    <w:p>
      <w:pPr>
        <w:pStyle w:val="Heading1"/>
        <w:pageBreakBefore/>
        <w:spacing w:after="200" w:before="500"/>
      </w:pPr>
      <w:bookmarkStart w:name="sec5" w:id="1"/>
      <w:r>
        <w:t xml:space="preserve">2. المتطلبات التقنية</w:t>
      </w:r>
      <w:bookmarkEnd w:id="1"/>
    </w:p>
    <w:p>
      <w:pPr>
        <w:pStyle w:val="Heading2"/>
        <w:spacing w:after="140" w:before="320"/>
      </w:pPr>
      <w:bookmarkStart w:name="sec6" w:id="1"/>
      <w:r>
        <w:t xml:space="preserve">2.1 بيئة الخادم</w:t>
      </w:r>
      <w:bookmarkEnd w:id="1"/>
    </w:p>
    <w:p>
      <w:pPr>
        <w:pStyle w:val="ListParagraph"/>
        <w:numPr>
          <w:ilvl w:val="0"/>
          <w:numId w:val="2"/>
        </w:numPr>
        <w:spacing w:after="80"/>
      </w:pPr>
      <w:r>
        <w:t xml:space="preserve">PHP: الحد الأدنى 7.4 (يُنصح بـ 8.1 أو أحدث لأداء JSON)</w:t>
      </w:r>
    </w:p>
    <w:p>
      <w:pPr>
        <w:pStyle w:val="ListParagraph"/>
        <w:numPr>
          <w:ilvl w:val="0"/>
          <w:numId w:val="2"/>
        </w:numPr>
        <w:spacing w:after="80"/>
      </w:pPr>
      <w:r>
        <w:t xml:space="preserve">امتداد OpenSSL: مطلوب لتشفير AES-256-GCM للبيانات الحساسة في قاعدة البيانات</w:t>
      </w:r>
    </w:p>
    <w:p>
      <w:pPr>
        <w:pStyle w:val="ListParagraph"/>
        <w:numPr>
          <w:ilvl w:val="0"/>
          <w:numId w:val="2"/>
        </w:numPr>
        <w:spacing w:after="80"/>
      </w:pPr>
      <w:r>
        <w:t xml:space="preserve">امتداد cURL: مطلوب لاستدعاءات واجهة برمجة التطبيقات (الترخيص، Gmail Postmaster، Google Search Console، PageSpeed، DeepL، Semrush، Moz)</w:t>
      </w:r>
    </w:p>
    <w:p>
      <w:pPr>
        <w:pStyle w:val="ListParagraph"/>
        <w:numPr>
          <w:ilvl w:val="0"/>
          <w:numId w:val="2"/>
        </w:numPr>
        <w:spacing w:after="80"/>
      </w:pPr>
      <w:r>
        <w:t xml:space="preserve">امتداد GD أو Imagick: مطلوب لتوليد التوقيعات اليدوية (SignatureGenerator)</w:t>
      </w:r>
    </w:p>
    <w:p>
      <w:pPr>
        <w:pStyle w:val="ListParagraph"/>
        <w:numPr>
          <w:ilvl w:val="0"/>
          <w:numId w:val="2"/>
        </w:numPr>
        <w:spacing w:after="80"/>
      </w:pPr>
      <w:r>
        <w:t xml:space="preserve">امتداد mbstring: مطلوب لمعالجة النصوص متعددة اللغات (العربية، اليابانية، الكورية، الصينية)</w:t>
      </w:r>
    </w:p>
    <w:p>
      <w:pPr>
        <w:pStyle w:val="ListParagraph"/>
        <w:numPr>
          <w:ilvl w:val="0"/>
          <w:numId w:val="2"/>
        </w:numPr>
        <w:spacing w:after="80"/>
      </w:pPr>
      <w:r>
        <w:t xml:space="preserve">امتداد json: قياسي، مُضمَّن في جميع تثبيتات PHP الحديثة</w:t>
      </w:r>
    </w:p>
    <w:p>
      <w:pPr>
        <w:pStyle w:val="ListParagraph"/>
        <w:numPr>
          <w:ilvl w:val="0"/>
          <w:numId w:val="2"/>
        </w:numPr>
        <w:spacing w:after="80"/>
      </w:pPr>
      <w:r>
        <w:t xml:space="preserve">MySQL 5.7+ أو MariaDB 10.3+: يتم إنشاء 38 جدولاً عند التثبيت (البادئة neria_)</w:t>
      </w:r>
    </w:p>
    <w:p>
      <w:pPr>
        <w:pStyle w:val="Heading2"/>
        <w:spacing w:after="140" w:before="320"/>
      </w:pPr>
      <w:bookmarkStart w:name="sec7" w:id="1"/>
      <w:r>
        <w:t xml:space="preserve">2.2 خطافات PrestaShop المُستخدَمة</w:t>
      </w:r>
      <w:bookmarkEnd w:id="1"/>
    </w:p>
    <w:p>
      <w:pPr>
        <w:pStyle w:val="ListParagraph"/>
        <w:numPr>
          <w:ilvl w:val="0"/>
          <w:numId w:val="2"/>
        </w:numPr>
        <w:spacing w:after="80"/>
      </w:pPr>
      <w:r>
        <w:t xml:space="preserve">actionEmailSendBefore — اعتراض جميع رسائل البريد الصادرة</w:t>
      </w:r>
    </w:p>
    <w:p>
      <w:pPr>
        <w:pStyle w:val="ListParagraph"/>
        <w:numPr>
          <w:ilvl w:val="0"/>
          <w:numId w:val="2"/>
        </w:numPr>
        <w:spacing w:after="80"/>
      </w:pPr>
      <w:r>
        <w:t xml:space="preserve">actionMailAlterMessageBeforeSend — إضافة List-Unsubscribe وفق RFC 8058</w:t>
      </w:r>
    </w:p>
    <w:p>
      <w:pPr>
        <w:pStyle w:val="ListParagraph"/>
        <w:numPr>
          <w:ilvl w:val="0"/>
          <w:numId w:val="2"/>
        </w:numPr>
        <w:spacing w:after="80"/>
      </w:pPr>
      <w:r>
        <w:t xml:space="preserve">actionObjectOrderAddAfter — تفعيل ما بعد الطلب (الإسناد، الولاء، المراحل)</w:t>
      </w:r>
    </w:p>
    <w:p>
      <w:pPr>
        <w:pStyle w:val="ListParagraph"/>
        <w:numPr>
          <w:ilvl w:val="0"/>
          <w:numId w:val="2"/>
        </w:numPr>
        <w:spacing w:after="80"/>
      </w:pPr>
      <w:r>
        <w:t xml:space="preserve">actionOrderStatusPostUpdate — تتبع حالات الطلب (تم الشحن، تم التسليم، استرجاع المبلغ، الإرجاع)</w:t>
      </w:r>
    </w:p>
    <w:p>
      <w:pPr>
        <w:pStyle w:val="ListParagraph"/>
        <w:numPr>
          <w:ilvl w:val="0"/>
          <w:numId w:val="2"/>
        </w:numPr>
        <w:spacing w:after="80"/>
      </w:pPr>
      <w:r>
        <w:t xml:space="preserve">actionObjectOrderSlipAddAfter — تفعيل استرجاع المبلغ</w:t>
      </w:r>
    </w:p>
    <w:p>
      <w:pPr>
        <w:pStyle w:val="ListParagraph"/>
        <w:numPr>
          <w:ilvl w:val="0"/>
          <w:numId w:val="2"/>
        </w:numPr>
        <w:spacing w:after="80"/>
      </w:pPr>
      <w:r>
        <w:t xml:space="preserve">actionObjectOrderReturnAddAfter — تفعيل إرجاع البضاعة</w:t>
      </w:r>
    </w:p>
    <w:p>
      <w:pPr>
        <w:pStyle w:val="ListParagraph"/>
        <w:numPr>
          <w:ilvl w:val="0"/>
          <w:numId w:val="2"/>
        </w:numPr>
        <w:spacing w:after="80"/>
      </w:pPr>
      <w:r>
        <w:t xml:space="preserve">actionUpdateQuantity — اكتشاف إعادة التزويد (قائمة الانتظار)</w:t>
      </w:r>
    </w:p>
    <w:p>
      <w:pPr>
        <w:pStyle w:val="ListParagraph"/>
        <w:numPr>
          <w:ilvl w:val="0"/>
          <w:numId w:val="2"/>
        </w:numPr>
        <w:spacing w:after="80"/>
      </w:pPr>
      <w:r>
        <w:t xml:space="preserve">actionDeleteGDPRCustomer — حذف بيانات العميل عند الطلب بموجب اللائحة العامة لحماية البيانات</w:t>
      </w:r>
    </w:p>
    <w:p>
      <w:pPr>
        <w:pStyle w:val="ListParagraph"/>
        <w:numPr>
          <w:ilvl w:val="0"/>
          <w:numId w:val="2"/>
        </w:numPr>
        <w:spacing w:after="80"/>
      </w:pPr>
      <w:r>
        <w:t xml:space="preserve">displayAdminOrderMainBottom — كتلة الشهادة في صفحة الطلب</w:t>
      </w:r>
    </w:p>
    <w:p>
      <w:pPr>
        <w:pStyle w:val="ListParagraph"/>
        <w:numPr>
          <w:ilvl w:val="0"/>
          <w:numId w:val="2"/>
        </w:numPr>
        <w:spacing w:after="80"/>
      </w:pPr>
      <w:r>
        <w:t xml:space="preserve">displayCustomerAccount — سجل رسائل البريد في بطاقة العميل بلوحة التحكم</w:t>
      </w:r>
    </w:p>
    <w:p>
      <w:pPr>
        <w:pStyle w:val="ListParagraph"/>
        <w:numPr>
          <w:ilvl w:val="0"/>
          <w:numId w:val="2"/>
        </w:numPr>
        <w:spacing w:after="80"/>
      </w:pPr>
      <w:r>
        <w:t xml:space="preserve">displayHeader — آلية احتياطية للأتمتة السلوكية عند غياب الجدولة الزمنية للخادم</w:t>
      </w:r>
    </w:p>
    <w:p>
      <w:pPr>
        <w:pStyle w:val="Heading2"/>
        <w:spacing w:after="140" w:before="320"/>
      </w:pPr>
      <w:bookmarkStart w:name="sec8" w:id="1"/>
      <w:r>
        <w:t xml:space="preserve">2.3 جداول SQL المُنشأة</w:t>
      </w:r>
      <w:bookmarkEnd w:id="1"/>
    </w:p>
    <w:p>
      <w:pPr>
        <w:spacing w:after="160"/>
      </w:pPr>
      <w:r>
        <w:t xml:space="preserve">يتم إنشاء 38 جدولاً عند التثبيت، جميعها تبدأ ببادئة المتجر متبوعة بـ neria_:</w:t>
      </w:r>
    </w:p>
    <w:p>
      <w:pPr>
        <w:pStyle w:val="ListParagraph"/>
        <w:numPr>
          <w:ilvl w:val="0"/>
          <w:numId w:val="2"/>
        </w:numPr>
        <w:spacing w:after="80"/>
      </w:pPr>
      <w:r>
        <w:t xml:space="preserve">neria_stat: أحداث التتبع (الإرسال، الفتح، النقر، التحويلات)</w:t>
      </w:r>
    </w:p>
    <w:p>
      <w:pPr>
        <w:pStyle w:val="ListParagraph"/>
        <w:numPr>
          <w:ilvl w:val="0"/>
          <w:numId w:val="2"/>
        </w:numPr>
        <w:spacing w:after="80"/>
      </w:pPr>
      <w:r>
        <w:t xml:space="preserve">neria_translation / neria_translation_history: النصوص المُترجَمة للقوالب (19 لغة) وسجل تعديلاتها</w:t>
      </w:r>
    </w:p>
    <w:p>
      <w:pPr>
        <w:pStyle w:val="ListParagraph"/>
        <w:numPr>
          <w:ilvl w:val="0"/>
          <w:numId w:val="2"/>
        </w:numPr>
        <w:spacing w:after="80"/>
      </w:pPr>
      <w:r>
        <w:t xml:space="preserve">neria_abtest / neria_abtest_translation / neria_abtest_history: تعريف اختبارات A/B، متغيرات النص، وسجل الاختبارات المكتملة</w:t>
      </w:r>
    </w:p>
    <w:p>
      <w:pPr>
        <w:pStyle w:val="ListParagraph"/>
        <w:numPr>
          <w:ilvl w:val="0"/>
          <w:numId w:val="2"/>
        </w:numPr>
        <w:spacing w:after="80"/>
      </w:pPr>
      <w:r>
        <w:t xml:space="preserve">neria_loyalty_points / neria_loyalty_rewards: تراكم نقاط ومكافآت برنامج الولاء</w:t>
      </w:r>
    </w:p>
    <w:p>
      <w:pPr>
        <w:pStyle w:val="ListParagraph"/>
        <w:numPr>
          <w:ilvl w:val="0"/>
          <w:numId w:val="2"/>
        </w:numPr>
        <w:spacing w:after="80"/>
      </w:pPr>
      <w:r>
        <w:t xml:space="preserve">neria_waitlist: تسجيلات قائمة الانتظار لكل منتج</w:t>
      </w:r>
    </w:p>
    <w:p>
      <w:pPr>
        <w:pStyle w:val="ListParagraph"/>
        <w:numPr>
          <w:ilvl w:val="0"/>
          <w:numId w:val="2"/>
        </w:numPr>
        <w:spacing w:after="80"/>
      </w:pPr>
      <w:r>
        <w:t xml:space="preserve">neria_customer_segment: التقسيم السلوكي لكل عميل</w:t>
      </w:r>
    </w:p>
    <w:p>
      <w:pPr>
        <w:pStyle w:val="ListParagraph"/>
        <w:numPr>
          <w:ilvl w:val="0"/>
          <w:numId w:val="2"/>
        </w:numPr>
        <w:spacing w:after="80"/>
      </w:pPr>
      <w:r>
        <w:t xml:space="preserve">neria_churn_score: درجة مخاطر إلغاء الاشتراك لكل عميل</w:t>
      </w:r>
    </w:p>
    <w:p>
      <w:pPr>
        <w:pStyle w:val="ListParagraph"/>
        <w:numPr>
          <w:ilvl w:val="0"/>
          <w:numId w:val="2"/>
        </w:numPr>
        <w:spacing w:after="80"/>
      </w:pPr>
      <w:r>
        <w:t xml:space="preserve">neria_propensity_score: درجة الميل نحو الشراء</w:t>
      </w:r>
    </w:p>
    <w:p>
      <w:pPr>
        <w:pStyle w:val="ListParagraph"/>
        <w:numPr>
          <w:ilvl w:val="0"/>
          <w:numId w:val="2"/>
        </w:numPr>
        <w:spacing w:after="80"/>
      </w:pPr>
      <w:r>
        <w:t xml:space="preserve">neria_attribution: تتبع النقرة الأخيرة خلال 24 ساعة لإسناد الإيرادات</w:t>
      </w:r>
    </w:p>
    <w:p>
      <w:pPr>
        <w:pStyle w:val="ListParagraph"/>
        <w:numPr>
          <w:ilvl w:val="0"/>
          <w:numId w:val="2"/>
        </w:numPr>
        <w:spacing w:after="80"/>
      </w:pPr>
      <w:r>
        <w:t xml:space="preserve">neria_upsell: اقتراحات البيع الإضافي بعد الشراء المُرسَلة</w:t>
      </w:r>
    </w:p>
    <w:p>
      <w:pPr>
        <w:pStyle w:val="ListParagraph"/>
        <w:numPr>
          <w:ilvl w:val="0"/>
          <w:numId w:val="2"/>
        </w:numPr>
        <w:spacing w:after="80"/>
      </w:pPr>
      <w:r>
        <w:t xml:space="preserve">neria_webhook_queue: قائمة انتظار إرسال الـ webhooks الصادرة</w:t>
      </w:r>
    </w:p>
    <w:p>
      <w:pPr>
        <w:pStyle w:val="ListParagraph"/>
        <w:numPr>
          <w:ilvl w:val="0"/>
          <w:numId w:val="2"/>
        </w:numPr>
        <w:spacing w:after="80"/>
      </w:pPr>
      <w:r>
        <w:t xml:space="preserve">neria_bounces: عناوين البريد الإلكتروني غير الصالحة (ارتداد صلب / ارتداد ناعم)</w:t>
      </w:r>
    </w:p>
    <w:p>
      <w:pPr>
        <w:pStyle w:val="ListParagraph"/>
        <w:numPr>
          <w:ilvl w:val="0"/>
          <w:numId w:val="2"/>
        </w:numPr>
        <w:spacing w:after="80"/>
      </w:pPr>
      <w:r>
        <w:t xml:space="preserve">neria_log: السجل الداخلي لـ Watchdog (أحداث INFO/WARNING/ERROR)</w:t>
      </w:r>
    </w:p>
    <w:p>
      <w:pPr>
        <w:pStyle w:val="ListParagraph"/>
        <w:numPr>
          <w:ilvl w:val="0"/>
          <w:numId w:val="2"/>
        </w:numPr>
        <w:spacing w:after="80"/>
      </w:pPr>
      <w:r>
        <w:t xml:space="preserve">neria_collection / neria_collection_sent: قواعد وإزالة تكرار إرسالات استكمال المجموعة</w:t>
      </w:r>
    </w:p>
    <w:p>
      <w:pPr>
        <w:pStyle w:val="ListParagraph"/>
        <w:numPr>
          <w:ilvl w:val="0"/>
          <w:numId w:val="2"/>
        </w:numPr>
        <w:spacing w:after="80"/>
      </w:pPr>
      <w:r>
        <w:t xml:space="preserve">neria_look_rule / neria_look_sent: قواعد وإزالة تكرار إرسالات «أكملوا إطلالتكم»</w:t>
      </w:r>
    </w:p>
    <w:p>
      <w:pPr>
        <w:pStyle w:val="ListParagraph"/>
        <w:numPr>
          <w:ilvl w:val="0"/>
          <w:numId w:val="2"/>
        </w:numPr>
        <w:spacing w:after="80"/>
      </w:pPr>
      <w:r>
        <w:t xml:space="preserve">neria_seasonal_campaign: الحملات الموسمية المتكررة</w:t>
      </w:r>
    </w:p>
    <w:p>
      <w:pPr>
        <w:pStyle w:val="ListParagraph"/>
        <w:numPr>
          <w:ilvl w:val="0"/>
          <w:numId w:val="2"/>
        </w:numPr>
        <w:spacing w:after="80"/>
      </w:pPr>
      <w:r>
        <w:t xml:space="preserve">neria_queue: قائمة انتظار الإرسال المُؤجَّل في الوقت المُفضَّل</w:t>
      </w:r>
    </w:p>
    <w:p>
      <w:pPr>
        <w:pStyle w:val="ListParagraph"/>
        <w:numPr>
          <w:ilvl w:val="0"/>
          <w:numId w:val="2"/>
        </w:numPr>
        <w:spacing w:after="80"/>
      </w:pPr>
      <w:r>
        <w:t xml:space="preserve">neria_certificate: سجل شهادات الأصالة الصادرة</w:t>
      </w:r>
    </w:p>
    <w:p>
      <w:pPr>
        <w:pStyle w:val="ListParagraph"/>
        <w:numPr>
          <w:ilvl w:val="0"/>
          <w:numId w:val="2"/>
        </w:numPr>
        <w:spacing w:after="80"/>
      </w:pPr>
      <w:r>
        <w:t xml:space="preserve">neria_quote: تذكيرات عروض أسعار B2B</w:t>
      </w:r>
    </w:p>
    <w:p>
      <w:pPr>
        <w:pStyle w:val="ListParagraph"/>
        <w:numPr>
          <w:ilvl w:val="0"/>
          <w:numId w:val="2"/>
        </w:numPr>
        <w:spacing w:after="80"/>
      </w:pPr>
      <w:r>
        <w:t xml:space="preserve">neria_reconciliation: تسوية المبالغ المستردة الجزئية/متعددة المراحل</w:t>
      </w:r>
    </w:p>
    <w:p>
      <w:pPr>
        <w:pStyle w:val="ListParagraph"/>
        <w:numPr>
          <w:ilvl w:val="0"/>
          <w:numId w:val="2"/>
        </w:numPr>
        <w:spacing w:after="80"/>
      </w:pPr>
      <w:r>
        <w:t xml:space="preserve">neria_product_lifespan: تذكيرات مدة صلاحية المنتج</w:t>
      </w:r>
    </w:p>
    <w:p>
      <w:pPr>
        <w:pStyle w:val="ListParagraph"/>
        <w:numPr>
          <w:ilvl w:val="0"/>
          <w:numId w:val="2"/>
        </w:numPr>
        <w:spacing w:after="80"/>
      </w:pPr>
      <w:r>
        <w:t xml:space="preserve">neria_preferences: مركز تفضيلات العميل (اشتراك/إلغاء اشتراك حسب الفئة)</w:t>
      </w:r>
    </w:p>
    <w:p>
      <w:pPr>
        <w:pStyle w:val="ListParagraph"/>
        <w:numPr>
          <w:ilvl w:val="0"/>
          <w:numId w:val="2"/>
        </w:numPr>
        <w:spacing w:after="80"/>
      </w:pPr>
      <w:r>
        <w:t xml:space="preserve">neria_voice_profile: البصمة الصوتية (الكلمات المحظورة/المُفضَّلة، ملاحظات النبرة)</w:t>
      </w:r>
    </w:p>
    <w:p>
      <w:pPr>
        <w:pStyle w:val="ListParagraph"/>
        <w:numPr>
          <w:ilvl w:val="0"/>
          <w:numId w:val="2"/>
        </w:numPr>
        <w:spacing w:after="80"/>
      </w:pPr>
      <w:r>
        <w:t xml:space="preserve">neria_birthday_voucher / neria_milestone_voucher: قسائم خصم أعياد الميلاد وباقات حجم الطلبات</w:t>
      </w:r>
    </w:p>
    <w:p>
      <w:pPr>
        <w:pStyle w:val="ListParagraph"/>
        <w:numPr>
          <w:ilvl w:val="0"/>
          <w:numId w:val="2"/>
        </w:numPr>
        <w:spacing w:after="80"/>
      </w:pPr>
      <w:r>
        <w:t xml:space="preserve">neria_behavioral_sent: إزالة تكرار رسائل البريد السلوكية المُرسَلة بالفعل</w:t>
      </w:r>
    </w:p>
    <w:p>
      <w:pPr>
        <w:pStyle w:val="ListParagraph"/>
        <w:numPr>
          <w:ilvl w:val="0"/>
          <w:numId w:val="2"/>
        </w:numPr>
        <w:spacing w:after="80"/>
      </w:pPr>
      <w:r>
        <w:t xml:space="preserve">neria_blacklist: القوالب المُعطَّلة (استئناف عرض PrestaShop الأصلي)</w:t>
      </w:r>
    </w:p>
    <w:p>
      <w:pPr>
        <w:pStyle w:val="ListParagraph"/>
        <w:numPr>
          <w:ilvl w:val="0"/>
          <w:numId w:val="2"/>
        </w:numPr>
        <w:spacing w:after="80"/>
      </w:pPr>
      <w:r>
        <w:t xml:space="preserve">neria_config / neria_custom_variable / neria_signature / neria_cron_health / neria_calendar_event: الإعدادات، المتغيرات المخصصة، التوقيع اليدوي، مراقبة الجدولة الزمنية، والمناسبات التقويمية</w:t>
      </w:r>
    </w:p>
    <w:p>
      <w:r>
        <w:br w:type="page"/>
      </w:r>
    </w:p>
    <w:p>
      <w:pPr>
        <w:pStyle w:val="Heading1"/>
        <w:pageBreakBefore/>
        <w:spacing w:after="200" w:before="500"/>
      </w:pPr>
      <w:bookmarkStart w:name="sec9" w:id="1"/>
      <w:r>
        <w:t xml:space="preserve">3. التثبيت</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من PrestaShop Addons (موصى به)</w:t>
      </w:r>
      <w:bookmarkEnd w:id="1"/>
    </w:p>
    <w:p>
      <w:pPr>
        <w:spacing w:after="120"/>
        <w:ind w:left="200"/>
      </w:pPr>
      <w:r>
        <w:rPr>
          <w:b/>
          <w:bCs/>
          <w:color w:val="B38B59"/>
        </w:rPr>
        <w:t xml:space="preserve">1. </w:t>
      </w:r>
      <w:r>
        <w:t xml:space="preserve">في لوحة تحكم PrestaShop، انتقل إلى الوحدات ← كتالوج الوحدات.</w:t>
      </w:r>
    </w:p>
    <w:p>
      <w:pPr>
        <w:spacing w:after="120"/>
        <w:ind w:left="200"/>
      </w:pPr>
      <w:r>
        <w:rPr>
          <w:b/>
          <w:bCs/>
          <w:color w:val="B38B59"/>
        </w:rPr>
        <w:t xml:space="preserve">2. </w:t>
      </w:r>
      <w:r>
        <w:t xml:space="preserve">ابحث عن «Neria» في شريط البحث.</w:t>
      </w:r>
    </w:p>
    <w:p>
      <w:pPr>
        <w:spacing w:after="120"/>
        <w:ind w:left="200"/>
      </w:pPr>
      <w:r>
        <w:rPr>
          <w:b/>
          <w:bCs/>
          <w:color w:val="B38B59"/>
        </w:rPr>
        <w:t xml:space="preserve">3. </w:t>
      </w:r>
      <w:r>
        <w:t xml:space="preserve">انقر على شراء، ثم بعد تأكيد الشراء، انقر على تثبيت. يتم التثبيت تلقائيًا.</w:t>
      </w:r>
    </w:p>
    <w:p>
      <w:pPr>
        <w:spacing w:after="120"/>
        <w:ind w:left="200"/>
      </w:pPr>
      <w:r>
        <w:rPr>
          <w:b/>
          <w:bCs/>
          <w:color w:val="B38B59"/>
        </w:rPr>
        <w:t xml:space="preserve">4. </w:t>
      </w:r>
      <w:r>
        <w:t xml:space="preserve">عند الانتهاء، تظهر وحدة Neria في القائمة الجانبية اليسرى.</w:t>
      </w:r>
    </w:p>
    <w:p>
      <w:pPr>
        <w:pStyle w:val="Heading2"/>
        <w:spacing w:after="140" w:before="320"/>
      </w:pPr>
      <w:bookmarkStart w:name="sec11" w:id="1"/>
      <w:r>
        <w:t xml:space="preserve">3.2 التثبيت اليدوي (ملف .zip)</w:t>
      </w:r>
      <w:bookmarkEnd w:id="1"/>
    </w:p>
    <w:p>
      <w:pPr>
        <w:spacing w:after="120"/>
        <w:ind w:left="200"/>
      </w:pPr>
      <w:r>
        <w:rPr>
          <w:b/>
          <w:bCs/>
          <w:color w:val="B38B59"/>
        </w:rPr>
        <w:t xml:space="preserve">1. </w:t>
      </w:r>
      <w:r>
        <w:t xml:space="preserve">حمّل ملف neria-X.Y.Z.zip من مساحة عميلكم أو من رسالة تأكيد الشراء. احفظه على سطح المكتب.</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في الوحدات ← كتالوج الوحدات، انقر على تثبيت وحدة أعلى اليمين.</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تفتح نافذة الاستيراد. انقر على اختيار ملف أو اسحب وأفلت ملف zip مباشرة في المنطقة المخصصة.</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في مستكشف الملفات، اختر ملف neria-X.Y.Z.zip وانقر على فتح.</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يقوم PrestaShop باستيراد الوحدة وتثبيتها. تظهر رسالة التأكيد «تم تثبيت الوحدة!».</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تظهر قائمة Neria فورًا في الشريط الجانبي الأيسر للوحة التحكم.</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ما ينشئه التثبيت</w:t>
      </w:r>
      <w:bookmarkEnd w:id="1"/>
    </w:p>
    <w:p>
      <w:pPr>
        <w:spacing w:after="160"/>
      </w:pPr>
      <w:r>
        <w:t xml:space="preserve">لا يُعدّل التثبيت أي بيانات موجودة مسبقًا. يقتصر على إنشاء:</w:t>
      </w:r>
    </w:p>
    <w:p>
      <w:pPr>
        <w:pStyle w:val="ListParagraph"/>
        <w:numPr>
          <w:ilvl w:val="0"/>
          <w:numId w:val="2"/>
        </w:numPr>
        <w:spacing w:after="80"/>
      </w:pPr>
      <w:r>
        <w:t xml:space="preserve">38 جدولاً مخصصًا (بادئة neria_) للإحصائيات والولاء والشهادات وغيرها.</w:t>
      </w:r>
    </w:p>
    <w:p>
      <w:pPr>
        <w:pStyle w:val="ListParagraph"/>
        <w:numPr>
          <w:ilvl w:val="0"/>
          <w:numId w:val="2"/>
        </w:numPr>
        <w:spacing w:after="80"/>
      </w:pPr>
      <w:r>
        <w:t xml:space="preserve">ترجمات القوالب الـ117 بـ19 لغة، مُحمَّلة في قاعدة البيانات.</w:t>
      </w:r>
    </w:p>
    <w:p>
      <w:pPr>
        <w:pStyle w:val="ListParagraph"/>
        <w:numPr>
          <w:ilvl w:val="0"/>
          <w:numId w:val="2"/>
        </w:numPr>
        <w:spacing w:after="80"/>
      </w:pPr>
      <w:r>
        <w:t xml:space="preserve">الإعدادات الافتراضية لجميع الميزات — جميعها مُفعَّلة، باستثناء اختبارات A/B ومرحلة الولاء بالقسيمة، المُعطَّلتين احترازيًا.</w:t>
      </w:r>
    </w:p>
    <w:p>
      <w:pPr>
        <w:spacing w:after="180" w:before="120"/>
        <w:ind w:left="360"/>
      </w:pPr>
      <w:r>
        <w:rPr>
          <w:b/>
          <w:bCs/>
          <w:color w:val="B38B59"/>
        </w:rPr>
        <w:t xml:space="preserve">ℹ️  ملاحظة — </w:t>
      </w:r>
      <w:r>
        <w:t xml:space="preserve">فور التثبيت، تُنسَّق تلقائيًا جميع رسائل البريد الإلكتروني القياسية لـ PrestaShop (تأكيد الطلب، كلمة المرور، النشرة الإخبارية…) بتصميم Neria الافتراضي. لا حاجة لأي إعداد إلزامي لهذا العرض الأولي.</w:t>
      </w:r>
    </w:p>
    <w:p>
      <w:r>
        <w:br w:type="page"/>
      </w:r>
    </w:p>
    <w:p>
      <w:pPr>
        <w:pStyle w:val="Heading1"/>
        <w:pageBreakBefore/>
        <w:spacing w:after="200" w:before="500"/>
      </w:pPr>
      <w:bookmarkStart w:name="sec13" w:id="1"/>
      <w:r>
        <w:t xml:space="preserve">4. تفعيل الترخيص</w:t>
      </w:r>
      <w:bookmarkEnd w:id="1"/>
    </w:p>
    <w:p>
      <w:pPr>
        <w:spacing w:after="160"/>
      </w:pPr>
      <w:r>
        <w:t xml:space="preserve">تتطلب Neria مفتاح ترخيص صالحًا، مرتبطًا باسم نطاق متجركم، للعمل بعد فترة السماح البالغة 30 يومًا من التثبيت.</w:t>
      </w:r>
    </w:p>
    <w:p>
      <w:pPr>
        <w:pStyle w:val="Heading2"/>
        <w:spacing w:after="140" w:before="320"/>
      </w:pPr>
      <w:bookmarkStart w:name="sec14" w:id="1"/>
      <w:r>
        <w:t xml:space="preserve">4.1 تفعيل مفتاحكم</w:t>
      </w:r>
      <w:bookmarkEnd w:id="1"/>
    </w:p>
    <w:p>
      <w:pPr>
        <w:spacing w:after="120"/>
        <w:ind w:left="200"/>
      </w:pPr>
      <w:r>
        <w:rPr>
          <w:b/>
          <w:bCs/>
          <w:color w:val="B38B59"/>
        </w:rPr>
        <w:t xml:space="preserve">1. </w:t>
      </w:r>
      <w:r>
        <w:t xml:space="preserve">افتحوا قائمة Neria ← أي علامة تبويب. إذا لم يكن هناك ترخيص فعّال، يظهر شريط برتقالي أعلى الشاشة.</w:t>
      </w:r>
    </w:p>
    <w:p>
      <w:pPr>
        <w:spacing w:after="120"/>
        <w:ind w:left="200"/>
      </w:pPr>
      <w:r>
        <w:rPr>
          <w:b/>
          <w:bCs/>
          <w:color w:val="B38B59"/>
        </w:rPr>
        <w:t xml:space="preserve">2. </w:t>
      </w:r>
      <w:r>
        <w:t xml:space="preserve">أدخلوا مفتاح الترخيص بصيغة NERIA-XXXX-XXXX-XXXX، والذي يُرسَل بالبريد الإلكتروني عند الشراء عبر PrestaShop Addons.</w:t>
      </w:r>
    </w:p>
    <w:p>
      <w:pPr>
        <w:spacing w:after="120"/>
        <w:ind w:left="200"/>
      </w:pPr>
      <w:r>
        <w:rPr>
          <w:b/>
          <w:bCs/>
          <w:color w:val="B38B59"/>
        </w:rPr>
        <w:t xml:space="preserve">3. </w:t>
      </w:r>
      <w:r>
        <w:t xml:space="preserve">انقروا على تفعيل. يتم التحقق من المفتاح عبر الإنترنت وربطه بنطاقكم.</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تغيير النطاق</w:t>
      </w:r>
      <w:bookmarkEnd w:id="1"/>
    </w:p>
    <w:p>
      <w:pPr>
        <w:spacing w:after="160"/>
      </w:pPr>
      <w:r>
        <w:t xml:space="preserve">في حال الانتقال إلى اسم نطاق جديد، أعيدوا استخدام المفتاح نفسه. تكتشف Neria التغيير وتُرسل بريدًا إلكترونيًا للتأكيد إلى عنوان الشراء الخاص بكم. يُحوِّل رابط التأكيد الترخيص إلى النطاق الجديد. هذه الآلية محدودة بنقلتين في السنة.</w:t>
      </w:r>
    </w:p>
    <w:p>
      <w:pPr>
        <w:pStyle w:val="Heading2"/>
        <w:spacing w:after="140" w:before="320"/>
      </w:pPr>
      <w:bookmarkStart w:name="sec16" w:id="1"/>
      <w:r>
        <w:t xml:space="preserve">4.3 التسامح مع الأعطال</w:t>
      </w:r>
      <w:bookmarkEnd w:id="1"/>
    </w:p>
    <w:p>
      <w:pPr>
        <w:spacing w:after="160"/>
      </w:pPr>
      <w:r>
        <w:t xml:space="preserve">إذا كان خادم التحقق من التراخيص غير متاح مؤقتًا، تحتفظ الوحدة بآخر حالة معروفة في الذاكرة المؤقتة وتستمر في إرسال رسائل البريد الإلكتروني بشكل طبيعي. لا يمكن لأي انقطاع في الخدمة أن ينتج عن عطل من جهة الناشر.</w:t>
      </w:r>
    </w:p>
    <w:p>
      <w:r>
        <w:br w:type="page"/>
      </w:r>
    </w:p>
    <w:p>
      <w:pPr>
        <w:pStyle w:val="Heading1"/>
        <w:pageBreakBefore/>
        <w:spacing w:after="200" w:before="500"/>
      </w:pPr>
      <w:bookmarkStart w:name="sec17" w:id="1"/>
      <w:r>
        <w:t xml:space="preserve">5. نظرة عامة على لوحة تحكم Neria</w:t>
      </w:r>
      <w:bookmarkEnd w:id="1"/>
    </w:p>
    <w:p>
      <w:pPr>
        <w:spacing w:after="160"/>
      </w:pPr>
      <w:r>
        <w:t xml:space="preserve">تجمع قائمة Neria جميع الميزات في تنقل جانبي منظّم. إليكم عرضًا سريعًا لكل علامة تبويب متاحة.</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قائمة علامات التبويب</w:t>
      </w:r>
      <w:bookmarkEnd w:id="1"/>
    </w:p>
    <w:p>
      <w:pPr>
        <w:pStyle w:val="ListParagraph"/>
        <w:numPr>
          <w:ilvl w:val="0"/>
          <w:numId w:val="2"/>
        </w:numPr>
        <w:spacing w:after="80"/>
      </w:pPr>
      <w:r>
        <w:t xml:space="preserve">الرئيسية — لوحة القيادة، مؤشرات الأداء لـ30 يومًا، المناسبات التقويمية القادمة، الإعدادات العامة</w:t>
      </w:r>
    </w:p>
    <w:p>
      <w:pPr>
        <w:pStyle w:val="ListParagraph"/>
        <w:numPr>
          <w:ilvl w:val="0"/>
          <w:numId w:val="2"/>
        </w:numPr>
        <w:spacing w:after="80"/>
      </w:pPr>
      <w:r>
        <w:t xml:space="preserve">التصميم — الألوان، الشعار، الوضع الداكن، عرض الحاوية، الأنماط السريعة، المعاينة الحيّة</w:t>
      </w:r>
    </w:p>
    <w:p>
      <w:pPr>
        <w:pStyle w:val="ListParagraph"/>
        <w:numPr>
          <w:ilvl w:val="0"/>
          <w:numId w:val="2"/>
        </w:numPr>
        <w:spacing w:after="80"/>
      </w:pPr>
      <w:r>
        <w:t xml:space="preserve">الطباعة — الخطوط حسب اللغة وعائلة النص (لاتيني، عربي، ياباني، كوري، صيني)</w:t>
      </w:r>
    </w:p>
    <w:p>
      <w:pPr>
        <w:pStyle w:val="ListParagraph"/>
        <w:numPr>
          <w:ilvl w:val="0"/>
          <w:numId w:val="2"/>
        </w:numPr>
        <w:spacing w:after="80"/>
      </w:pPr>
      <w:r>
        <w:t xml:space="preserve">الترجمات — تحرير نصوص جميع القوالب بـ19 لغة، DeepL، تصدير/استيراد CSV</w:t>
      </w:r>
    </w:p>
    <w:p>
      <w:pPr>
        <w:pStyle w:val="ListParagraph"/>
        <w:numPr>
          <w:ilvl w:val="0"/>
          <w:numId w:val="2"/>
        </w:numPr>
        <w:spacing w:after="80"/>
      </w:pPr>
      <w:r>
        <w:t xml:space="preserve">التواصل الاجتماعي — إعداد روابط وسائل التواصل الاجتماعي المُدرَجة في تذييل كل بريد إلكتروني</w:t>
      </w:r>
    </w:p>
    <w:p>
      <w:pPr>
        <w:pStyle w:val="ListParagraph"/>
        <w:numPr>
          <w:ilvl w:val="0"/>
          <w:numId w:val="2"/>
        </w:numPr>
        <w:spacing w:after="80"/>
      </w:pPr>
      <w:r>
        <w:t xml:space="preserve">الإحصائيات — مؤشرات الأداء، التتبع، الإسناد، التقسيم، درجة الانقطاع، القيمة الدائمة، قابلية التسليم</w:t>
      </w:r>
    </w:p>
    <w:p>
      <w:pPr>
        <w:pStyle w:val="ListParagraph"/>
        <w:numPr>
          <w:ilvl w:val="0"/>
          <w:numId w:val="2"/>
        </w:numPr>
        <w:spacing w:after="80"/>
      </w:pPr>
      <w:r>
        <w:t xml:space="preserve">اختبارات A/B — إنشاء ومتابعة الاختبارات على القوالب</w:t>
      </w:r>
    </w:p>
    <w:p>
      <w:pPr>
        <w:pStyle w:val="ListParagraph"/>
        <w:numPr>
          <w:ilvl w:val="0"/>
          <w:numId w:val="2"/>
        </w:numPr>
        <w:spacing w:after="80"/>
      </w:pPr>
      <w:r>
        <w:t xml:space="preserve">الإرسال اليدوي — إرسال عند الطلب لعميل، جدولة مُؤجَّلة</w:t>
      </w:r>
    </w:p>
    <w:p>
      <w:pPr>
        <w:pStyle w:val="ListParagraph"/>
        <w:numPr>
          <w:ilvl w:val="0"/>
          <w:numId w:val="2"/>
        </w:numPr>
        <w:spacing w:after="80"/>
      </w:pPr>
      <w:r>
        <w:t xml:space="preserve">معاينة متعددة العملاء — محاكاة العرض في Gmail وOutlook وApple Mail وOrange وYahoo</w:t>
      </w:r>
    </w:p>
    <w:p>
      <w:pPr>
        <w:pStyle w:val="ListParagraph"/>
        <w:numPr>
          <w:ilvl w:val="0"/>
          <w:numId w:val="2"/>
        </w:numPr>
        <w:spacing w:after="80"/>
      </w:pPr>
      <w:r>
        <w:t xml:space="preserve">سجل العملاء — رسائل البريد المُستلَمة لكل عميل، الجدول الزمني، التنبيهات، تصدير CSV</w:t>
      </w:r>
    </w:p>
    <w:p>
      <w:pPr>
        <w:pStyle w:val="ListParagraph"/>
        <w:numPr>
          <w:ilvl w:val="0"/>
          <w:numId w:val="2"/>
        </w:numPr>
        <w:spacing w:after="80"/>
      </w:pPr>
      <w:r>
        <w:t xml:space="preserve">التقويم — المناسبات التقويمية التلقائية (25 مناسبة، 19 لغة)</w:t>
      </w:r>
    </w:p>
    <w:p>
      <w:pPr>
        <w:pStyle w:val="ListParagraph"/>
        <w:numPr>
          <w:ilvl w:val="0"/>
          <w:numId w:val="2"/>
        </w:numPr>
        <w:spacing w:after="80"/>
      </w:pPr>
      <w:r>
        <w:t xml:space="preserve">Webhooks — إشعارات صادرة نحو CRM وZapier وMake</w:t>
      </w:r>
    </w:p>
    <w:p>
      <w:pPr>
        <w:pStyle w:val="ListParagraph"/>
        <w:numPr>
          <w:ilvl w:val="0"/>
          <w:numId w:val="2"/>
        </w:numPr>
        <w:spacing w:after="80"/>
      </w:pPr>
      <w:r>
        <w:t xml:space="preserve">الشرائح — لوحة قيادة للشرائح السلوكية الخمس للعملاء</w:t>
      </w:r>
    </w:p>
    <w:p>
      <w:pPr>
        <w:pStyle w:val="ListParagraph"/>
        <w:numPr>
          <w:ilvl w:val="0"/>
          <w:numId w:val="2"/>
        </w:numPr>
        <w:spacing w:after="80"/>
      </w:pPr>
      <w:r>
        <w:t xml:space="preserve">الحملات الموسمية — حملات متكررة مُخصَّصة</w:t>
      </w:r>
    </w:p>
    <w:p>
      <w:pPr>
        <w:pStyle w:val="ListParagraph"/>
        <w:numPr>
          <w:ilvl w:val="0"/>
          <w:numId w:val="2"/>
        </w:numPr>
        <w:spacing w:after="80"/>
      </w:pPr>
      <w:r>
        <w:t xml:space="preserve">الارتدادات — إدارة عناوين البريد الإلكتروني غير الصالحة (IMAP + webhook مزود خدمة البريد)</w:t>
      </w:r>
    </w:p>
    <w:p>
      <w:pPr>
        <w:pStyle w:val="ListParagraph"/>
        <w:numPr>
          <w:ilvl w:val="0"/>
          <w:numId w:val="2"/>
        </w:numPr>
        <w:spacing w:after="80"/>
      </w:pPr>
      <w:r>
        <w:t xml:space="preserve">اللائحة العامة لحماية البيانات — تدقيق الامتثال وحذف البيانات الشخصية</w:t>
      </w:r>
    </w:p>
    <w:p>
      <w:pPr>
        <w:pStyle w:val="ListParagraph"/>
        <w:numPr>
          <w:ilvl w:val="0"/>
          <w:numId w:val="2"/>
        </w:numPr>
        <w:spacing w:after="80"/>
      </w:pPr>
      <w:r>
        <w:t xml:space="preserve">الأكاديمية — دروس وأدلة مُدمَجة مباشرة في لوحة التحكم</w:t>
      </w:r>
    </w:p>
    <w:p>
      <w:pPr>
        <w:pStyle w:val="ListParagraph"/>
        <w:numPr>
          <w:ilvl w:val="0"/>
          <w:numId w:val="2"/>
        </w:numPr>
        <w:spacing w:after="80"/>
      </w:pPr>
      <w:r>
        <w:t xml:space="preserve">الشهادات — إعداد وإصدار شهادات الأصالة بصيغة PDF</w:t>
      </w:r>
    </w:p>
    <w:p>
      <w:pPr>
        <w:pStyle w:val="ListParagraph"/>
        <w:numPr>
          <w:ilvl w:val="0"/>
          <w:numId w:val="2"/>
        </w:numPr>
        <w:spacing w:after="80"/>
      </w:pPr>
      <w:r>
        <w:t xml:space="preserve">مركز التحكم — إظهار الميزات في القائمة</w:t>
      </w:r>
    </w:p>
    <w:p>
      <w:pPr>
        <w:pStyle w:val="ListParagraph"/>
        <w:numPr>
          <w:ilvl w:val="0"/>
          <w:numId w:val="2"/>
        </w:numPr>
        <w:spacing w:after="80"/>
      </w:pPr>
      <w:r>
        <w:t xml:space="preserve">المساعدة — سجل Watchdog، التشخيص الكامل، رمز الجدولة الزمنية</w:t>
      </w:r>
    </w:p>
    <w:p>
      <w:r>
        <w:br w:type="page"/>
      </w:r>
    </w:p>
    <w:p>
      <w:pPr>
        <w:pStyle w:val="Heading1"/>
        <w:pageBreakBefore/>
        <w:spacing w:after="200" w:before="500"/>
      </w:pPr>
      <w:bookmarkStart w:name="sec19" w:id="1"/>
      <w:r>
        <w:t xml:space="preserve">6. علامة التبويب الرئيسية — الإعدادات العامة</w:t>
      </w:r>
      <w:bookmarkEnd w:id="1"/>
    </w:p>
    <w:p>
      <w:pPr>
        <w:spacing w:after="160"/>
      </w:pPr>
      <w:r>
        <w:t xml:space="preserve">علامة التبويب الرئيسية هي لوحة القيادة الرئيسية لـNeria. تجمع مؤشرات الأداء للأيام الـ30 الماضية، والمناسبات التقويمية القادمة، والإعدادات العامة للوحدة.</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مؤشرات الأداء لـ30 يومًا</w:t>
      </w:r>
      <w:bookmarkEnd w:id="1"/>
    </w:p>
    <w:p>
      <w:pPr>
        <w:spacing w:after="160"/>
      </w:pPr>
      <w:r>
        <w:t xml:space="preserve">في أعلى علامة التبويب، تُعرَض أربعة مؤشرات رئيسية: رسائل البريد المُرسَلة، معدل الفتح، معدل النقر، واللغات الفعّالة من أصل 19. تُعطي هذه الأرقام نظرة سريعة على الصحة العامة للإرسال.</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الاكتشاف التلقائي للغة</w:t>
      </w:r>
      <w:bookmarkEnd w:id="1"/>
    </w:p>
    <w:p>
      <w:pPr>
        <w:spacing w:after="160"/>
      </w:pPr>
      <w:r>
        <w:t xml:space="preserve">تختار Neria لغة كل بريد إلكتروني حسب العميل: اختياره الصريح إن حدّد لغة، وإلا بلد عنوان التسليم الخاص به. يتلقى العميل الأجنبي بذلك البريد بلغته، حتى لو كان المتجر مُعدًّا بلغة واحدة فقط.</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التحية الذكية — التوقيت المحلي</w:t>
      </w:r>
      <w:bookmarkEnd w:id="1"/>
    </w:p>
    <w:p>
      <w:pPr>
        <w:spacing w:after="160"/>
      </w:pPr>
      <w:r>
        <w:t xml:space="preserve">تُدرِج Neria تلقائيًا صيغة التحية المناسبة حسب التوقيت المحلي للعميل (المُستنتَج من عنوان التسليم الخاص به). لا حاجة لأي تعديل على القالب — اكتفوا بتخصيص الصيغ أدناه حسب اللغة والفترة الزمنية.</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الإعدادات العامة</w:t>
      </w:r>
      <w:bookmarkEnd w:id="1"/>
    </w:p>
    <w:p>
      <w:pPr>
        <w:pStyle w:val="ListParagraph"/>
        <w:numPr>
          <w:ilvl w:val="0"/>
          <w:numId w:val="2"/>
        </w:numPr>
        <w:spacing w:after="80"/>
      </w:pPr>
      <w:r>
        <w:t xml:space="preserve">المتغيرات المُخصَّصة: يمكن للتاجر تعريف متغيراته الخاصة ({shop_instagram}، {shop_hashtag}، إلخ) المُدرَجة في جميع القوالب.</w:t>
      </w:r>
    </w:p>
    <w:p>
      <w:pPr>
        <w:pStyle w:val="ListParagraph"/>
        <w:numPr>
          <w:ilvl w:val="0"/>
          <w:numId w:val="2"/>
        </w:numPr>
        <w:spacing w:after="80"/>
      </w:pPr>
      <w:r>
        <w:t xml:space="preserve">مُرسِل متعدد: إعداد أزواج الاسم/البريد الإلكتروني للمُرسِل تختلف حسب اللغة أو القالب.</w:t>
      </w:r>
    </w:p>
    <w:p>
      <w:pPr>
        <w:pStyle w:val="ListParagraph"/>
        <w:numPr>
          <w:ilvl w:val="0"/>
          <w:numId w:val="2"/>
        </w:numPr>
        <w:spacing w:after="80"/>
      </w:pPr>
      <w:r>
        <w:t xml:space="preserve">الشاهد الصامت (نسخة مخفية): إرسال نسخة مخفية من كل بريد إلكتروني إلى عنوان أرشفة.</w:t>
      </w:r>
    </w:p>
    <w:p>
      <w:pPr>
        <w:pStyle w:val="ListParagraph"/>
        <w:numPr>
          <w:ilvl w:val="0"/>
          <w:numId w:val="2"/>
        </w:numPr>
        <w:spacing w:after="80"/>
      </w:pPr>
      <w:r>
        <w:t xml:space="preserve">البصمة الكربونية: عرض إشارة في تذييل رسائل البريد الإلكتروني مع رابط إلى صفحة التعويض الخاصة بكم.</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علامة التبويب التصميم — الهوية البصرية</w:t>
      </w:r>
      <w:bookmarkEnd w:id="1"/>
    </w:p>
    <w:p>
      <w:pPr>
        <w:spacing w:after="160"/>
      </w:pPr>
      <w:r>
        <w:t xml:space="preserve">تُعدّ علامة التبويب التصميم المظهر البصري لجميع رسائل البريد الإلكتروني المُرسَلة من المتجر. يُطبَّق أي تعديل فورًا على جميع القوالب عبر المعاينة الحيّة.</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الألوان</w:t>
      </w:r>
      <w:bookmarkEnd w:id="1"/>
    </w:p>
    <w:p>
      <w:pPr>
        <w:pStyle w:val="ListParagraph"/>
        <w:numPr>
          <w:ilvl w:val="0"/>
          <w:numId w:val="2"/>
        </w:numPr>
        <w:spacing w:after="80"/>
      </w:pPr>
      <w:r>
        <w:t xml:space="preserve">لون التمييز: يُستخدَم لأزرار الدعوة إلى الإجراء، الروابط، المبالغ المُبرَزة، أكواد الخصم.</w:t>
      </w:r>
    </w:p>
    <w:p>
      <w:pPr>
        <w:pStyle w:val="ListParagraph"/>
        <w:numPr>
          <w:ilvl w:val="0"/>
          <w:numId w:val="2"/>
        </w:numPr>
        <w:spacing w:after="80"/>
      </w:pPr>
      <w:r>
        <w:t xml:space="preserve">لون الخلفية: الخلفية العامة للبريد الإلكتروني (باستثناء البطاقة المركزية، دائمًا بيضاء لضمان الوضوح).</w:t>
      </w:r>
    </w:p>
    <w:p>
      <w:pPr>
        <w:pStyle w:val="ListParagraph"/>
        <w:numPr>
          <w:ilvl w:val="0"/>
          <w:numId w:val="2"/>
        </w:numPr>
        <w:spacing w:after="80"/>
      </w:pPr>
      <w:r>
        <w:t xml:space="preserve">لون النص الرئيسي والثانوي.</w:t>
      </w:r>
    </w:p>
    <w:p>
      <w:pPr>
        <w:spacing w:after="120"/>
        <w:ind w:left="200"/>
      </w:pPr>
      <w:r>
        <w:rPr>
          <w:b/>
          <w:bCs/>
          <w:color w:val="B38B59"/>
        </w:rPr>
        <w:t xml:space="preserve">1. </w:t>
      </w:r>
      <w:r>
        <w:t xml:space="preserve">انقروا على منتقي اللون المطلوب.</w:t>
      </w:r>
    </w:p>
    <w:p>
      <w:pPr>
        <w:spacing w:after="120"/>
        <w:ind w:left="200"/>
      </w:pPr>
      <w:r>
        <w:rPr>
          <w:b/>
          <w:bCs/>
          <w:color w:val="B38B59"/>
        </w:rPr>
        <w:t xml:space="preserve">2. </w:t>
      </w:r>
      <w:r>
        <w:t xml:space="preserve">اختاروا عبر لوحة الألوان الرسومية أو أدخلوا الرمز السداسي العشري (#B38B59 للون البرونزي المميز لـNeria، على سبيل المثال).</w:t>
      </w:r>
    </w:p>
    <w:p>
      <w:pPr>
        <w:spacing w:after="120"/>
        <w:ind w:left="200"/>
      </w:pPr>
      <w:r>
        <w:rPr>
          <w:b/>
          <w:bCs/>
          <w:color w:val="B38B59"/>
        </w:rPr>
        <w:t xml:space="preserve">3. </w:t>
      </w:r>
      <w:r>
        <w:t xml:space="preserve">تتحدّث المعاينة الحيّة فورًا. انقروا على حفظ.</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الشعار</w:t>
      </w:r>
      <w:bookmarkEnd w:id="1"/>
    </w:p>
    <w:p>
      <w:pPr>
        <w:spacing w:after="120"/>
        <w:ind w:left="200"/>
      </w:pPr>
      <w:r>
        <w:rPr>
          <w:b/>
          <w:bCs/>
          <w:color w:val="B38B59"/>
        </w:rPr>
        <w:t xml:space="preserve">1. </w:t>
      </w:r>
      <w:r>
        <w:t xml:space="preserve">انقروا على زر تحميل الشعار.</w:t>
      </w:r>
    </w:p>
    <w:p>
      <w:pPr>
        <w:spacing w:after="120"/>
        <w:ind w:left="200"/>
      </w:pPr>
      <w:r>
        <w:rPr>
          <w:b/>
          <w:bCs/>
          <w:color w:val="B38B59"/>
        </w:rPr>
        <w:t xml:space="preserve">2. </w:t>
      </w:r>
      <w:r>
        <w:t xml:space="preserve">اختاروا ملف الشعار الخاص بكم (يُنصح بصيغة PNG شفافة، بحد أدنى 300×100 بكسل).</w:t>
      </w:r>
    </w:p>
    <w:p>
      <w:pPr>
        <w:spacing w:after="120"/>
        <w:ind w:left="200"/>
      </w:pPr>
      <w:r>
        <w:rPr>
          <w:b/>
          <w:bCs/>
          <w:color w:val="B38B59"/>
        </w:rPr>
        <w:t xml:space="preserve">3. </w:t>
      </w:r>
      <w:r>
        <w:t xml:space="preserve">يظهر الشعار في المعاينة أعلى كل بريد إلكتروني. اضبطوا عرض العرض إذا لزم الأمر.</w:t>
      </w:r>
    </w:p>
    <w:p>
      <w:pPr>
        <w:pStyle w:val="Heading2"/>
        <w:spacing w:after="140" w:before="320"/>
      </w:pPr>
      <w:bookmarkStart w:name="sec27" w:id="1"/>
      <w:r>
        <w:t xml:space="preserve">7.3 الوضع الداكن</w:t>
      </w:r>
      <w:bookmarkEnd w:id="1"/>
    </w:p>
    <w:p>
      <w:pPr>
        <w:spacing w:after="160"/>
      </w:pPr>
      <w:r>
        <w:t xml:space="preserve">يُثبِّت الوضع الداكن العرض على الطابع الفاتح حتى لو طبّق برنامج البريد الإلكتروني للمستلم طابعًا داكنًا تلقائيًا (meta-color-scheme مُثبَّت على light). يُنصَح به للمتاجر ذات الشعار أو ألوان العلامة التجارية الحساسة للانعكاس.</w:t>
      </w:r>
    </w:p>
    <w:p>
      <w:pPr>
        <w:pStyle w:val="Heading2"/>
        <w:spacing w:after="140" w:before="320"/>
      </w:pPr>
      <w:bookmarkStart w:name="sec28" w:id="1"/>
      <w:r>
        <w:t xml:space="preserve">7.4 عرض الحاوية</w:t>
      </w:r>
      <w:bookmarkEnd w:id="1"/>
    </w:p>
    <w:p>
      <w:pPr>
        <w:spacing w:after="160"/>
      </w:pPr>
      <w:r>
        <w:t xml:space="preserve">عرض البطاقة المركزية للبريد الإلكتروني قابل للتعديل بين 480 و700 بكسل. القيمة المُوصى بها: 600 بكسل (المعيار الصناعي للبريد الإلكتروني).</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الأنماط السريعة — إعدادات مسبقة بنقرة واحدة</w:t>
      </w:r>
      <w:bookmarkEnd w:id="1"/>
    </w:p>
    <w:p>
      <w:pPr>
        <w:spacing w:after="160"/>
      </w:pPr>
      <w:r>
        <w:t xml:space="preserve">تُطبِّق ستة إعدادات مسبقة فورًا مزيجًا متناسقًا من الألوان والخطوط:</w:t>
      </w:r>
    </w:p>
    <w:p>
      <w:pPr>
        <w:pStyle w:val="ListParagraph"/>
        <w:numPr>
          <w:ilvl w:val="0"/>
          <w:numId w:val="2"/>
        </w:numPr>
        <w:spacing w:after="80"/>
      </w:pPr>
      <w:r>
        <w:t xml:space="preserve">أناقة ذهبية — درجات الذهبي/الكريمي، خط سيريف هادئ</w:t>
      </w:r>
    </w:p>
    <w:p>
      <w:pPr>
        <w:pStyle w:val="ListParagraph"/>
        <w:numPr>
          <w:ilvl w:val="0"/>
          <w:numId w:val="2"/>
        </w:numPr>
        <w:spacing w:after="80"/>
      </w:pPr>
      <w:r>
        <w:t xml:space="preserve">بساطة أبيض وأسود — خط بلا زوائد عصري</w:t>
      </w:r>
    </w:p>
    <w:p>
      <w:pPr>
        <w:pStyle w:val="ListParagraph"/>
        <w:numPr>
          <w:ilvl w:val="0"/>
          <w:numId w:val="2"/>
        </w:numPr>
        <w:spacing w:after="80"/>
      </w:pPr>
      <w:r>
        <w:t xml:space="preserve">أزرق بحري وذهبي — طابع بحري فاخر</w:t>
      </w:r>
    </w:p>
    <w:p>
      <w:pPr>
        <w:pStyle w:val="ListParagraph"/>
        <w:numPr>
          <w:ilvl w:val="0"/>
          <w:numId w:val="2"/>
        </w:numPr>
        <w:spacing w:after="80"/>
      </w:pPr>
      <w:r>
        <w:t xml:space="preserve">عنابي وعاجي — طابع صناعة النبيذ والجلديات</w:t>
      </w:r>
    </w:p>
    <w:p>
      <w:pPr>
        <w:pStyle w:val="ListParagraph"/>
        <w:numPr>
          <w:ilvl w:val="0"/>
          <w:numId w:val="2"/>
        </w:numPr>
        <w:spacing w:after="80"/>
      </w:pPr>
      <w:r>
        <w:t xml:space="preserve">أخضر غابي وبرونزي — حرفية طبيعية</w:t>
      </w:r>
    </w:p>
    <w:p>
      <w:pPr>
        <w:pStyle w:val="ListParagraph"/>
        <w:numPr>
          <w:ilvl w:val="0"/>
          <w:numId w:val="2"/>
        </w:numPr>
        <w:spacing w:after="80"/>
      </w:pPr>
      <w:r>
        <w:t xml:space="preserve">وردي باودري ورمادي — أزياء نسائية</w:t>
      </w:r>
    </w:p>
    <w:p>
      <w:pPr>
        <w:spacing w:after="120"/>
        <w:ind w:left="200"/>
      </w:pPr>
      <w:r>
        <w:rPr>
          <w:b/>
          <w:bCs/>
          <w:color w:val="B38B59"/>
        </w:rPr>
        <w:t xml:space="preserve">1. </w:t>
      </w:r>
      <w:r>
        <w:t xml:space="preserve">انقروا على أحد الأنماط الستة في قسم الأنماط السريعة.</w:t>
      </w:r>
    </w:p>
    <w:p>
      <w:pPr>
        <w:spacing w:after="120"/>
        <w:ind w:left="200"/>
      </w:pPr>
      <w:r>
        <w:rPr>
          <w:b/>
          <w:bCs/>
          <w:color w:val="B38B59"/>
        </w:rPr>
        <w:t xml:space="preserve">2. </w:t>
      </w:r>
      <w:r>
        <w:t xml:space="preserve">تتحدّث المعاينة الحيّة فورًا.</w:t>
      </w:r>
    </w:p>
    <w:p>
      <w:pPr>
        <w:spacing w:after="120"/>
        <w:ind w:left="200"/>
      </w:pPr>
      <w:r>
        <w:rPr>
          <w:b/>
          <w:bCs/>
          <w:color w:val="B38B59"/>
        </w:rPr>
        <w:t xml:space="preserve">3. </w:t>
      </w:r>
      <w:r>
        <w:t xml:space="preserve">انقروا على تطبيق هذا النمط للتأكيد، أو اختاروا نمطًا آخر.</w:t>
      </w:r>
    </w:p>
    <w:p>
      <w:pPr>
        <w:spacing w:after="120"/>
        <w:ind w:left="200"/>
      </w:pPr>
      <w:r>
        <w:rPr>
          <w:b/>
          <w:bCs/>
          <w:color w:val="B38B59"/>
        </w:rPr>
        <w:t xml:space="preserve">4. </w:t>
      </w:r>
      <w:r>
        <w:t xml:space="preserve">يُعيد زر إعادة الضبط الافتراضي القيم الأصلية في أي وقت.</w:t>
      </w:r>
    </w:p>
    <w:p>
      <w:pPr>
        <w:pStyle w:val="Heading2"/>
        <w:spacing w:after="140" w:before="320"/>
      </w:pPr>
      <w:bookmarkStart w:name="sec30" w:id="1"/>
      <w:r>
        <w:t xml:space="preserve">7.6 التوقيع اليدوي</w:t>
      </w:r>
      <w:bookmarkEnd w:id="1"/>
    </w:p>
    <w:p>
      <w:pPr>
        <w:spacing w:after="160"/>
      </w:pPr>
      <w:r>
        <w:t xml:space="preserve">يمكن لـNeria توليد صورة توقيع خطي من الاسم المُدخَل، باستخدام مكتبة GD وخطوط خطية يدوية (Dancing Script وGreat Vibes وSacramento وPinyon Script). يُدرَج هذا التوقيع في تذييل كل بريد إلكتروني، تحت صيغة التحية الختامية.</w:t>
      </w:r>
    </w:p>
    <w:p>
      <w:pPr>
        <w:spacing w:after="120"/>
        <w:ind w:left="200"/>
      </w:pPr>
      <w:r>
        <w:rPr>
          <w:b/>
          <w:bCs/>
          <w:color w:val="B38B59"/>
        </w:rPr>
        <w:t xml:space="preserve">1. </w:t>
      </w:r>
      <w:r>
        <w:t xml:space="preserve">أدخلوا الاسم المُراد كتابته خطيًا في حقل اسم التوقيع.</w:t>
      </w:r>
    </w:p>
    <w:p>
      <w:pPr>
        <w:spacing w:after="120"/>
        <w:ind w:left="200"/>
      </w:pPr>
      <w:r>
        <w:rPr>
          <w:b/>
          <w:bCs/>
          <w:color w:val="B38B59"/>
        </w:rPr>
        <w:t xml:space="preserve">2. </w:t>
      </w:r>
      <w:r>
        <w:t xml:space="preserve">اختاروا الخط من بين الأربعة المتاحة.</w:t>
      </w:r>
    </w:p>
    <w:p>
      <w:pPr>
        <w:spacing w:after="120"/>
        <w:ind w:left="200"/>
      </w:pPr>
      <w:r>
        <w:rPr>
          <w:b/>
          <w:bCs/>
          <w:color w:val="B38B59"/>
        </w:rPr>
        <w:t xml:space="preserve">3. </w:t>
      </w:r>
      <w:r>
        <w:t xml:space="preserve">اضبطوا الحجم واللون.</w:t>
      </w:r>
    </w:p>
    <w:p>
      <w:pPr>
        <w:spacing w:after="120"/>
        <w:ind w:left="200"/>
      </w:pPr>
      <w:r>
        <w:rPr>
          <w:b/>
          <w:bCs/>
          <w:color w:val="B38B59"/>
        </w:rPr>
        <w:t xml:space="preserve">4. </w:t>
      </w:r>
      <w:r>
        <w:t xml:space="preserve">انقروا على توليد المعاينة، ثم على حفظ.</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علامة التبويب الطباعة</w:t>
      </w:r>
      <w:bookmarkEnd w:id="1"/>
    </w:p>
    <w:p>
      <w:pPr>
        <w:spacing w:after="160"/>
      </w:pPr>
      <w:r>
        <w:t xml:space="preserve">تُعدّ علامة التبويب الطباعة الخطوط المُستخدَمة في رسائل البريد الإلكتروني، حسب عائلة النص. تُدير Neria 5 عائلات: لاتيني، عربي (من اليمين إلى اليسار)، ياباني، كوري، صيني مبسّط/تقليدي.</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إعداد الخطوط</w:t>
      </w:r>
      <w:bookmarkEnd w:id="1"/>
    </w:p>
    <w:p>
      <w:pPr>
        <w:spacing w:after="120"/>
        <w:ind w:left="200"/>
      </w:pPr>
      <w:r>
        <w:rPr>
          <w:b/>
          <w:bCs/>
          <w:color w:val="B38B59"/>
        </w:rPr>
        <w:t xml:space="preserve">1. </w:t>
      </w:r>
      <w:r>
        <w:t xml:space="preserve">اختاروا عائلة النص المُراد إعدادها (لاتيني، عربي، ياباني، كوري، صيني).</w:t>
      </w:r>
    </w:p>
    <w:p>
      <w:pPr>
        <w:spacing w:after="120"/>
        <w:ind w:left="200"/>
      </w:pPr>
      <w:r>
        <w:rPr>
          <w:b/>
          <w:bCs/>
          <w:color w:val="B38B59"/>
        </w:rPr>
        <w:t xml:space="preserve">2. </w:t>
      </w:r>
      <w:r>
        <w:t xml:space="preserve">اختاروا خط العناوين من القائمة المنسدلة (مثال: Cormorant Garamond، EB Garamond…).</w:t>
      </w:r>
    </w:p>
    <w:p>
      <w:pPr>
        <w:spacing w:after="120"/>
        <w:ind w:left="200"/>
      </w:pPr>
      <w:r>
        <w:rPr>
          <w:b/>
          <w:bCs/>
          <w:color w:val="B38B59"/>
        </w:rPr>
        <w:t xml:space="preserve">3. </w:t>
      </w:r>
      <w:r>
        <w:t xml:space="preserve">اختاروا خط النص العادي (مثال: Lato، Open Sans…).</w:t>
      </w:r>
    </w:p>
    <w:p>
      <w:pPr>
        <w:spacing w:after="120"/>
        <w:ind w:left="200"/>
      </w:pPr>
      <w:r>
        <w:rPr>
          <w:b/>
          <w:bCs/>
          <w:color w:val="B38B59"/>
        </w:rPr>
        <w:t xml:space="preserve">4. </w:t>
      </w:r>
      <w:r>
        <w:t xml:space="preserve">تُظهر المعاينة العرض في مقتطف بريد إلكتروني. انقروا على حفظ.</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ملاحظة — </w:t>
      </w:r>
      <w:r>
        <w:t xml:space="preserve">تُولِّد Neria تلقائيًا وسوم @font-face وسلاسل الخطوط الاحتياطية لضمان عرض أنيق حتى في Outlook، الذي لا يدعم خطوط الويب.</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علامة التبويب التواصل الاجتماعي</w:t>
      </w:r>
      <w:bookmarkEnd w:id="1"/>
    </w:p>
    <w:p>
      <w:pPr>
        <w:spacing w:after="160"/>
      </w:pPr>
      <w:r>
        <w:t xml:space="preserve">تُعدّ هذه العلامة أيقونات وروابط وسائل التواصل الاجتماعي المُدرَجة تلقائيًا في تذييل كل بريد إلكتروني. حتى 9 منصات متاحة: Instagram وFacebook وPinterest وTikTok وYouTube وLinkedIn وX/Twitter وSnapchat وWhatsApp.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أدخلوا الرابط الكامل لملفكم الشخصي لكل شبكة مرغوبة (اتركوه فارغًا لإخفاء الشبكة).</w:t>
      </w:r>
    </w:p>
    <w:p>
      <w:pPr>
        <w:spacing w:after="120"/>
        <w:ind w:left="200"/>
      </w:pPr>
      <w:r>
        <w:rPr>
          <w:b/>
          <w:bCs/>
          <w:color w:val="B38B59"/>
        </w:rPr>
        <w:t xml:space="preserve">2. </w:t>
      </w:r>
      <w:r>
        <w:t xml:space="preserve">أعيدوا ترتيب الأيقونات بالسحب والإفلات إذا لزم الأمر.</w:t>
      </w:r>
    </w:p>
    <w:p>
      <w:pPr>
        <w:spacing w:after="120"/>
        <w:ind w:left="200"/>
      </w:pPr>
      <w:r>
        <w:rPr>
          <w:b/>
          <w:bCs/>
          <w:color w:val="B38B59"/>
        </w:rPr>
        <w:t xml:space="preserve">3. </w:t>
      </w:r>
      <w:r>
        <w:t xml:space="preserve">انقروا على حفظ، ثم أرسلوا لأنفسكم بريدًا إلكترونيًا تجريبيًا لمعاينة عرض الأيقونات في التذييل (المعاينة الظاهرة في علامة التبويب المعاينة لا تعرض شبكات التواصل الاجتماعي).</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علامة التبويب الترجمات — 19 لغة</w:t>
      </w:r>
      <w:bookmarkEnd w:id="1"/>
    </w:p>
    <w:p>
      <w:pPr>
        <w:spacing w:after="160"/>
      </w:pPr>
      <w:r>
        <w:t xml:space="preserve">تتيح علامة التبويب الترجمات تحرير نص كل قالب من القوالب الـ117، بكل لغة من اللغات الـ19 المتاحة (fr, en, de, it, es, pt, br, gb, ar, ja, ko, zh, tw, ru, tr, sv, no, da, nl)، مع معاينة حيّة قبل الحفظ.</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تحرير قالب</w:t>
      </w:r>
      <w:bookmarkEnd w:id="1"/>
    </w:p>
    <w:p>
      <w:pPr>
        <w:spacing w:after="120"/>
        <w:ind w:left="200"/>
      </w:pPr>
      <w:r>
        <w:rPr>
          <w:b/>
          <w:bCs/>
          <w:color w:val="B38B59"/>
        </w:rPr>
        <w:t xml:space="preserve">1. </w:t>
      </w:r>
      <w:r>
        <w:t xml:space="preserve">اختاروا اللغة من القائمة المنسدلة أعلى الصفحة.</w:t>
      </w:r>
    </w:p>
    <w:p>
      <w:pPr>
        <w:spacing w:after="120"/>
        <w:ind w:left="200"/>
      </w:pPr>
      <w:r>
        <w:rPr>
          <w:b/>
          <w:bCs/>
          <w:color w:val="B38B59"/>
        </w:rPr>
        <w:t xml:space="preserve">2. </w:t>
      </w:r>
      <w:r>
        <w:t xml:space="preserve">اختاروا القالب المُراد تحريره من القائمة (أو استخدموا البحث الشامل).</w:t>
      </w:r>
    </w:p>
    <w:p>
      <w:pPr>
        <w:spacing w:after="120"/>
        <w:ind w:left="200"/>
      </w:pPr>
      <w:r>
        <w:rPr>
          <w:b/>
          <w:bCs/>
          <w:color w:val="B38B59"/>
        </w:rPr>
        <w:t xml:space="preserve">3. </w:t>
      </w:r>
      <w:r>
        <w:t xml:space="preserve">انقروا على تعديل. يفتح المحرر بالحقول: الموضوع، النص (HTML)، النص العادي.</w:t>
      </w:r>
    </w:p>
    <w:p>
      <w:pPr>
        <w:spacing w:after="120"/>
        <w:ind w:left="200"/>
      </w:pPr>
      <w:r>
        <w:rPr>
          <w:b/>
          <w:bCs/>
          <w:color w:val="B38B59"/>
        </w:rPr>
        <w:t xml:space="preserve">4. </w:t>
      </w:r>
      <w:r>
        <w:t xml:space="preserve">عدّلوا النص. المتغيرات المتاحة ({firstname}، {order_reference}…) مُدرَجة على اليمين.</w:t>
      </w:r>
    </w:p>
    <w:p>
      <w:pPr>
        <w:spacing w:after="120"/>
        <w:ind w:left="200"/>
      </w:pPr>
      <w:r>
        <w:rPr>
          <w:b/>
          <w:bCs/>
          <w:color w:val="B38B59"/>
        </w:rPr>
        <w:t xml:space="preserve">5. </w:t>
      </w:r>
      <w:r>
        <w:t xml:space="preserve">تتحدّث المعاينة الحيّة مع كل ضغطة مفتاح. انقروا على حفظ.</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الترجمة التلقائية عبر DeepL</w:t>
      </w:r>
      <w:bookmarkEnd w:id="1"/>
    </w:p>
    <w:p>
      <w:pPr>
        <w:spacing w:after="120"/>
        <w:ind w:left="200"/>
      </w:pPr>
      <w:r>
        <w:rPr>
          <w:b/>
          <w:bCs/>
          <w:color w:val="B38B59"/>
        </w:rPr>
        <w:t xml:space="preserve">1. </w:t>
      </w:r>
      <w:r>
        <w:t xml:space="preserve">في المحرر، انقروا على زر الترجمة عبر DeepL.</w:t>
      </w:r>
    </w:p>
    <w:p>
      <w:pPr>
        <w:spacing w:after="120"/>
        <w:ind w:left="200"/>
      </w:pPr>
      <w:r>
        <w:rPr>
          <w:b/>
          <w:bCs/>
          <w:color w:val="B38B59"/>
        </w:rPr>
        <w:t xml:space="preserve">2. </w:t>
      </w:r>
      <w:r>
        <w:t xml:space="preserve">تُرسل Neria النص المصدر إلى واجهة برمجة تطبيقات DeepL وتملأ الحقل الهدف تلقائيًا.</w:t>
      </w:r>
    </w:p>
    <w:p>
      <w:pPr>
        <w:spacing w:after="120"/>
        <w:ind w:left="200"/>
      </w:pPr>
      <w:r>
        <w:rPr>
          <w:b/>
          <w:bCs/>
          <w:color w:val="B38B59"/>
        </w:rPr>
        <w:t xml:space="preserve">3. </w:t>
      </w:r>
      <w:r>
        <w:t xml:space="preserve">راجعوا وعدّلوا إذا لزم الأمر قبل الحفظ.</w:t>
      </w:r>
    </w:p>
    <w:p>
      <w:pPr>
        <w:spacing w:after="180" w:before="120"/>
        <w:ind w:left="360"/>
      </w:pPr>
      <w:r>
        <w:rPr>
          <w:b/>
          <w:bCs/>
          <w:color w:val="B38B59"/>
        </w:rPr>
        <w:t xml:space="preserve">ℹ️  ملاحظة — </w:t>
      </w:r>
      <w:r>
        <w:t xml:space="preserve">يجب إعداد مفتاح واجهة برمجة تطبيقات DeepL Free (500,000 حرف مجانًا شهريًا) في علامة التبويب الرئيسية ← الإعدادات العامة ← مفتاح DeepL.</w:t>
      </w:r>
    </w:p>
    <w:p>
      <w:pPr>
        <w:pStyle w:val="Heading2"/>
        <w:spacing w:after="140" w:before="320"/>
      </w:pPr>
      <w:bookmarkStart w:name="sec37" w:id="1"/>
      <w:r>
        <w:t xml:space="preserve">10.3 التصدير والاستيراد بصيغة CSV</w:t>
      </w:r>
      <w:bookmarkEnd w:id="1"/>
    </w:p>
    <w:p>
      <w:pPr>
        <w:spacing w:after="120"/>
        <w:ind w:left="200"/>
      </w:pPr>
      <w:r>
        <w:rPr>
          <w:b/>
          <w:bCs/>
          <w:color w:val="B38B59"/>
        </w:rPr>
        <w:t xml:space="preserve">1. </w:t>
      </w:r>
      <w:r>
        <w:t xml:space="preserve">انقروا على تصدير CSV لتحميل جميع ترجمات لغة معيّنة.</w:t>
      </w:r>
    </w:p>
    <w:p>
      <w:pPr>
        <w:spacing w:after="120"/>
        <w:ind w:left="200"/>
      </w:pPr>
      <w:r>
        <w:rPr>
          <w:b/>
          <w:bCs/>
          <w:color w:val="B38B59"/>
        </w:rPr>
        <w:t xml:space="preserve">2. </w:t>
      </w:r>
      <w:r>
        <w:t xml:space="preserve">عدّلوا ملف CSV في Excel أو Google Sheets (العمود A: المفتاح، العمود B: الترجمة).</w:t>
      </w:r>
    </w:p>
    <w:p>
      <w:pPr>
        <w:spacing w:after="120"/>
        <w:ind w:left="200"/>
      </w:pPr>
      <w:r>
        <w:rPr>
          <w:b/>
          <w:bCs/>
          <w:color w:val="B38B59"/>
        </w:rPr>
        <w:t xml:space="preserve">3. </w:t>
      </w:r>
      <w:r>
        <w:t xml:space="preserve">انقروا على استيراد CSV واختاروا الملف المُعدَّل. تُحدَّث الترجمات بشكل جماعي.</w:t>
      </w:r>
    </w:p>
    <w:p>
      <w:pPr>
        <w:pStyle w:val="Heading2"/>
        <w:spacing w:after="140" w:before="320"/>
      </w:pPr>
      <w:bookmarkStart w:name="sec38" w:id="1"/>
      <w:r>
        <w:t xml:space="preserve">10.4 استبعاد قالب</w:t>
      </w:r>
      <w:bookmarkEnd w:id="1"/>
    </w:p>
    <w:p>
      <w:pPr>
        <w:spacing w:after="160"/>
      </w:pPr>
      <w:r>
        <w:t xml:space="preserve">إذا رغبتم في أن يُدار قالب معيّن عبر نظام PrestaShop الأصلي بدلاً من Neria (بشكل عام أو للغة معيّنة)، توجّهوا إلى الرئيسية ← استبعاد القوالب:</w:t>
      </w:r>
    </w:p>
    <w:p>
      <w:pPr>
        <w:spacing w:after="120"/>
        <w:ind w:left="200"/>
      </w:pPr>
      <w:r>
        <w:rPr>
          <w:b/>
          <w:bCs/>
          <w:color w:val="B38B59"/>
        </w:rPr>
        <w:t xml:space="preserve">1. </w:t>
      </w:r>
      <w:r>
        <w:t xml:space="preserve">اختاروا القالب من القائمة المنسدلة.</w:t>
      </w:r>
    </w:p>
    <w:p>
      <w:pPr>
        <w:spacing w:after="120"/>
        <w:ind w:left="200"/>
      </w:pPr>
      <w:r>
        <w:rPr>
          <w:b/>
          <w:bCs/>
          <w:color w:val="B38B59"/>
        </w:rPr>
        <w:t xml:space="preserve">2. </w:t>
      </w:r>
      <w:r>
        <w:t xml:space="preserve">اختاروا لغة معيّنة، أو اتركوا «جميع اللغات» لاستبعاد شامل.</w:t>
      </w:r>
    </w:p>
    <w:p>
      <w:pPr>
        <w:spacing w:after="120"/>
        <w:ind w:left="200"/>
      </w:pPr>
      <w:r>
        <w:rPr>
          <w:b/>
          <w:bCs/>
          <w:color w:val="B38B59"/>
        </w:rPr>
        <w:t xml:space="preserve">3. </w:t>
      </w:r>
      <w:r>
        <w:t xml:space="preserve">انقروا على إضافة. عندئذٍ تُدير PrestaShop هذا البريد الإلكتروني بشكل أصلي نيابةً عن Neria.</w:t>
      </w:r>
    </w:p>
    <w:p>
      <w:pPr>
        <w:spacing w:after="120"/>
        <w:ind w:left="200"/>
      </w:pPr>
      <w:r>
        <w:rPr>
          <w:b/>
          <w:bCs/>
          <w:color w:val="B38B59"/>
        </w:rPr>
        <w:t xml:space="preserve">4. </w:t>
      </w:r>
      <w:r>
        <w:t xml:space="preserve">لإعادة التفعيل، احذفوا القاعدة من جدول القواعد الفعّالة.</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سجل الترجمات</w:t>
      </w:r>
      <w:bookmarkEnd w:id="1"/>
    </w:p>
    <w:p>
      <w:pPr>
        <w:spacing w:after="160"/>
      </w:pPr>
      <w:r>
        <w:t xml:space="preserve">يُسجَّل كل تعديل ترجمة مع طابع زمني. يمكن الوصول إلى السجل من زر السجل في محرر أي قالب.</w:t>
      </w:r>
    </w:p>
    <w:p>
      <w:r>
        <w:br w:type="page"/>
      </w:r>
    </w:p>
    <w:p>
      <w:pPr>
        <w:pStyle w:val="Heading1"/>
        <w:pageBreakBefore/>
        <w:spacing w:after="200" w:before="500"/>
      </w:pPr>
      <w:bookmarkStart w:name="sec40" w:id="1"/>
      <w:r>
        <w:t xml:space="preserve">11. البصمة الصوتية للعلامة التجارية</w:t>
      </w:r>
      <w:bookmarkEnd w:id="1"/>
    </w:p>
    <w:p>
      <w:pPr>
        <w:spacing w:after="160"/>
      </w:pPr>
      <w:r>
        <w:t xml:space="preserve">تتيح البصمة الصوتية تحديد الكلمات المحظورة والكلمات المُفضَّلة وملاحظات النبرة التحريرية حسب اللغة. تفحص Neria تلقائيًا الترجمات الحالية وتُشير إلى التناقضات، دون اللجوء إلى ذكاء اصطناعي خارجي.</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في قسم البصمة الصوتية، اختاروا اللغة.</w:t>
      </w:r>
    </w:p>
    <w:p>
      <w:pPr>
        <w:spacing w:after="120"/>
        <w:ind w:left="200"/>
      </w:pPr>
      <w:r>
        <w:rPr>
          <w:b/>
          <w:bCs/>
          <w:color w:val="B38B59"/>
        </w:rPr>
        <w:t xml:space="preserve">2. </w:t>
      </w:r>
      <w:r>
        <w:t xml:space="preserve">أدخلوا الكلمات المحظورة (مثال: «رخيص»، «تخفيض»، «تصفية») مفصولة بفواصل.</w:t>
      </w:r>
    </w:p>
    <w:p>
      <w:pPr>
        <w:spacing w:after="120"/>
        <w:ind w:left="200"/>
      </w:pPr>
      <w:r>
        <w:rPr>
          <w:b/>
          <w:bCs/>
          <w:color w:val="B38B59"/>
        </w:rPr>
        <w:t xml:space="preserve">3. </w:t>
      </w:r>
      <w:r>
        <w:t xml:space="preserve">أدخلوا الكلمات المُفضَّلة (مثال: «حصري»، «حرفي»، «مُصمَّم خصيصًا»).</w:t>
      </w:r>
    </w:p>
    <w:p>
      <w:pPr>
        <w:spacing w:after="120"/>
        <w:ind w:left="200"/>
      </w:pPr>
      <w:r>
        <w:rPr>
          <w:b/>
          <w:bCs/>
          <w:color w:val="B38B59"/>
        </w:rPr>
        <w:t xml:space="preserve">4. </w:t>
      </w:r>
      <w:r>
        <w:t xml:space="preserve">أضيفوا ملاحظات النبرة (مثال: «استخدام صيغة الاحترام دائمًا»، «تجنّب علامة التعجب»).</w:t>
      </w:r>
    </w:p>
    <w:p>
      <w:pPr>
        <w:spacing w:after="120"/>
        <w:ind w:left="200"/>
      </w:pPr>
      <w:r>
        <w:rPr>
          <w:b/>
          <w:bCs/>
          <w:color w:val="B38B59"/>
        </w:rPr>
        <w:t xml:space="preserve">5. </w:t>
      </w:r>
      <w:r>
        <w:t xml:space="preserve">انقروا على إطلاق التدقيق الرجعي لتحليل جميع القوالب الحالية بهذه اللغة.</w:t>
      </w:r>
    </w:p>
    <w:p>
      <w:pPr>
        <w:spacing w:after="120"/>
        <w:ind w:left="200"/>
      </w:pPr>
      <w:r>
        <w:rPr>
          <w:b/>
          <w:bCs/>
          <w:color w:val="B38B59"/>
        </w:rPr>
        <w:t xml:space="preserve">6. </w:t>
      </w:r>
      <w:r>
        <w:t xml:space="preserve">تعرض Neria قائمة القوالب التي تحتوي على كلمات محظورة، مع السياق.</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علامة التبويب الإرسال اليدوي</w:t>
      </w:r>
      <w:bookmarkEnd w:id="1"/>
    </w:p>
    <w:p>
      <w:pPr>
        <w:spacing w:after="160"/>
      </w:pPr>
      <w:r>
        <w:t xml:space="preserve">تتيح علامة التبويب الإرسال اليدوي إرسال أي قالب بريد إلكتروني إلى أي عميل، فورًا أو مُؤجَّلاً، من لوحة التحكم.</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في حقل العميل، ابدؤوا بكتابة اسم أو بريد المستلم الإلكتروني. يقترح الإكمال التلقائي العملاء المطابقين.</w:t>
      </w:r>
    </w:p>
    <w:p>
      <w:pPr>
        <w:spacing w:after="120"/>
        <w:ind w:left="200"/>
      </w:pPr>
      <w:r>
        <w:rPr>
          <w:b/>
          <w:bCs/>
          <w:color w:val="B38B59"/>
        </w:rPr>
        <w:t xml:space="preserve">2. </w:t>
      </w:r>
      <w:r>
        <w:t xml:space="preserve">اختاروا القالب المُراد إرساله من القائمة المنسدلة.</w:t>
      </w:r>
    </w:p>
    <w:p>
      <w:pPr>
        <w:spacing w:after="120"/>
        <w:ind w:left="200"/>
      </w:pPr>
      <w:r>
        <w:rPr>
          <w:b/>
          <w:bCs/>
          <w:color w:val="B38B59"/>
        </w:rPr>
        <w:t xml:space="preserve">3. </w:t>
      </w:r>
      <w:r>
        <w:t xml:space="preserve">إذا كان القالب يتطلب متغيرات محدَّدة (رقم الطلب، المبلغ…)، املؤوا الحقول التي تظهر.</w:t>
      </w:r>
    </w:p>
    <w:p>
      <w:pPr>
        <w:spacing w:after="120"/>
        <w:ind w:left="200"/>
      </w:pPr>
      <w:r>
        <w:rPr>
          <w:b/>
          <w:bCs/>
          <w:color w:val="B38B59"/>
        </w:rPr>
        <w:t xml:space="preserve">4. </w:t>
      </w:r>
      <w:r>
        <w:t xml:space="preserve">اختاروا لغة الإرسال (افتراضيًا: اللغة المُفضَّلة للعميل).</w:t>
      </w:r>
    </w:p>
    <w:p>
      <w:pPr>
        <w:spacing w:after="120"/>
        <w:ind w:left="200"/>
      </w:pPr>
      <w:r>
        <w:rPr>
          <w:b/>
          <w:bCs/>
          <w:color w:val="B38B59"/>
        </w:rPr>
        <w:t xml:space="preserve">5. </w:t>
      </w:r>
      <w:r>
        <w:t xml:space="preserve">اختياري: فعّلوا خيار الجدولة لتحديد تاريخ ووقت إرسال مُؤجَّلين.</w:t>
      </w:r>
    </w:p>
    <w:p>
      <w:pPr>
        <w:spacing w:after="120"/>
        <w:ind w:left="200"/>
      </w:pPr>
      <w:r>
        <w:rPr>
          <w:b/>
          <w:bCs/>
          <w:color w:val="B38B59"/>
        </w:rPr>
        <w:t xml:space="preserve">6. </w:t>
      </w:r>
      <w:r>
        <w:t xml:space="preserve">انقروا على معاينة للتحقق من العرض، ثم على إرسال.</w:t>
      </w:r>
    </w:p>
    <w:p>
      <w:pPr>
        <w:spacing w:after="180" w:before="120"/>
        <w:ind w:left="360"/>
      </w:pPr>
      <w:r>
        <w:rPr>
          <w:b/>
          <w:bCs/>
          <w:color w:val="B38B59"/>
        </w:rPr>
        <w:t xml:space="preserve">ℹ️  ملاحظة — </w:t>
      </w:r>
      <w:r>
        <w:t xml:space="preserve">تكتشف Neria ما إذا كان بريد إلكتروني مطابق قد أُرسل مؤخرًا إلى العميل نفسه، وتعرض تحذيرًا باحتمال التكرار قبل الإرسال.</w:t>
      </w:r>
    </w:p>
    <w:p>
      <w:r>
        <w:br w:type="page"/>
      </w:r>
    </w:p>
    <w:p>
      <w:pPr>
        <w:pStyle w:val="Heading1"/>
        <w:pageBreakBefore/>
        <w:spacing w:after="200" w:before="500"/>
      </w:pPr>
      <w:bookmarkStart w:name="sec42" w:id="1"/>
      <w:r>
        <w:t xml:space="preserve">13. علامة التبويب المعاينة متعددة العملاء</w:t>
      </w:r>
      <w:bookmarkEnd w:id="1"/>
    </w:p>
    <w:p>
      <w:pPr>
        <w:spacing w:after="160"/>
      </w:pPr>
      <w:r>
        <w:t xml:space="preserve">تُحاكي هذه العلامة عرض أي قالب في 10 برامج بريد إلكتروني مختلفة: Apple Mail وGmail وOutlook Desktop وOrange Mail وYahoo Mail وOutlook Web (Hotmail/Live/MSN) وQQ Mail وMail.ru وSamsung Email وGMX/Web.de. يتم تضمين CSS من جانب الخادم لكل برنامج مُحاكى — لا تُرسَل أي بيانات إلى الخارج.</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اختاروا القالب المُراد معاينته من القائمة المنسدلة.</w:t>
      </w:r>
    </w:p>
    <w:p>
      <w:pPr>
        <w:spacing w:after="120"/>
        <w:ind w:left="200"/>
      </w:pPr>
      <w:r>
        <w:rPr>
          <w:b/>
          <w:bCs/>
          <w:color w:val="B38B59"/>
        </w:rPr>
        <w:t xml:space="preserve">2. </w:t>
      </w:r>
      <w:r>
        <w:t xml:space="preserve">اختاروا اللغة.</w:t>
      </w:r>
    </w:p>
    <w:p>
      <w:pPr>
        <w:spacing w:after="120"/>
        <w:ind w:left="200"/>
      </w:pPr>
      <w:r>
        <w:rPr>
          <w:b/>
          <w:bCs/>
          <w:color w:val="B38B59"/>
        </w:rPr>
        <w:t xml:space="preserve">3. </w:t>
      </w:r>
      <w:r>
        <w:t xml:space="preserve">انقروا على معاينة. تظهر العروض العشرة في شبكة.</w:t>
      </w:r>
    </w:p>
    <w:p>
      <w:pPr>
        <w:spacing w:after="120"/>
        <w:ind w:left="200"/>
      </w:pPr>
      <w:r>
        <w:rPr>
          <w:b/>
          <w:bCs/>
          <w:color w:val="B38B59"/>
        </w:rPr>
        <w:t xml:space="preserve">4. </w:t>
      </w:r>
      <w:r>
        <w:t xml:space="preserve">انقروا على أحد العروض لتكبيره والتمرير عبر البريد الإلكتروني الكامل.</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محاكاة الوضع الداكن</w:t>
      </w:r>
      <w:bookmarkEnd w:id="1"/>
    </w:p>
    <w:p>
      <w:pPr>
        <w:spacing w:after="160"/>
      </w:pPr>
      <w:r>
        <w:t xml:space="preserve">يُبدِّل زر محاكاة الوضع الداكن (لجميع البرامج) العرض إلى الطابع الداكن للتحقق من بقاء العرض واضحًا وعدم انعكاس ألوان العلامة التجارية بشكل غير مرغوب فيه.</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الأتمتة السلوكية</w:t>
      </w:r>
      <w:bookmarkEnd w:id="1"/>
    </w:p>
    <w:p>
      <w:pPr>
        <w:spacing w:after="160"/>
      </w:pPr>
      <w:r>
        <w:t xml:space="preserve">تجمع علامة التبويب ⚙ الأتمتة جميع المهام اليومية الـ21 التي تُفعِّلها الجدولة السلوكية الزمنية لـNeria. تمتلك كل أتمتة مفتاح تشغيل/إيقاف خاصًا بها، وعدّاد رسائل البريد المُرسَلة اليوم وإجمالاً، ومؤشر تفعيل.</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ملاحظة — </w:t>
      </w:r>
      <w:r>
        <w:t xml:space="preserve">يُفعِّل زر «فرض التنفيذ الآن» فورًا جميع الجدولات الزمنية الفعّالة للمتجر الحالي. الأسطر الثلاثة الأخيرة (درجة الميل، التقسيم، درجة المخاطر) لا تُرسل رسائل بريد إلكتروني: بل تُعيد حساب درجات داخلية في قاعدة البيانات وتعرض «⚙ حساب» بدلاً من الزر.</w:t>
      </w:r>
    </w:p>
    <w:p>
      <w:pPr>
        <w:pStyle w:val="Heading2"/>
        <w:spacing w:after="140" w:before="320"/>
      </w:pPr>
      <w:bookmarkStart w:name="sec45" w:id="1"/>
      <w:r>
        <w:t xml:space="preserve">14.1 إعداد الجدولة الزمنية للخادم</w:t>
      </w:r>
      <w:bookmarkEnd w:id="1"/>
    </w:p>
    <w:p>
      <w:pPr>
        <w:spacing w:after="160"/>
      </w:pPr>
      <w:r>
        <w:t xml:space="preserve">لضمان التنفيذ اليومي، أعدّوا مهمة جدولة زمنية على خادمكم. رمز المصادقة متاح في علامة التبويب المساعدة ← إعداد الجدولة الزمنية.</w:t>
      </w:r>
    </w:p>
    <w:p>
      <w:pPr>
        <w:spacing w:after="180" w:before="120"/>
        <w:ind w:left="360"/>
      </w:pPr>
      <w:r>
        <w:rPr>
          <w:b/>
          <w:bCs/>
          <w:color w:val="B38B59"/>
        </w:rPr>
        <w:t xml:space="preserve">ℹ️  ملاحظة — </w:t>
      </w:r>
      <w:r>
        <w:t xml:space="preserve">على O2switch، أضيفوا المهمة من cPanel ← مهام Cron. التكرار المُوصى به: مرة واحدة يوميًا في الساعة 08:00.</w:t>
      </w:r>
    </w:p>
    <w:p>
      <w:pPr>
        <w:pStyle w:val="Heading2"/>
        <w:spacing w:after="140" w:before="320"/>
      </w:pPr>
      <w:bookmarkStart w:name="sec46" w:id="1"/>
      <w:r>
        <w:t xml:space="preserve">14.2 أعياد ميلاد العملاء</w:t>
      </w:r>
      <w:bookmarkEnd w:id="1"/>
    </w:p>
    <w:p>
      <w:pPr>
        <w:spacing w:after="160"/>
      </w:pPr>
      <w:r>
        <w:t xml:space="preserve">ثلاث رسائل بريد إلكتروني لعيد الميلاد متاحة، لكل منها مفتاح تشغيل خاص:</w:t>
      </w:r>
    </w:p>
    <w:p>
      <w:pPr>
        <w:pStyle w:val="ListParagraph"/>
        <w:numPr>
          <w:ilvl w:val="0"/>
          <w:numId w:val="2"/>
        </w:numPr>
        <w:spacing w:after="80"/>
      </w:pPr>
      <w:r>
        <w:t xml:space="preserve">عيد ميلاد العميل (birthday): يُرسَل يوم عيد ميلاد العميل، مع قسيمة خصم قابلة للتخصيص.</w:t>
      </w:r>
    </w:p>
    <w:p>
      <w:pPr>
        <w:pStyle w:val="ListParagraph"/>
        <w:numPr>
          <w:ilvl w:val="0"/>
          <w:numId w:val="2"/>
        </w:numPr>
        <w:spacing w:after="80"/>
      </w:pPr>
      <w:r>
        <w:t xml:space="preserve">الذكرى السنوية الأولى للطلب (first_anniversary): يُرسَل بعد عام بالضبط من الطلب الأول.</w:t>
      </w:r>
    </w:p>
    <w:p>
      <w:pPr>
        <w:pStyle w:val="ListParagraph"/>
        <w:numPr>
          <w:ilvl w:val="0"/>
          <w:numId w:val="2"/>
        </w:numPr>
        <w:spacing w:after="80"/>
      </w:pPr>
      <w:r>
        <w:t xml:space="preserve">ذكرى العلاقة (relationship_anniversary): يُرسَل كل عام في تاريخ الشراء الأول (سنتان، ثلاث سنوات…).</w:t>
      </w:r>
    </w:p>
    <w:p>
      <w:pPr>
        <w:pStyle w:val="Heading2"/>
        <w:spacing w:after="140" w:before="320"/>
      </w:pPr>
      <w:bookmarkStart w:name="sec47" w:id="1"/>
      <w:r>
        <w:t xml:space="preserve">14.3 السلة المهجورة — 3 موجات</w:t>
      </w:r>
      <w:bookmarkEnd w:id="1"/>
    </w:p>
    <w:p>
      <w:pPr>
        <w:spacing w:after="160"/>
      </w:pPr>
      <w:r>
        <w:t xml:space="preserve">تُرسَل ثلاث رسائل تذكير تلقائيًا بعد هجران السلة، مع إزالة تكرار صارمة (لا يتلقى العميل أبدًا رسالتي تذكير للسلة نفسها):</w:t>
      </w:r>
    </w:p>
    <w:p>
      <w:pPr>
        <w:pStyle w:val="ListParagraph"/>
        <w:numPr>
          <w:ilvl w:val="0"/>
          <w:numId w:val="2"/>
        </w:numPr>
        <w:spacing w:after="80"/>
      </w:pPr>
      <w:r>
        <w:t xml:space="preserve">الموجة 1 — abandoned_cart_1: بعد ساعة واحدة من الهجران (تذكير لطيف).</w:t>
      </w:r>
    </w:p>
    <w:p>
      <w:pPr>
        <w:pStyle w:val="ListParagraph"/>
        <w:numPr>
          <w:ilvl w:val="0"/>
          <w:numId w:val="2"/>
        </w:numPr>
        <w:spacing w:after="80"/>
      </w:pPr>
      <w:r>
        <w:t xml:space="preserve">الموجة 2 — abandoned_cart_2: بعد 24 ساعة من الهجران (تذكير مع حافز اختياري).</w:t>
      </w:r>
    </w:p>
    <w:p>
      <w:pPr>
        <w:pStyle w:val="ListParagraph"/>
        <w:numPr>
          <w:ilvl w:val="0"/>
          <w:numId w:val="2"/>
        </w:numPr>
        <w:spacing w:after="80"/>
      </w:pPr>
      <w:r>
        <w:t xml:space="preserve">الموجة 3 — abandoned_cart_3: بعد 72 ساعة من الهجران (الفرصة الأخيرة).</w:t>
      </w:r>
    </w:p>
    <w:p>
      <w:pPr>
        <w:spacing w:after="180" w:before="120"/>
        <w:ind w:left="360"/>
      </w:pPr>
      <w:r>
        <w:rPr>
          <w:b/>
          <w:bCs/>
          <w:color w:val="B38B59"/>
        </w:rPr>
        <w:t xml:space="preserve">ℹ️  ملاحظة — </w:t>
      </w:r>
      <w:r>
        <w:t xml:space="preserve">إذا أتمّ العميل طلبه بين موجتين، تُلغى الموجات التالية تلقائيًا.</w:t>
      </w:r>
    </w:p>
    <w:p>
      <w:pPr>
        <w:pStyle w:val="Heading2"/>
        <w:spacing w:after="140" w:before="320"/>
      </w:pPr>
      <w:bookmarkStart w:name="sec48" w:id="1"/>
      <w:r>
        <w:t xml:space="preserve">14.4 هجران الدفع</w:t>
      </w:r>
      <w:bookmarkEnd w:id="1"/>
    </w:p>
    <w:p>
      <w:pPr>
        <w:spacing w:after="160"/>
      </w:pPr>
      <w:r>
        <w:t xml:space="preserve">يُفعَّل بريد checkout_abandonment بعد ساعة واحدة من اختيار العميل عنوانًا وشركة نقل، دون الوصول إلى مرحلة الدفع. إشارة أبكر من هجران السلة التقليدي.</w:t>
      </w:r>
    </w:p>
    <w:p>
      <w:pPr>
        <w:pStyle w:val="Heading2"/>
        <w:spacing w:after="140" w:before="320"/>
      </w:pPr>
      <w:bookmarkStart w:name="sec49" w:id="1"/>
      <w:r>
        <w:t xml:space="preserve">14.5 متابعة ما بعد الشراء</w:t>
      </w:r>
      <w:bookmarkEnd w:id="1"/>
    </w:p>
    <w:p>
      <w:pPr>
        <w:pStyle w:val="ListParagraph"/>
        <w:numPr>
          <w:ilvl w:val="0"/>
          <w:numId w:val="2"/>
        </w:numPr>
        <w:spacing w:after="80"/>
      </w:pPr>
      <w:r>
        <w:t xml:space="preserve">العناية بالمنتج (post_purchase_care): يُرسَل بعد 7 أيام من تأكيد التسليم. بريد إلكتروني بنصائح العناية والصيانة.</w:t>
      </w:r>
    </w:p>
    <w:p>
      <w:pPr>
        <w:pStyle w:val="ListParagraph"/>
        <w:numPr>
          <w:ilvl w:val="0"/>
          <w:numId w:val="2"/>
        </w:numPr>
        <w:spacing w:after="80"/>
      </w:pPr>
      <w:r>
        <w:t xml:space="preserve">طلب تقييم (post_purchase_review): يُرسَل بعد 14 يومًا من التسليم. بريد إلكتروني لطلب التقييم، مع رابط مباشر إلى صفحة المنتج.</w:t>
      </w:r>
    </w:p>
    <w:p>
      <w:pPr>
        <w:pStyle w:val="Heading2"/>
        <w:spacing w:after="140" w:before="320"/>
      </w:pPr>
      <w:bookmarkStart w:name="sec50" w:id="1"/>
      <w:r>
        <w:t xml:space="preserve">14.6 تذكير إعادة الشراء</w:t>
      </w:r>
      <w:bookmarkEnd w:id="1"/>
    </w:p>
    <w:p>
      <w:pPr>
        <w:spacing w:after="160"/>
      </w:pPr>
      <w:r>
        <w:t xml:space="preserve">يُرسَل بريد reorder_reminder بعد 30 يومًا من آخر طلب للمنتجات ذات الاستهلاك المتكرر (مستحضرات التجميل، الأغذية، المستهلكات). يمكن تصفيته حسب فئة المنتج.</w:t>
      </w:r>
    </w:p>
    <w:p>
      <w:pPr>
        <w:pStyle w:val="Heading2"/>
        <w:spacing w:after="140" w:before="320"/>
      </w:pPr>
      <w:bookmarkStart w:name="sec51" w:id="1"/>
      <w:r>
        <w:t xml:space="preserve">14.7 استعادة العملاء (Win-back)</w:t>
      </w:r>
      <w:bookmarkEnd w:id="1"/>
    </w:p>
    <w:p>
      <w:pPr>
        <w:spacing w:after="160"/>
      </w:pPr>
      <w:r>
        <w:t xml:space="preserve">يُرسَل بريد win_back بعد 90 يومًا من آخر طلب للعملاء غير النشطين. يتضمّن اختياريًا قسيمة خصم لاستعادة العميل.</w:t>
      </w:r>
    </w:p>
    <w:p>
      <w:pPr>
        <w:pStyle w:val="Heading2"/>
        <w:spacing w:after="140" w:before="320"/>
      </w:pPr>
      <w:bookmarkStart w:name="sec52" w:id="1"/>
      <w:r>
        <w:t xml:space="preserve">14.8 تأخر التسليم</w:t>
      </w:r>
      <w:bookmarkEnd w:id="1"/>
    </w:p>
    <w:p>
      <w:pPr>
        <w:spacing w:after="160"/>
      </w:pPr>
      <w:r>
        <w:t xml:space="preserve">يُرسَل بريد order_shipped_delay إذا لم يتلقَّ طلب مُوسَم بأنه «تم شحنه» أي إشعار تسليم خلال 7 أيام من الشحن. بريد استباقي يُبلِّغ العميل ويقترح التواصل مع شركة النقل.</w:t>
      </w:r>
    </w:p>
    <w:p>
      <w:pPr>
        <w:pStyle w:val="Heading2"/>
        <w:spacing w:after="140" w:before="320"/>
      </w:pPr>
      <w:bookmarkStart w:name="sec53" w:id="1"/>
      <w:r>
        <w:t xml:space="preserve">14.9 السلة الشبحية</w:t>
      </w:r>
      <w:bookmarkEnd w:id="1"/>
    </w:p>
    <w:p>
      <w:pPr>
        <w:spacing w:after="160"/>
      </w:pPr>
      <w:r>
        <w:t xml:space="preserve">يستهدف بريد ghost_cart السلال المُنشأة منذ أكثر من N يومًا (قابل للتعديل) دون أن تُفضي إلى طلب أو تخضع لتذكير سلة مهجورة. تذكير صامت للعملاء الذين أنشؤوا سلة دون أن تكون نشطة في وقت الجدولة الزمنية القياسية.</w:t>
      </w:r>
    </w:p>
    <w:p>
      <w:r>
        <w:br w:type="page"/>
      </w:r>
    </w:p>
    <w:p>
      <w:pPr>
        <w:pStyle w:val="Heading1"/>
        <w:pageBreakBefore/>
        <w:spacing w:after="200" w:before="500"/>
      </w:pPr>
      <w:bookmarkStart w:name="sec54" w:id="1"/>
      <w:r>
        <w:t xml:space="preserve">15. مُفعِّلات الطلب</w:t>
      </w:r>
      <w:bookmarkEnd w:id="1"/>
    </w:p>
    <w:p>
      <w:pPr>
        <w:spacing w:after="160"/>
      </w:pPr>
      <w:r>
        <w:t xml:space="preserve">مُفعِّلات الطلب هي رسائل بريد إلكتروني تُرسَل تلقائيًا في الخلفية، دون أي إعداد ضروري في لوحة التحكم. تُفعَّل عبر خطافات PrestaShop فور وقوع الحدث المُقابل في المتجر.</w:t>
      </w:r>
    </w:p>
    <w:p>
      <w:pPr>
        <w:pStyle w:val="Heading2"/>
        <w:spacing w:after="140" w:before="320"/>
      </w:pPr>
      <w:bookmarkStart w:name="sec55" w:id="1"/>
      <w:r>
        <w:t xml:space="preserve">15.1 مراحل الطلب (milestone_order)</w:t>
      </w:r>
      <w:bookmarkEnd w:id="1"/>
    </w:p>
    <w:p>
      <w:pPr>
        <w:spacing w:after="160"/>
      </w:pPr>
      <w:r>
        <w:t xml:space="preserve">بريد تهنئة يُرسَل إلى العميل عند بلوغه مرحلة رمزية: الطلب الخامس أو العاشر أو الخامس والعشرون أو الخمسون أو المئة. تُبرِز الرسالة ولاء العميل ويمكن أن تتضمّن قسيمة خصم.</w:t>
      </w:r>
    </w:p>
    <w:p>
      <w:pPr>
        <w:pStyle w:val="Heading2"/>
        <w:spacing w:after="140" w:before="320"/>
      </w:pPr>
      <w:bookmarkStart w:name="sec56" w:id="1"/>
      <w:r>
        <w:t xml:space="preserve">15.2 تعليق الطلب</w:t>
      </w:r>
      <w:bookmarkEnd w:id="1"/>
    </w:p>
    <w:p>
      <w:pPr>
        <w:spacing w:after="160"/>
      </w:pPr>
      <w:r>
        <w:t xml:space="preserve">بريد إعلامي يُرسَل تلقائيًا عندما ينتقل طلب إلى حالة مُعرَّفة بأنها «معطِّلة» (مثال: في انتظار دفعة إضافية، مشكلة جمركية).</w:t>
      </w:r>
    </w:p>
    <w:p>
      <w:pPr>
        <w:pStyle w:val="Heading2"/>
        <w:spacing w:after="140" w:before="320"/>
      </w:pPr>
      <w:bookmarkStart w:name="sec57" w:id="1"/>
      <w:r>
        <w:t xml:space="preserve">15.3 الشحن الجزئي</w:t>
      </w:r>
      <w:bookmarkEnd w:id="1"/>
    </w:p>
    <w:p>
      <w:pPr>
        <w:spacing w:after="160"/>
      </w:pPr>
      <w:r>
        <w:t xml:space="preserve">إذا شُحن طلب على عدة دفعات، يُبلِّغ بريد order_partial_shipped العميل بما تم شحنه وما لا يزال قيد التحضير.</w:t>
      </w:r>
    </w:p>
    <w:p>
      <w:pPr>
        <w:pStyle w:val="Heading2"/>
        <w:spacing w:after="140" w:before="320"/>
      </w:pPr>
      <w:bookmarkStart w:name="sec58" w:id="1"/>
      <w:r>
        <w:t xml:space="preserve">15.4 معالجة استرجاع المبلغ</w:t>
      </w:r>
      <w:bookmarkEnd w:id="1"/>
    </w:p>
    <w:p>
      <w:pPr>
        <w:spacing w:after="160"/>
      </w:pPr>
      <w:r>
        <w:t xml:space="preserve">يُرسَل بريد refund_processed تلقائيًا عند إصدار إشعار دائن. تُرسَل ثلاث رسائل متابعة للمصالحة بعد استرجاع المبلغ (refund_reconciliation_1/2/3) في اليوم +1 والـ+3 والـ+7 لكسب ولاء العميل رغم الحادثة.</w:t>
      </w:r>
    </w:p>
    <w:p>
      <w:pPr>
        <w:pStyle w:val="Heading2"/>
        <w:spacing w:after="140" w:before="320"/>
      </w:pPr>
      <w:bookmarkStart w:name="sec59" w:id="1"/>
      <w:r>
        <w:t xml:space="preserve">15.5 استلام الإرجاع</w:t>
      </w:r>
      <w:bookmarkEnd w:id="1"/>
    </w:p>
    <w:p>
      <w:pPr>
        <w:spacing w:after="160"/>
      </w:pPr>
      <w:r>
        <w:t xml:space="preserve">يُرسَل بريد return_received تلقائيًا عند الاستلام الفعلي لإرجاع البضاعة، مؤكدًا تسجيل الإرجاع بشكل صحيح. لا يلزم أي إجراء من التاجر: يُفعِّل خطاف PrestaShop الإرسال فور إنشاء الإرجاع في قاعدة البيانات.</w:t>
      </w:r>
    </w:p>
    <w:p>
      <w:pPr>
        <w:spacing w:after="180" w:before="120"/>
        <w:ind w:left="360"/>
      </w:pPr>
      <w:r>
        <w:rPr>
          <w:b/>
          <w:bCs/>
          <w:color w:val="B38B59"/>
        </w:rPr>
        <w:t xml:space="preserve">ℹ️  ملاحظة — </w:t>
      </w:r>
      <w:r>
        <w:t xml:space="preserve">ليس لهذه المُفعِّلات واجهة إعداد مخصَّصة. للتحقق من حدوث الإرسال، راجعوا سجل البريد الإلكتروني للعميل المعني في علامة التبويب سجل العملاء.</w:t>
      </w:r>
    </w:p>
    <w:p>
      <w:r>
        <w:br w:type="page"/>
      </w:r>
    </w:p>
    <w:p>
      <w:pPr>
        <w:pStyle w:val="Heading1"/>
        <w:pageBreakBefore/>
        <w:spacing w:after="200" w:before="500"/>
      </w:pPr>
      <w:bookmarkStart w:name="sec60" w:id="1"/>
      <w:r>
        <w:t xml:space="preserve">16. علامة التبويب التقويم — المناسبات التقويمية</w:t>
      </w:r>
      <w:bookmarkEnd w:id="1"/>
    </w:p>
    <w:p>
      <w:pPr>
        <w:spacing w:after="160"/>
      </w:pPr>
      <w:r>
        <w:t xml:space="preserve">تُرسل Neria تلقائيًا رسائل بريد إلكتروني لـ25 مناسبة تقويمية متكررة، باللغة المُفضَّلة لكل عميل، مع حل ذكي للتواريخ على 4 مستويات (تجاوز التاجر، خوارزمية هجرية/قمرية، تواريخ محسوبة مسبقًا 2025-2035، تواريخ ثابتة).</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المناسبات المتاحة: عيد الميلاد المجيد، رأس السنة، عيد الحب، عيد الأم، عيد الأب، عيد الأجداد، الهالوين، الجمعة السوداء، عيد الفطر، عيد الأضحى، بداية رمضان، ديوالي، رأس السنة الصينية/القمرية، عيد الأنوار اليهودي، عيد الفصح، عيد العمال، اليوم العالمي لحقوق المرأة، والمزيد.</w:t>
      </w:r>
    </w:p>
    <w:p>
      <w:pPr>
        <w:pStyle w:val="Heading2"/>
        <w:spacing w:after="140" w:before="320"/>
      </w:pPr>
      <w:bookmarkStart w:name="sec61" w:id="1"/>
      <w:r>
        <w:t xml:space="preserve">16.1 تفعيل / تعطيل مناسبة</w:t>
      </w:r>
      <w:bookmarkEnd w:id="1"/>
    </w:p>
    <w:p>
      <w:pPr>
        <w:spacing w:after="120"/>
        <w:ind w:left="200"/>
      </w:pPr>
      <w:r>
        <w:rPr>
          <w:b/>
          <w:bCs/>
          <w:color w:val="B38B59"/>
        </w:rPr>
        <w:t xml:space="preserve">1. </w:t>
      </w:r>
      <w:r>
        <w:t xml:space="preserve">ابحثوا عن المناسبة في القائمة.</w:t>
      </w:r>
    </w:p>
    <w:p>
      <w:pPr>
        <w:spacing w:after="120"/>
        <w:ind w:left="200"/>
      </w:pPr>
      <w:r>
        <w:rPr>
          <w:b/>
          <w:bCs/>
          <w:color w:val="B38B59"/>
        </w:rPr>
        <w:t xml:space="preserve">2. </w:t>
      </w:r>
      <w:r>
        <w:t xml:space="preserve">انقروا على مفتاح التفعيل/التعطيل. سيتم (أو لن يتم) إرسال المناسبة عند الجدولة الزمنية القادمة.</w:t>
      </w:r>
    </w:p>
    <w:p>
      <w:pPr>
        <w:pStyle w:val="Heading2"/>
        <w:spacing w:after="140" w:before="320"/>
      </w:pPr>
      <w:bookmarkStart w:name="sec62" w:id="1"/>
      <w:r>
        <w:t xml:space="preserve">16.2 تخصيص التاريخ</w:t>
      </w:r>
      <w:bookmarkEnd w:id="1"/>
    </w:p>
    <w:p>
      <w:pPr>
        <w:spacing w:after="120"/>
        <w:ind w:left="200"/>
      </w:pPr>
      <w:r>
        <w:rPr>
          <w:b/>
          <w:bCs/>
          <w:color w:val="B38B59"/>
        </w:rPr>
        <w:t xml:space="preserve">1. </w:t>
      </w:r>
      <w:r>
        <w:t xml:space="preserve">انقروا على أيقونة تعديل المناسبة.</w:t>
      </w:r>
    </w:p>
    <w:p>
      <w:pPr>
        <w:spacing w:after="120"/>
        <w:ind w:left="200"/>
      </w:pPr>
      <w:r>
        <w:rPr>
          <w:b/>
          <w:bCs/>
          <w:color w:val="B38B59"/>
        </w:rPr>
        <w:t xml:space="preserve">2. </w:t>
      </w:r>
      <w:r>
        <w:t xml:space="preserve">فعّلوا تجاوز التاريخ وأدخلوا التاريخ المطلوب (بصيغة يوم/شهر).</w:t>
      </w:r>
    </w:p>
    <w:p>
      <w:pPr>
        <w:spacing w:after="120"/>
        <w:ind w:left="200"/>
      </w:pPr>
      <w:r>
        <w:rPr>
          <w:b/>
          <w:bCs/>
          <w:color w:val="B38B59"/>
        </w:rPr>
        <w:t xml:space="preserve">3. </w:t>
      </w:r>
      <w:r>
        <w:t xml:space="preserve">انقروا على حفظ. للتاريخ المُخصَّص أولوية على الحساب التلقائي.</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علامة التبويب الحملات الموسمية</w:t>
      </w:r>
      <w:bookmarkEnd w:id="1"/>
    </w:p>
    <w:p>
      <w:pPr>
        <w:spacing w:after="160"/>
      </w:pPr>
      <w:r>
        <w:t xml:space="preserve">تتيح الحملات الموسمية للتاجر إنشاء عمليات إرسال متكررة مُخصَّصة — تتناسب مع نشاطه — تُفعَّل تلقائيًا كل عام في التاريخ نفسه.</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إنشاء حملة</w:t>
      </w:r>
      <w:bookmarkEnd w:id="1"/>
    </w:p>
    <w:p>
      <w:pPr>
        <w:spacing w:after="120"/>
        <w:ind w:left="200"/>
      </w:pPr>
      <w:r>
        <w:rPr>
          <w:b/>
          <w:bCs/>
          <w:color w:val="B38B59"/>
        </w:rPr>
        <w:t xml:space="preserve">1. </w:t>
      </w:r>
      <w:r>
        <w:t xml:space="preserve">انقروا على حملة جديدة.</w:t>
      </w:r>
    </w:p>
    <w:p>
      <w:pPr>
        <w:spacing w:after="120"/>
        <w:ind w:left="200"/>
      </w:pPr>
      <w:r>
        <w:rPr>
          <w:b/>
          <w:bCs/>
          <w:color w:val="B38B59"/>
        </w:rPr>
        <w:t xml:space="preserve">2. </w:t>
      </w:r>
      <w:r>
        <w:t xml:space="preserve">أدخلوا اسم الحملة (للاستخدام الداخلي فقط).</w:t>
      </w:r>
    </w:p>
    <w:p>
      <w:pPr>
        <w:spacing w:after="120"/>
        <w:ind w:left="200"/>
      </w:pPr>
      <w:r>
        <w:rPr>
          <w:b/>
          <w:bCs/>
          <w:color w:val="B38B59"/>
        </w:rPr>
        <w:t xml:space="preserve">3. </w:t>
      </w:r>
      <w:r>
        <w:t xml:space="preserve">اختاروا قالب البريد الإلكتروني المُراد إرساله.</w:t>
      </w:r>
    </w:p>
    <w:p>
      <w:pPr>
        <w:spacing w:after="120"/>
        <w:ind w:left="200"/>
      </w:pPr>
      <w:r>
        <w:rPr>
          <w:b/>
          <w:bCs/>
          <w:color w:val="B38B59"/>
        </w:rPr>
        <w:t xml:space="preserve">4. </w:t>
      </w:r>
      <w:r>
        <w:t xml:space="preserve">حدّدوا تاريخ التفعيل السنوي (بصيغة يوم/شهر).</w:t>
      </w:r>
    </w:p>
    <w:p>
      <w:pPr>
        <w:spacing w:after="120"/>
        <w:ind w:left="200"/>
      </w:pPr>
      <w:r>
        <w:rPr>
          <w:b/>
          <w:bCs/>
          <w:color w:val="B38B59"/>
        </w:rPr>
        <w:t xml:space="preserve">5. </w:t>
      </w:r>
      <w:r>
        <w:t xml:space="preserve">أعدّوا الاستهداف: شريحة العميل، اللغة، البلد، الجنس، الفئة العمرية (جميع الحقول اختيارية).</w:t>
      </w:r>
    </w:p>
    <w:p>
      <w:pPr>
        <w:spacing w:after="120"/>
        <w:ind w:left="200"/>
      </w:pPr>
      <w:r>
        <w:rPr>
          <w:b/>
          <w:bCs/>
          <w:color w:val="B38B59"/>
        </w:rPr>
        <w:t xml:space="preserve">6. </w:t>
      </w:r>
      <w:r>
        <w:t xml:space="preserve">فعّلوا الحملة وانقروا على حفظ.</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ملاحظة — </w:t>
      </w:r>
      <w:r>
        <w:t xml:space="preserve">لا يمكن إرسال حملة موسمية سوى مرة واحدة في السنة للعميل نفسه، حتى لو نُفِّذت الجدولة الزمنية عدة مرات في اليوم نفسه.</w:t>
      </w:r>
    </w:p>
    <w:p>
      <w:r>
        <w:br w:type="page"/>
      </w:r>
    </w:p>
    <w:p>
      <w:pPr>
        <w:pStyle w:val="Heading1"/>
        <w:pageBreakBefore/>
        <w:spacing w:after="200" w:before="500"/>
      </w:pPr>
      <w:bookmarkStart w:name="sec65" w:id="1"/>
      <w:r>
        <w:t xml:space="preserve">18. برنامج الولاء</w:t>
      </w:r>
      <w:bookmarkEnd w:id="1"/>
    </w:p>
    <w:p>
      <w:pPr>
        <w:spacing w:after="160"/>
      </w:pPr>
      <w:r>
        <w:t xml:space="preserve">تُدمج Neria نظامًا كاملاً للولاء عبر البريد الإلكتروني: نقاط تتراكم مع كل تفاعل، مراحل مُكافَأة، ملخص شهري تلقائي.</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توزيع النقاط</w:t>
      </w:r>
      <w:bookmarkEnd w:id="1"/>
    </w:p>
    <w:p>
      <w:pPr>
        <w:pStyle w:val="ListParagraph"/>
        <w:numPr>
          <w:ilvl w:val="0"/>
          <w:numId w:val="2"/>
        </w:numPr>
        <w:spacing w:after="80"/>
      </w:pPr>
      <w:r>
        <w:t xml:space="preserve">فتح البريد الإلكتروني: +1 نقطة</w:t>
      </w:r>
    </w:p>
    <w:p>
      <w:pPr>
        <w:pStyle w:val="ListParagraph"/>
        <w:numPr>
          <w:ilvl w:val="0"/>
          <w:numId w:val="2"/>
        </w:numPr>
        <w:spacing w:after="80"/>
      </w:pPr>
      <w:r>
        <w:t xml:space="preserve">النقر في بريد إلكتروني: +3 نقاط</w:t>
      </w:r>
    </w:p>
    <w:p>
      <w:pPr>
        <w:pStyle w:val="ListParagraph"/>
        <w:numPr>
          <w:ilvl w:val="0"/>
          <w:numId w:val="2"/>
        </w:numPr>
        <w:spacing w:after="80"/>
      </w:pPr>
      <w:r>
        <w:t xml:space="preserve">الشراء المُؤكَّد: +10 نقاط (قابل للتعديل)</w:t>
      </w:r>
    </w:p>
    <w:p>
      <w:pPr>
        <w:spacing w:after="160"/>
      </w:pPr>
      <w:r>
        <w:t xml:space="preserve">المؤشرات الفورية (العملاء النشطون، النقاط الموزَّعة، القسائم المُرسَلة، الفتحات، النقرات، المشتريات المُتَتبَّعة) مرئية أعلى القسم.</w:t>
      </w:r>
    </w:p>
    <w:p>
      <w:pPr>
        <w:pStyle w:val="Heading2"/>
        <w:spacing w:after="140" w:before="320"/>
      </w:pPr>
      <w:bookmarkStart w:name="sec67" w:id="1"/>
      <w:r>
        <w:t xml:space="preserve">18.2 مراحل الولاء</w:t>
      </w:r>
      <w:bookmarkEnd w:id="1"/>
    </w:p>
    <w:p>
      <w:pPr>
        <w:spacing w:after="160"/>
      </w:pPr>
      <w:r>
        <w:t xml:space="preserve">ثلاث مراحل قابلة للتعديل (عتبة النقاط، المكافأة بمبلغ ثابت أو بنسبة مئوية):</w:t>
      </w:r>
    </w:p>
    <w:p>
      <w:pPr>
        <w:pStyle w:val="ListParagraph"/>
        <w:numPr>
          <w:ilvl w:val="0"/>
          <w:numId w:val="2"/>
        </w:numPr>
        <w:spacing w:after="80"/>
      </w:pPr>
      <w:r>
        <w:t xml:space="preserve">برونزية: 50 نقطة — قسيمة بقيمة 5 يورو (افتراضيًا)</w:t>
      </w:r>
    </w:p>
    <w:p>
      <w:pPr>
        <w:pStyle w:val="ListParagraph"/>
        <w:numPr>
          <w:ilvl w:val="0"/>
          <w:numId w:val="2"/>
        </w:numPr>
        <w:spacing w:after="80"/>
      </w:pPr>
      <w:r>
        <w:t xml:space="preserve">فضية: 150 نقطة — قسيمة بقيمة 10 يورو (افتراضيًا)</w:t>
      </w:r>
    </w:p>
    <w:p>
      <w:pPr>
        <w:pStyle w:val="ListParagraph"/>
        <w:numPr>
          <w:ilvl w:val="0"/>
          <w:numId w:val="2"/>
        </w:numPr>
        <w:spacing w:after="80"/>
      </w:pPr>
      <w:r>
        <w:t xml:space="preserve">ذهبية: 300 نقطة — قسيمة بقيمة 20 يورو (افتراضيًا)</w:t>
      </w:r>
    </w:p>
    <w:p>
      <w:pPr>
        <w:spacing w:after="120"/>
        <w:ind w:left="200"/>
      </w:pPr>
      <w:r>
        <w:rPr>
          <w:b/>
          <w:bCs/>
          <w:color w:val="B38B59"/>
        </w:rPr>
        <w:t xml:space="preserve">1. </w:t>
      </w:r>
      <w:r>
        <w:t xml:space="preserve">عدّلوا عتبة ومبلغ مكافأة كل مرحلة.</w:t>
      </w:r>
    </w:p>
    <w:p>
      <w:pPr>
        <w:spacing w:after="120"/>
        <w:ind w:left="200"/>
      </w:pPr>
      <w:r>
        <w:rPr>
          <w:b/>
          <w:bCs/>
          <w:color w:val="B38B59"/>
        </w:rPr>
        <w:t xml:space="preserve">2. </w:t>
      </w:r>
      <w:r>
        <w:t xml:space="preserve">فعّلوا «خصم بالنسبة المئوية» إذا كنتم تفضّلون نسبة مئوية بدلاً من مبلغ ثابت.</w:t>
      </w:r>
    </w:p>
    <w:p>
      <w:pPr>
        <w:spacing w:after="120"/>
        <w:ind w:left="200"/>
      </w:pPr>
      <w:r>
        <w:rPr>
          <w:b/>
          <w:bCs/>
          <w:color w:val="B38B59"/>
        </w:rPr>
        <w:t xml:space="preserve">3. </w:t>
      </w:r>
      <w:r>
        <w:t xml:space="preserve">انقروا على حفظ المراحل.</w:t>
      </w:r>
    </w:p>
    <w:p>
      <w:pPr>
        <w:pStyle w:val="Heading2"/>
        <w:spacing w:after="140" w:before="320"/>
      </w:pPr>
      <w:bookmarkStart w:name="sec68" w:id="1"/>
      <w:r>
        <w:t xml:space="preserve">18.3 رسائل الولاء</w:t>
      </w:r>
      <w:bookmarkEnd w:id="1"/>
    </w:p>
    <w:p>
      <w:pPr>
        <w:pStyle w:val="ListParagraph"/>
        <w:numPr>
          <w:ilvl w:val="0"/>
          <w:numId w:val="2"/>
        </w:numPr>
        <w:spacing w:after="80"/>
      </w:pPr>
      <w:r>
        <w:t xml:space="preserve">loyalty_tier_upgrade: بريد تلقائي فور تجاوز العميل مرحلة، مع قسيمة مكافأته.</w:t>
      </w:r>
    </w:p>
    <w:p>
      <w:pPr>
        <w:pStyle w:val="ListParagraph"/>
        <w:numPr>
          <w:ilvl w:val="0"/>
          <w:numId w:val="2"/>
        </w:numPr>
        <w:spacing w:after="80"/>
      </w:pPr>
      <w:r>
        <w:t xml:space="preserve">loyalty_recap: ملخص شهري لنقاط العميل.</w:t>
      </w:r>
    </w:p>
    <w:p>
      <w:pPr>
        <w:pStyle w:val="ListParagraph"/>
        <w:numPr>
          <w:ilvl w:val="0"/>
          <w:numId w:val="2"/>
        </w:numPr>
        <w:spacing w:after="80"/>
      </w:pPr>
      <w:r>
        <w:t xml:space="preserve">loyalty_reward_expiry: تنبيه يُرسَل قبل 7 أيام من انتهاء صلاحية قسيمة مكافأة.</w:t>
      </w:r>
    </w:p>
    <w:p>
      <w:pPr>
        <w:pStyle w:val="Heading2"/>
        <w:spacing w:after="140" w:before="320"/>
      </w:pPr>
      <w:bookmarkStart w:name="sec69" w:id="1"/>
      <w:r>
        <w:t xml:space="preserve">18.4 التراكم متعدد المتاجر</w:t>
      </w:r>
      <w:bookmarkEnd w:id="1"/>
    </w:p>
    <w:p>
      <w:pPr>
        <w:spacing w:after="160"/>
      </w:pPr>
      <w:r>
        <w:t xml:space="preserve">على تثبيت متعدد المتاجر، يتيح مفتاح «التراكم بين المتاجر» اختيار ما إذا كانت النقاط تتراكم عبر جميع المتاجر مجتمعة أو تبقى معزولة حسب كل متجر. افتراضيًا: تراكم عبر جميع المتاجر.</w:t>
      </w:r>
    </w:p>
    <w:p>
      <w:r>
        <w:br w:type="page"/>
      </w:r>
    </w:p>
    <w:p>
      <w:pPr>
        <w:pStyle w:val="Heading1"/>
        <w:pageBreakBefore/>
        <w:spacing w:after="200" w:before="500"/>
      </w:pPr>
      <w:bookmarkStart w:name="sec70" w:id="1"/>
      <w:r>
        <w:t xml:space="preserve">19. علامة التبويب الشرائح — التقسيم السلوكي</w:t>
      </w:r>
      <w:bookmarkEnd w:id="1"/>
    </w:p>
    <w:p>
      <w:pPr>
        <w:spacing w:after="160"/>
      </w:pPr>
      <w:r>
        <w:t xml:space="preserve">تُصنِّف Neria تلقائيًا كل عميل ضمن إحدى الشرائح السلوكية الخمس، والتي يُعاد حسابها يوميًا انطلاقًا من سجل رسائل البريد الإلكتروني والمشتريات.</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الشرائح الخمس</w:t>
      </w:r>
      <w:bookmarkEnd w:id="1"/>
    </w:p>
    <w:p>
      <w:pPr>
        <w:pStyle w:val="ListParagraph"/>
        <w:numPr>
          <w:ilvl w:val="0"/>
          <w:numId w:val="2"/>
        </w:numPr>
        <w:spacing w:after="80"/>
      </w:pPr>
      <w:r>
        <w:t xml:space="preserve">سفير العلامة: يفتح رسائل البريد الإلكتروني بانتظام، وحوّل مرتين على الأقل. العملاء الأكثر تفاعلاً.</w:t>
      </w:r>
    </w:p>
    <w:p>
      <w:pPr>
        <w:pStyle w:val="ListParagraph"/>
        <w:numPr>
          <w:ilvl w:val="0"/>
          <w:numId w:val="2"/>
        </w:numPr>
        <w:spacing w:after="80"/>
      </w:pPr>
      <w:r>
        <w:t xml:space="preserve">الوفي: يفتح بانتظام، تحويل واحد على الأقل. عملاء أوفياء.</w:t>
      </w:r>
    </w:p>
    <w:p>
      <w:pPr>
        <w:pStyle w:val="ListParagraph"/>
        <w:numPr>
          <w:ilvl w:val="0"/>
          <w:numId w:val="2"/>
        </w:numPr>
        <w:spacing w:after="80"/>
      </w:pPr>
      <w:r>
        <w:t xml:space="preserve">الدافئ: يفتح أحيانًا، آخر بريد إلكتروني مفتوح منذ أقل من 90 يومًا.</w:t>
      </w:r>
    </w:p>
    <w:p>
      <w:pPr>
        <w:pStyle w:val="ListParagraph"/>
        <w:numPr>
          <w:ilvl w:val="0"/>
          <w:numId w:val="2"/>
        </w:numPr>
        <w:spacing w:after="80"/>
      </w:pPr>
      <w:r>
        <w:t xml:space="preserve">الخامل: آخر بريد إلكتروني مفتوح منذ أكثر من 90 يومًا. خطر فقدان التفاعل.</w:t>
      </w:r>
    </w:p>
    <w:p>
      <w:pPr>
        <w:pStyle w:val="ListParagraph"/>
        <w:numPr>
          <w:ilvl w:val="0"/>
          <w:numId w:val="2"/>
        </w:numPr>
        <w:spacing w:after="80"/>
      </w:pPr>
      <w:r>
        <w:t xml:space="preserve">الشبح: لم يفتح أي بريد إلكتروني من Neria قط. قد يشير إلى مشكلة في قابلية التسليم أو عدم اهتمام فعلي.</w:t>
      </w:r>
    </w:p>
    <w:p>
      <w:pPr>
        <w:pStyle w:val="Heading2"/>
        <w:spacing w:after="140" w:before="320"/>
      </w:pPr>
      <w:bookmarkStart w:name="sec72" w:id="1"/>
      <w:r>
        <w:t xml:space="preserve">19.2 استخدام الشرائح في الحملات</w:t>
      </w:r>
      <w:bookmarkEnd w:id="1"/>
    </w:p>
    <w:p>
      <w:pPr>
        <w:spacing w:after="160"/>
      </w:pPr>
      <w:r>
        <w:t xml:space="preserve">في الحملات الموسمية وفلاتر الإرسال اليدوي، يتيح حقل الشريحة استهداف عملاء شريحة واحدة أو أكثر فقط (مثال: إرسال عرض استعادة فقط للخاملين والأشباح).</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الساعة الذهبية — أفضل وقت للإرسال</w:t>
      </w:r>
      <w:bookmarkEnd w:id="1"/>
    </w:p>
    <w:p>
      <w:pPr>
        <w:spacing w:after="160"/>
      </w:pPr>
      <w:r>
        <w:t xml:space="preserve">تُحلِّل ميزة الساعة الذهبية فتحات البريد الإلكتروني حسب يوم الأسبوع والساعة، ولكل لغة، لتحديد الفترة الزمنية التي يكون فيها عملاؤكم أكثر عرضة لفتح بريد إلكتروني.</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تُشير الخلايا الأكثر قتامة إلى الفترات ذات أكبر عدد من الفتحات. يتيح المفتاح أقل ← أكثر فتحات أسفل الخريطة الحرارية معايرة القراءة. يُوضِّح مؤشر الثقة المبني على حجم البيانات المُجمَّعة مدى موثوقية التوصية.</w:t>
      </w:r>
    </w:p>
    <w:p>
      <w:pPr>
        <w:spacing w:after="180" w:before="120"/>
        <w:ind w:left="360"/>
      </w:pPr>
      <w:r>
        <w:rPr>
          <w:b/>
          <w:bCs/>
          <w:color w:val="B38B59"/>
        </w:rPr>
        <w:t xml:space="preserve">ℹ️  ملاحظة — </w:t>
      </w:r>
      <w:r>
        <w:t xml:space="preserve">الساعة الذهبية إعلامية فقط: لا تُعدِّل تلقائيًا وقت إرسال الجدولات الزمنية السلوكية. استخدموا هذه البيانات لإعداد وقت جدولة خادمكم يدويًا.</w:t>
      </w:r>
    </w:p>
    <w:p>
      <w:r>
        <w:br w:type="page"/>
      </w:r>
    </w:p>
    <w:p>
      <w:pPr>
        <w:pStyle w:val="Heading1"/>
        <w:pageBreakBefore/>
        <w:spacing w:after="200" w:before="500"/>
      </w:pPr>
      <w:bookmarkStart w:name="sec74" w:id="1"/>
      <w:r>
        <w:t xml:space="preserve">21. نافذة الشراء الفردية</w:t>
      </w:r>
      <w:bookmarkEnd w:id="1"/>
    </w:p>
    <w:p>
      <w:pPr>
        <w:spacing w:after="160"/>
      </w:pPr>
      <w:r>
        <w:t xml:space="preserve">تكتشف نافذة الشراء الفردية الوقت المُفضَّل للشراء لكل عميل انطلاقًا من سجل طلباته. تُوضَع رسائل البريد الإلكتروني السلوكية في قائمة انتظار وتُسلَّم في هذا الوقت الأمثل — ليس وقتًا عامًا، بل وقتًا خاصًا بكل عميل.</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تعرض لوحة القيادة فوريًا: رسائل البريد الإلكتروني في الانتظار، المُرسَلة خلال 30 يومًا، متوسط التأخير، نسبة العملاء ذوي النافذة المُكتشَفة، وساعة الذروة العامة.</w:t>
      </w:r>
    </w:p>
    <w:p>
      <w:pPr>
        <w:pStyle w:val="Heading2"/>
        <w:spacing w:after="140" w:before="320"/>
      </w:pPr>
      <w:bookmarkStart w:name="sec75" w:id="1"/>
      <w:r>
        <w:t xml:space="preserve">21.1 تفعيل قائمة الانتظار</w:t>
      </w:r>
      <w:bookmarkEnd w:id="1"/>
    </w:p>
    <w:p>
      <w:pPr>
        <w:spacing w:after="120"/>
        <w:ind w:left="200"/>
      </w:pPr>
      <w:r>
        <w:rPr>
          <w:b/>
          <w:bCs/>
          <w:color w:val="B38B59"/>
        </w:rPr>
        <w:t xml:space="preserve">1. </w:t>
      </w:r>
      <w:r>
        <w:t xml:space="preserve">في الرئيسية ← الإعدادات العامة، فعّلوا مفتاح الإرسال في الوقت المُفضَّل للعميل.</w:t>
      </w:r>
    </w:p>
    <w:p>
      <w:pPr>
        <w:spacing w:after="120"/>
        <w:ind w:left="200"/>
      </w:pPr>
      <w:r>
        <w:rPr>
          <w:b/>
          <w:bCs/>
          <w:color w:val="B38B59"/>
        </w:rPr>
        <w:t xml:space="preserve">2. </w:t>
      </w:r>
      <w:r>
        <w:t xml:space="preserve">تُوضَع رسائل البريد الإلكتروني السلوكية الآن في قائمة انتظار وتُرسَل في وقت الشراء التاريخي لكل مستلم.</w:t>
      </w:r>
    </w:p>
    <w:p>
      <w:pPr>
        <w:spacing w:after="180" w:before="120"/>
        <w:ind w:left="360"/>
      </w:pPr>
      <w:r>
        <w:rPr>
          <w:b/>
          <w:bCs/>
          <w:color w:val="B38B59"/>
        </w:rPr>
        <w:t xml:space="preserve">ℹ️  ملاحظة — </w:t>
      </w:r>
      <w:r>
        <w:t xml:space="preserve">ابتداءً من عمليتي شراء مُؤكَّدتين في الوقت نفسه، يُعتبَر النمط موثوقًا. يتلقى العملاء دون نافذة مُكتشَفة رسائلهم البريدية فورًا، دون تأخير.</w:t>
      </w:r>
    </w:p>
    <w:p>
      <w:r>
        <w:br w:type="page"/>
      </w:r>
    </w:p>
    <w:p>
      <w:pPr>
        <w:pStyle w:val="Heading1"/>
        <w:pageBreakBefore/>
        <w:spacing w:after="200" w:before="500"/>
      </w:pPr>
      <w:bookmarkStart w:name="sec76" w:id="1"/>
      <w:r>
        <w:t xml:space="preserve">22. البيع الإضافي واستكمال المجموعة</w:t>
      </w:r>
      <w:bookmarkEnd w:id="1"/>
    </w:p>
    <w:p>
      <w:pPr>
        <w:pStyle w:val="Heading2"/>
        <w:spacing w:after="140" w:before="320"/>
      </w:pPr>
      <w:bookmarkStart w:name="sec77" w:id="1"/>
      <w:r>
        <w:t xml:space="preserve">22.1 البيع الإضافي الذكي</w:t>
      </w:r>
      <w:bookmarkEnd w:id="1"/>
    </w:p>
    <w:p>
      <w:pPr>
        <w:spacing w:after="160"/>
      </w:pPr>
      <w:r>
        <w:t xml:space="preserve">يختار محرك البيع الإضافي تلقائيًا منتجًا لاقتراحه في رسائل ما بعد الشراء (بعد 14 يومًا من التسليم) وفق 3 مستويات أولوية:</w:t>
      </w:r>
    </w:p>
    <w:p>
      <w:pPr>
        <w:pStyle w:val="ListParagraph"/>
        <w:numPr>
          <w:ilvl w:val="0"/>
          <w:numId w:val="2"/>
        </w:numPr>
        <w:spacing w:after="80"/>
      </w:pPr>
      <w:r>
        <w:t xml:space="preserve">المستوى 1 — الملحقات: منتج مُرتبَط يدويًا في بطاقة المنتج في PrestaShop.</w:t>
      </w:r>
    </w:p>
    <w:p>
      <w:pPr>
        <w:pStyle w:val="ListParagraph"/>
        <w:numPr>
          <w:ilvl w:val="0"/>
          <w:numId w:val="2"/>
        </w:numPr>
        <w:spacing w:after="80"/>
      </w:pPr>
      <w:r>
        <w:t xml:space="preserve">المستوى 2 — الشراء المشترك: منتج يُطلَب إحصائيًا معًا من قِبل عملاء آخرين.</w:t>
      </w:r>
    </w:p>
    <w:p>
      <w:pPr>
        <w:pStyle w:val="ListParagraph"/>
        <w:numPr>
          <w:ilvl w:val="0"/>
          <w:numId w:val="2"/>
        </w:numPr>
        <w:spacing w:after="80"/>
      </w:pPr>
      <w:r>
        <w:t xml:space="preserve">المستوى 3 — الأكثر مبيعًا: الأكثر مبيعًا في الفئة نفسها (احتياطي مضمون).</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تعرض لوحة القيادة الاقتراحات والنقرات والتحويلات والإيرادات المُحقَّقة ومتوسط قيمة السلة. يتيح قسم المعاينة محاكاة كتلة البيع الإضافي لأي طلب مُسلَّم دون إرسال بريد إلكتروني حقيقي.</w:t>
      </w:r>
    </w:p>
    <w:p>
      <w:pPr>
        <w:spacing w:after="180" w:before="120"/>
        <w:ind w:left="360"/>
      </w:pPr>
      <w:r>
        <w:rPr>
          <w:b/>
          <w:bCs/>
          <w:color w:val="B38B59"/>
        </w:rPr>
        <w:t xml:space="preserve">ℹ️  ملاحظة — </w:t>
      </w:r>
      <w:r>
        <w:t xml:space="preserve">المنتجات التي اشتراها العميل مسبقًا والمنتجات غير المتوفرة تُستبعَد تلقائيًا من الاقتراح.</w:t>
      </w:r>
    </w:p>
    <w:p>
      <w:pPr>
        <w:pStyle w:val="Heading2"/>
        <w:spacing w:after="140" w:before="320"/>
      </w:pPr>
      <w:bookmarkStart w:name="sec78" w:id="1"/>
      <w:r>
        <w:t xml:space="preserve">22.2 أكملوا إطلالتكم</w:t>
      </w:r>
      <w:bookmarkEnd w:id="1"/>
    </w:p>
    <w:p>
      <w:pPr>
        <w:spacing w:after="160"/>
      </w:pPr>
      <w:r>
        <w:t xml:space="preserve">بعد 48 ساعة من تأكيد التسليم، يقترح بريد look_completion منتجين إلى ثلاثة منتجات مُكمِّلة وفق قواعد الربط فئة ← منتجات المُحدَّدة في لوحة التحكم.</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اختاروا فئة مُفعِّلة من القائمة المنسدلة.</w:t>
      </w:r>
    </w:p>
    <w:p>
      <w:pPr>
        <w:spacing w:after="120"/>
        <w:ind w:left="200"/>
      </w:pPr>
      <w:r>
        <w:rPr>
          <w:b/>
          <w:bCs/>
          <w:color w:val="B38B59"/>
        </w:rPr>
        <w:t xml:space="preserve">2. </w:t>
      </w:r>
      <w:r>
        <w:t xml:space="preserve">أدخلوا معرِّفات المنتجات المُقترَحة (2 إلى 3، مفصولة بفواصل).</w:t>
      </w:r>
    </w:p>
    <w:p>
      <w:pPr>
        <w:spacing w:after="120"/>
        <w:ind w:left="200"/>
      </w:pPr>
      <w:r>
        <w:rPr>
          <w:b/>
          <w:bCs/>
          <w:color w:val="B38B59"/>
        </w:rPr>
        <w:t xml:space="preserve">3. </w:t>
      </w:r>
      <w:r>
        <w:t xml:space="preserve">انقروا على إضافة. القاعدة فعّالة فورًا.</w:t>
      </w:r>
    </w:p>
    <w:p>
      <w:pPr>
        <w:spacing w:after="180" w:before="120"/>
        <w:ind w:left="360"/>
      </w:pPr>
      <w:r>
        <w:rPr>
          <w:b/>
          <w:bCs/>
          <w:color w:val="B38B59"/>
        </w:rPr>
        <w:t xml:space="preserve">ℹ️  ملاحظة — </w:t>
      </w:r>
      <w:r>
        <w:t xml:space="preserve">بريد إلكتروني واحد فقط لكل طلب — إزالة تكرار تلقائية. يصل البريد الإلكتروني عندما يكون المنتج بين يدي العميل، في أفضل لحظة لاقتراح مُكمِّل.</w:t>
      </w:r>
    </w:p>
    <w:p>
      <w:pPr>
        <w:pStyle w:val="Heading2"/>
        <w:spacing w:after="140" w:before="320"/>
      </w:pPr>
      <w:bookmarkStart w:name="sec79" w:id="1"/>
      <w:r>
        <w:t xml:space="preserve">22.3 استكمال المجموعة</w:t>
      </w:r>
      <w:bookmarkEnd w:id="1"/>
    </w:p>
    <w:p>
      <w:pPr>
        <w:spacing w:after="160"/>
      </w:pPr>
      <w:r>
        <w:t xml:space="preserve">تكتشف Neria العملاء الذين تبقى لهم قطعة واحدة لاستكمال مجموعة، وتُرسل إليهم تلقائيًا بريدًا إلكترونيًا يُبرِز المنتج الناقص.</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أدخلوا اسم المجموعة (مثال: ثلاثية العناية بالوجه).</w:t>
      </w:r>
    </w:p>
    <w:p>
      <w:pPr>
        <w:spacing w:after="120"/>
        <w:ind w:left="200"/>
      </w:pPr>
      <w:r>
        <w:rPr>
          <w:b/>
          <w:bCs/>
          <w:color w:val="B38B59"/>
        </w:rPr>
        <w:t xml:space="preserve">2. </w:t>
      </w:r>
      <w:r>
        <w:t xml:space="preserve">أدخلوا معرِّفات المنتجات المُكوِّنة للمجموعة، مفصولة بفواصل.</w:t>
      </w:r>
    </w:p>
    <w:p>
      <w:pPr>
        <w:spacing w:after="120"/>
        <w:ind w:left="200"/>
      </w:pPr>
      <w:r>
        <w:rPr>
          <w:b/>
          <w:bCs/>
          <w:color w:val="B38B59"/>
        </w:rPr>
        <w:t xml:space="preserve">3. </w:t>
      </w:r>
      <w:r>
        <w:t xml:space="preserve">انقروا على إضافة. تُراقب Neria الطلبات ابتداءً من اليوم التالي.</w:t>
      </w:r>
    </w:p>
    <w:p>
      <w:pPr>
        <w:spacing w:after="180" w:before="120"/>
        <w:ind w:left="360"/>
      </w:pPr>
      <w:r>
        <w:rPr>
          <w:b/>
          <w:bCs/>
          <w:color w:val="B38B59"/>
        </w:rPr>
        <w:t xml:space="preserve">ℹ️  ملاحظة — </w:t>
      </w:r>
      <w:r>
        <w:t xml:space="preserve">بريد إلكتروني واحد فقط لكل عميل ولكل مجموعة، حتى لو استمر العميل بشراء قطع أخرى لاحقًا.</w:t>
      </w:r>
    </w:p>
    <w:p>
      <w:r>
        <w:br w:type="page"/>
      </w:r>
    </w:p>
    <w:p>
      <w:pPr>
        <w:pStyle w:val="Heading1"/>
        <w:pageBreakBefore/>
        <w:spacing w:after="200" w:before="500"/>
      </w:pPr>
      <w:bookmarkStart w:name="sec80" w:id="1"/>
      <w:r>
        <w:t xml:space="preserve">23. قائمة انتظار المنتجات</w:t>
      </w:r>
      <w:bookmarkEnd w:id="1"/>
    </w:p>
    <w:p>
      <w:pPr>
        <w:spacing w:after="160"/>
      </w:pPr>
      <w:r>
        <w:t xml:space="preserve">عندما يكون منتج غير متوفر في المخزون، تعرض Neria زر «أعلمني عند التوفر» في بطاقة المنتج. فور إعادة تزويد المخزون، يُرسَل بريد إلكتروني فريد إلى العميل مع حجز مؤقت.</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الإعداد</w:t>
      </w:r>
      <w:bookmarkEnd w:id="1"/>
    </w:p>
    <w:p>
      <w:pPr>
        <w:spacing w:after="120"/>
        <w:ind w:left="200"/>
      </w:pPr>
      <w:r>
        <w:rPr>
          <w:b/>
          <w:bCs/>
          <w:color w:val="B38B59"/>
        </w:rPr>
        <w:t xml:space="preserve">1. </w:t>
      </w:r>
      <w:r>
        <w:t xml:space="preserve">في الرئيسية ← قائمة الانتظار، فعّلوا الميزة.</w:t>
      </w:r>
    </w:p>
    <w:p>
      <w:pPr>
        <w:spacing w:after="120"/>
        <w:ind w:left="200"/>
      </w:pPr>
      <w:r>
        <w:rPr>
          <w:b/>
          <w:bCs/>
          <w:color w:val="B38B59"/>
        </w:rPr>
        <w:t xml:space="preserve">2. </w:t>
      </w:r>
      <w:r>
        <w:t xml:space="preserve">أعدّوا مدة الحجز (الفترة التي يبقى فيها المنتج «محجوزًا» للعميل قبل أن يعود متوفرًا للعموم).</w:t>
      </w:r>
    </w:p>
    <w:p>
      <w:pPr>
        <w:spacing w:after="120"/>
        <w:ind w:left="200"/>
      </w:pPr>
      <w:r>
        <w:rPr>
          <w:b/>
          <w:bCs/>
          <w:color w:val="B38B59"/>
        </w:rPr>
        <w:t xml:space="preserve">3. </w:t>
      </w:r>
      <w:r>
        <w:t xml:space="preserve">خصِّصوا نص الزر (حسب اللغة) في علامة التبويب الترجمات.</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إدارة التسجيلات</w:t>
      </w:r>
      <w:bookmarkEnd w:id="1"/>
    </w:p>
    <w:p>
      <w:pPr>
        <w:spacing w:after="160"/>
      </w:pPr>
      <w:r>
        <w:t xml:space="preserve">تعرض صفحة قائمة الانتظار الإحصائيات الشاملة (العملاء في الانتظار، المنتجات المُراقَبة، المُبلَّغون) بالإضافة إلى جدول لكل منتج مع عدد المسجّلين والمدة القصوى للانتظار.</w:t>
      </w:r>
    </w:p>
    <w:p>
      <w:r>
        <w:br w:type="page"/>
      </w:r>
    </w:p>
    <w:p>
      <w:pPr>
        <w:pStyle w:val="Heading1"/>
        <w:pageBreakBefore/>
        <w:spacing w:after="200" w:before="500"/>
      </w:pPr>
      <w:bookmarkStart w:name="sec83" w:id="1"/>
      <w:r>
        <w:t xml:space="preserve">24. علامة التبويب اختبارات A/B</w:t>
      </w:r>
      <w:bookmarkEnd w:id="1"/>
    </w:p>
    <w:p>
      <w:pPr>
        <w:spacing w:after="160"/>
      </w:pPr>
      <w:r>
        <w:t xml:space="preserve">تتيح Neria اختبار نسختين من البريد الإلكتروني نفسه — الموضوع أو المحتوى أو التصميم — على عيّنة من المستلمين، وتعيين النسخة الفائزة تلقائيًا.</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إنشاء اختبار</w:t>
      </w:r>
      <w:bookmarkEnd w:id="1"/>
    </w:p>
    <w:p>
      <w:pPr>
        <w:spacing w:after="120"/>
        <w:ind w:left="200"/>
      </w:pPr>
      <w:r>
        <w:rPr>
          <w:b/>
          <w:bCs/>
          <w:color w:val="B38B59"/>
        </w:rPr>
        <w:t xml:space="preserve">1. </w:t>
      </w:r>
      <w:r>
        <w:t xml:space="preserve">انقروا على اختبار A/B جديد.</w:t>
      </w:r>
    </w:p>
    <w:p>
      <w:pPr>
        <w:spacing w:after="120"/>
        <w:ind w:left="200"/>
      </w:pPr>
      <w:r>
        <w:rPr>
          <w:b/>
          <w:bCs/>
          <w:color w:val="B38B59"/>
        </w:rPr>
        <w:t xml:space="preserve">2. </w:t>
      </w:r>
      <w:r>
        <w:t xml:space="preserve">اختاروا القالب المُراد اختباره.</w:t>
      </w:r>
    </w:p>
    <w:p>
      <w:pPr>
        <w:spacing w:after="120"/>
        <w:ind w:left="200"/>
      </w:pPr>
      <w:r>
        <w:rPr>
          <w:b/>
          <w:bCs/>
          <w:color w:val="B38B59"/>
        </w:rPr>
        <w:t xml:space="preserve">3. </w:t>
      </w:r>
      <w:r>
        <w:t xml:space="preserve">أدخلوا موضوع و/أو نص النسخة B (النسخة A هي القالب الأصلي).</w:t>
      </w:r>
    </w:p>
    <w:p>
      <w:pPr>
        <w:spacing w:after="120"/>
        <w:ind w:left="200"/>
      </w:pPr>
      <w:r>
        <w:rPr>
          <w:b/>
          <w:bCs/>
          <w:color w:val="B38B59"/>
        </w:rPr>
        <w:t xml:space="preserve">4. </w:t>
      </w:r>
      <w:r>
        <w:t xml:space="preserve">حدّدوا التوزيع (مثال: 50٪ A / 50٪ B، أو 70٪ / 30٪).</w:t>
      </w:r>
    </w:p>
    <w:p>
      <w:pPr>
        <w:spacing w:after="120"/>
        <w:ind w:left="200"/>
      </w:pPr>
      <w:r>
        <w:rPr>
          <w:b/>
          <w:bCs/>
          <w:color w:val="B38B59"/>
        </w:rPr>
        <w:t xml:space="preserve">5. </w:t>
      </w:r>
      <w:r>
        <w:t xml:space="preserve">انقروا على إطلاق الاختبار. يُخصَّص توزيع A/B لكل عميل عبر تجزئة ثابتة — دون جدول إضافي، يتلقى العميل نفسه دائمًا النسخة نفسها.</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متابعة النتائج</w:t>
      </w:r>
      <w:bookmarkEnd w:id="1"/>
    </w:p>
    <w:p>
      <w:pPr>
        <w:spacing w:after="160"/>
      </w:pPr>
      <w:r>
        <w:t xml:space="preserve">تعرض لوحة قيادة الاختبار فوريًا معدلات الفتح والنقر والتحويل لكل نسخة، مع فترة الثقة الإحصائية.</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تعيين الفائز</w:t>
      </w:r>
      <w:bookmarkEnd w:id="1"/>
    </w:p>
    <w:p>
      <w:pPr>
        <w:spacing w:after="120"/>
        <w:ind w:left="200"/>
      </w:pPr>
      <w:r>
        <w:rPr>
          <w:b/>
          <w:bCs/>
          <w:color w:val="B38B59"/>
        </w:rPr>
        <w:t xml:space="preserve">1. </w:t>
      </w:r>
      <w:r>
        <w:t xml:space="preserve">بمجرد بلوغ حجم كافٍ (دلالة إحصائية تفوق 95٪)، انقروا على تعيين الفائز.</w:t>
      </w:r>
    </w:p>
    <w:p>
      <w:pPr>
        <w:spacing w:after="120"/>
        <w:ind w:left="200"/>
      </w:pPr>
      <w:r>
        <w:rPr>
          <w:b/>
          <w:bCs/>
          <w:color w:val="B38B59"/>
        </w:rPr>
        <w:t xml:space="preserve">2. </w:t>
      </w:r>
      <w:r>
        <w:t xml:space="preserve">اختاروا النسخة A أو B. تصبح القالب الافتراضي لجميع عمليات الإرسال اللاحقة.</w:t>
      </w:r>
    </w:p>
    <w:p>
      <w:pPr>
        <w:spacing w:after="120"/>
        <w:ind w:left="200"/>
      </w:pPr>
      <w:r>
        <w:rPr>
          <w:b/>
          <w:bCs/>
          <w:color w:val="B38B59"/>
        </w:rPr>
        <w:t xml:space="preserve">3. </w:t>
      </w:r>
      <w:r>
        <w:t xml:space="preserve">ينتقل الاختبار إلى حالة منتهٍ. تُؤرشَف النسخة الخاسرة.</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علامة التبويب الإحصائيات</w:t>
      </w:r>
      <w:bookmarkEnd w:id="1"/>
    </w:p>
    <w:p>
      <w:pPr>
        <w:spacing w:after="160"/>
      </w:pPr>
      <w:r>
        <w:t xml:space="preserve">تجمع علامة التبويب الإحصائيات جميع البيانات التحليلية لـNeria: التتبع، الإسناد، قابلية التسليم، تقييم العملاء وسمعة النطاق.</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لوحة قيادة مؤشرات الأداء</w:t>
      </w:r>
      <w:bookmarkEnd w:id="1"/>
    </w:p>
    <w:p>
      <w:pPr>
        <w:pStyle w:val="ListParagraph"/>
        <w:numPr>
          <w:ilvl w:val="0"/>
          <w:numId w:val="2"/>
        </w:numPr>
        <w:spacing w:after="80"/>
      </w:pPr>
      <w:r>
        <w:t xml:space="preserve">رسائل البريد الإلكتروني المُرسَلة والمفتوحة والمنقور عليها والمُحوَّلة خلال الفترة المُحدَّدة.</w:t>
      </w:r>
    </w:p>
    <w:p>
      <w:pPr>
        <w:pStyle w:val="ListParagraph"/>
        <w:numPr>
          <w:ilvl w:val="0"/>
          <w:numId w:val="2"/>
        </w:numPr>
        <w:spacing w:after="80"/>
      </w:pPr>
      <w:r>
        <w:t xml:space="preserve">معدلات الفتح والنقر والتحويل وإلغاء الاشتراك.</w:t>
      </w:r>
    </w:p>
    <w:p>
      <w:pPr>
        <w:pStyle w:val="ListParagraph"/>
        <w:numPr>
          <w:ilvl w:val="0"/>
          <w:numId w:val="2"/>
        </w:numPr>
        <w:spacing w:after="80"/>
      </w:pPr>
      <w:r>
        <w:t xml:space="preserve">مقارنة بالفترة السابقة (أسهم الاتجاه).</w:t>
      </w:r>
    </w:p>
    <w:p>
      <w:pPr>
        <w:pStyle w:val="ListParagraph"/>
        <w:numPr>
          <w:ilvl w:val="0"/>
          <w:numId w:val="2"/>
        </w:numPr>
        <w:spacing w:after="80"/>
      </w:pPr>
      <w:r>
        <w:t xml:space="preserve">أفضل 5 قوالب أداءً.</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تتبع الفتحات والنقرات</w:t>
      </w:r>
      <w:bookmarkEnd w:id="1"/>
    </w:p>
    <w:p>
      <w:pPr>
        <w:spacing w:after="160"/>
      </w:pPr>
      <w:r>
        <w:t xml:space="preserve">تُدرِج Neria بكسل تتبع بحجم 1×1 في كل بريد إلكتروني HTML وتُحوِّل جميع الروابط إلى روابط مُتتبَّعة. يُسجِّل وحدة التحكم الأمامية track.php كل حدث (فتح، نقر) في neria_stat ويُعيد توجيه العميل فورًا إلى الرابط المستهدف.</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إسناد الإيرادات</w:t>
      </w:r>
      <w:bookmarkEnd w:id="1"/>
    </w:p>
    <w:p>
      <w:pPr>
        <w:spacing w:after="160"/>
      </w:pPr>
      <w:r>
        <w:t xml:space="preserve">عندما ينقر عميل في بريد إلكتروني من Neria، يُوضَع ملف تعريف ارتباط neria_ref (مدة 24 ساعة). إذا تم تقديم طلب خلال هذه المهلة، يُسنَد الطلب إلى Neria مع القالب المُفعِّل. الإيرادات المُسنَدة مرئية في علامة التبويب الإحصائيات.</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درجة قابلية التسليم</w:t>
      </w:r>
      <w:bookmarkEnd w:id="1"/>
    </w:p>
    <w:p>
      <w:pPr>
        <w:spacing w:after="160"/>
      </w:pPr>
      <w:r>
        <w:t xml:space="preserve">تُحلِّل Neria شفرة HTML لكل بريد إلكتروني وتحسب درجة قابلية تسليم من 0 إلى 100، بناءً على: وجود كلمات مزعجة (fr/en/de/es/it/pt)، نسبة النص إلى الصورة، الروابط المشبوهة، الوسوم الناقصة، الوزن الإجمالي. تُعرَض الدرجة على كل قالب في القائمة.</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درجة الانقطاع</w:t>
      </w:r>
      <w:bookmarkEnd w:id="1"/>
    </w:p>
    <w:p>
      <w:pPr>
        <w:spacing w:after="160"/>
      </w:pPr>
      <w:r>
        <w:t xml:space="preserve">تقيس درجة الانقطاع (0-100) خطر إلغاء اشتراك كل عميل، وتُحسَب يوميًا انطلاقًا من الحداثة ومعدل الفتح الأخير والاتجاه على 3 فترات مدتها 30 يومًا. يُشار إلى العملاء ذوي الدرجة &gt; 70 باللون الأحمر في بطاقتهم.</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القيمة الدائمة للعميل على 12 شهرًا</w:t>
      </w:r>
      <w:bookmarkEnd w:id="1"/>
    </w:p>
    <w:p>
      <w:pPr>
        <w:spacing w:after="160"/>
      </w:pPr>
      <w:r>
        <w:t xml:space="preserve">تُقدَّر القيمة الدائمة للعميل بالصيغة التالية: متوسط قيمة السلة × تكرار الشراء × درجة التفاعل مع البريد الإلكتروني × معامل الشريحة × عامل المخاطرة (الانقطاع). يُعرَض أفضل 20 عميلاً حسب القيمة الدائمة في علامة التبويب الإحصائيات.</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درجة الميل نحو الشراء</w:t>
      </w:r>
      <w:bookmarkEnd w:id="1"/>
    </w:p>
    <w:p>
      <w:pPr>
        <w:spacing w:after="160"/>
      </w:pPr>
      <w:r>
        <w:t xml:space="preserve">درجة من 0 إلى 100 تُحسَب يوميًا لكل عميل، تجمع الحداثة (40 نقطة) والتكرار (25 نقطة) والتفاعل مع البريد الإلكتروني (25 نقطة) والموسمية (10 نقاط). تُفعِّل درجة &gt; 75 تنبيه «نافذة شراء مثالية» مرئي في بطاقة العميل.</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سجل رسائل بريد العميل</w:t>
      </w:r>
      <w:bookmarkEnd w:id="1"/>
    </w:p>
    <w:p>
      <w:pPr>
        <w:spacing w:after="160"/>
      </w:pPr>
      <w:r>
        <w:t xml:space="preserve">في بطاقة كل عميل من عملاء PrestaShop (لوحة التحكم ← العملاء)، تعرض كتلة Neria الجدول الزمني الكامل لرسائل البريد الإلكتروني المُستلَمة من هذا العميل: التاريخ، القالب، الحالة (مُرسَل، مفتوح، منقور عليه، مُحوَّل)، شارة التفاعل الإجمالي. يتيح زر تصدير السجل إلى صيغة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25ب. علامة التبويب سجل العملاء</w:t>
      </w:r>
      <w:bookmarkEnd w:id="1"/>
    </w:p>
    <w:p>
      <w:pPr>
        <w:spacing w:after="160"/>
      </w:pPr>
      <w:r>
        <w:t xml:space="preserve">تُقدِّم علامة التبويب سجل العملاء رؤية موحَّدة لجميع رسائل البريد الإلكتروني المُرسَلة من Neria، قابلة للتصفية حسب العميل والقالب واللغة والحالة والفترة. على عكس الكتلة الموجودة في بطاقة العميل (التي تُظهر سجل عميل واحد فقط)، تُقدِّم هذه العلامة رؤية شاملة متعددة العملاء.</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25ب.1 الفلاتر المتاحة</w:t>
      </w:r>
      <w:bookmarkEnd w:id="1"/>
    </w:p>
    <w:p>
      <w:pPr>
        <w:pStyle w:val="ListParagraph"/>
        <w:numPr>
          <w:ilvl w:val="0"/>
          <w:numId w:val="2"/>
        </w:numPr>
        <w:spacing w:after="80"/>
      </w:pPr>
      <w:r>
        <w:t xml:space="preserve">العميل: بحث بالاسم أو البريد الإلكتروني.</w:t>
      </w:r>
    </w:p>
    <w:p>
      <w:pPr>
        <w:pStyle w:val="ListParagraph"/>
        <w:numPr>
          <w:ilvl w:val="0"/>
          <w:numId w:val="2"/>
        </w:numPr>
        <w:spacing w:after="80"/>
      </w:pPr>
      <w:r>
        <w:t xml:space="preserve">القالب: التصفية حسب نوع البريد الإلكتروني (مثال: جميع رسائل أعياد الميلاد المُرسَلة).</w:t>
      </w:r>
    </w:p>
    <w:p>
      <w:pPr>
        <w:pStyle w:val="ListParagraph"/>
        <w:numPr>
          <w:ilvl w:val="0"/>
          <w:numId w:val="2"/>
        </w:numPr>
        <w:spacing w:after="80"/>
      </w:pPr>
      <w:r>
        <w:t xml:space="preserve">الحالة: مُرسَل، مفتوح، منقور عليه، مُحوَّل، مُرتَد.</w:t>
      </w:r>
    </w:p>
    <w:p>
      <w:pPr>
        <w:pStyle w:val="ListParagraph"/>
        <w:numPr>
          <w:ilvl w:val="0"/>
          <w:numId w:val="2"/>
        </w:numPr>
        <w:spacing w:after="80"/>
      </w:pPr>
      <w:r>
        <w:t xml:space="preserve">اللغة: التصفية حسب لغة الإرسال.</w:t>
      </w:r>
    </w:p>
    <w:p>
      <w:pPr>
        <w:pStyle w:val="ListParagraph"/>
        <w:numPr>
          <w:ilvl w:val="0"/>
          <w:numId w:val="2"/>
        </w:numPr>
        <w:spacing w:after="80"/>
      </w:pPr>
      <w:r>
        <w:t xml:space="preserve">الفترة: مُحدِّد تواريخ البداية والنهاية.</w:t>
      </w:r>
    </w:p>
    <w:p>
      <w:pPr>
        <w:pStyle w:val="Heading2"/>
        <w:spacing w:after="140" w:before="320"/>
      </w:pPr>
      <w:bookmarkStart w:name="sec98" w:id="1"/>
      <w:r>
        <w:t xml:space="preserve">25ب.2 التصدير إلى CSV</w:t>
      </w:r>
      <w:bookmarkEnd w:id="1"/>
    </w:p>
    <w:p>
      <w:pPr>
        <w:spacing w:after="160"/>
      </w:pPr>
      <w:r>
        <w:t xml:space="preserve">يُحمِّل زر تصدير CSV جميع الأسطر المُصفَّاة مع جميع الأعمدة: التاريخ، العميل، القالب، اللغة، الحالة، المبلغ المُسنَد.</w:t>
      </w:r>
    </w:p>
    <w:p>
      <w:r>
        <w:br w:type="page"/>
      </w:r>
    </w:p>
    <w:p>
      <w:pPr>
        <w:pStyle w:val="Heading1"/>
        <w:pageBreakBefore/>
        <w:spacing w:after="200" w:before="500"/>
      </w:pPr>
      <w:bookmarkStart w:name="sec99" w:id="1"/>
      <w:r>
        <w:t xml:space="preserve">26. التقرير الشهري التلقائي</w:t>
      </w:r>
      <w:bookmarkEnd w:id="1"/>
    </w:p>
    <w:p>
      <w:pPr>
        <w:spacing w:after="160"/>
      </w:pPr>
      <w:r>
        <w:t xml:space="preserve">في اليوم الأول من كل شهر، تُرسل Neria تلقائيًا تقرير أداء بريد إلكتروني كامل إلى المستلم(ين) المُعدَّ(ين). يتضمّن هذا التقرير: مؤشرات الأداء الشاملة للشهر، أفضل وأسوأ القوالب أداءً، اللغة الأكثر تفاعلاً، أفضل وقت للإرسال، نتائج اختبارات A/B، الإيرادات المُسنَدة، و3 توصيات تلقائية مُولَّدة من البيانات.</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الإعداد</w:t>
      </w:r>
      <w:bookmarkEnd w:id="1"/>
    </w:p>
    <w:p>
      <w:pPr>
        <w:spacing w:after="120"/>
        <w:ind w:left="200"/>
      </w:pPr>
      <w:r>
        <w:rPr>
          <w:b/>
          <w:bCs/>
          <w:color w:val="B38B59"/>
        </w:rPr>
        <w:t xml:space="preserve">1. </w:t>
      </w:r>
      <w:r>
        <w:t xml:space="preserve">في الرئيسية ← التقرير الشهري، أدخلوا عناوين البريد الإلكتروني للمستلمين (عدة عناوين مفصولة بفواصل).</w:t>
      </w:r>
    </w:p>
    <w:p>
      <w:pPr>
        <w:spacing w:after="120"/>
        <w:ind w:left="200"/>
      </w:pPr>
      <w:r>
        <w:rPr>
          <w:b/>
          <w:bCs/>
          <w:color w:val="B38B59"/>
        </w:rPr>
        <w:t xml:space="preserve">2. </w:t>
      </w:r>
      <w:r>
        <w:t xml:space="preserve">اختاروا لغة التقرير.</w:t>
      </w:r>
    </w:p>
    <w:p>
      <w:pPr>
        <w:spacing w:after="120"/>
        <w:ind w:left="200"/>
      </w:pPr>
      <w:r>
        <w:rPr>
          <w:b/>
          <w:bCs/>
          <w:color w:val="B38B59"/>
        </w:rPr>
        <w:t xml:space="preserve">3. </w:t>
      </w:r>
      <w:r>
        <w:t xml:space="preserve">فعّلوا المفتاح واحفظوا.</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سمعة نطاق الإرسال</w:t>
      </w:r>
      <w:bookmarkEnd w:id="1"/>
    </w:p>
    <w:p>
      <w:pPr>
        <w:spacing w:after="160"/>
      </w:pPr>
      <w:r>
        <w:t xml:space="preserve">تتحقق Neria يوميًا من سمعة نطاق إرسالكم عبر 4 محاور: SPF، DKIM (17 مُحدِّدًا مُختبَرًا)، DMARC، و42 قائمة سوداء لنظام أسماء النطاقات (RBL). تُخزَّن النتائج مؤقتًا لمدة 24 ساعة وتُعرَض في علامة التبويب الإحصائيات.</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تفسير النتائج</w:t>
      </w:r>
      <w:bookmarkEnd w:id="1"/>
    </w:p>
    <w:p>
      <w:pPr>
        <w:pStyle w:val="ListParagraph"/>
        <w:numPr>
          <w:ilvl w:val="0"/>
          <w:numId w:val="2"/>
        </w:numPr>
        <w:spacing w:after="80"/>
      </w:pPr>
      <w:r>
        <w:t xml:space="preserve">SPF ✅: يُخوِّل نطاقكم خادم الإرسال. ضروري.</w:t>
      </w:r>
    </w:p>
    <w:p>
      <w:pPr>
        <w:pStyle w:val="ListParagraph"/>
        <w:numPr>
          <w:ilvl w:val="0"/>
          <w:numId w:val="2"/>
        </w:numPr>
        <w:spacing w:after="80"/>
      </w:pPr>
      <w:r>
        <w:t xml:space="preserve">DKIM ✅: التوقيع التشفيري صالح. يُنصَح به بشدة.</w:t>
      </w:r>
    </w:p>
    <w:p>
      <w:pPr>
        <w:pStyle w:val="ListParagraph"/>
        <w:numPr>
          <w:ilvl w:val="0"/>
          <w:numId w:val="2"/>
        </w:numPr>
        <w:spacing w:after="80"/>
      </w:pPr>
      <w:r>
        <w:t xml:space="preserve">DMARC ✅: سياسة DMARC منشورة. يُنصَح بها (policy=quarantine أو reject).</w:t>
      </w:r>
    </w:p>
    <w:p>
      <w:pPr>
        <w:pStyle w:val="ListParagraph"/>
        <w:numPr>
          <w:ilvl w:val="0"/>
          <w:numId w:val="2"/>
        </w:numPr>
        <w:spacing w:after="80"/>
      </w:pPr>
      <w:r>
        <w:t xml:space="preserve">RBL ✅: عنوان IP الخاص بكم غير مُدرَج في أي قائمة سوداء معروفة. حاسم لقابلية التسليم.</w:t>
      </w:r>
    </w:p>
    <w:p>
      <w:pPr>
        <w:spacing w:after="180" w:before="120"/>
        <w:ind w:left="360"/>
      </w:pPr>
      <w:r>
        <w:rPr>
          <w:b/>
          <w:bCs/>
          <w:color w:val="B38B59"/>
        </w:rPr>
        <w:t xml:space="preserve">ℹ️  ملاحظة — </w:t>
      </w:r>
      <w:r>
        <w:t xml:space="preserve">في حال ظهور تنبيه SPF أو DKIM، راجعوا وثائق مُزوِّد الاستضافة الخاص بكم لنشر سجلات DNS الناقصة.</w:t>
      </w:r>
    </w:p>
    <w:p>
      <w:r>
        <w:br w:type="page"/>
      </w:r>
    </w:p>
    <w:p>
      <w:pPr>
        <w:pStyle w:val="Heading1"/>
        <w:pageBreakBefore/>
        <w:spacing w:after="200" w:before="500"/>
      </w:pPr>
      <w:bookmarkStart w:name="sec103" w:id="1"/>
      <w:r>
        <w:t xml:space="preserve">28. تكاملات Google وتحسين محركات البحث</w:t>
      </w:r>
      <w:bookmarkEnd w:id="1"/>
    </w:p>
    <w:p>
      <w:pPr>
        <w:pStyle w:val="Heading2"/>
        <w:spacing w:after="140" w:before="320"/>
      </w:pPr>
      <w:bookmarkStart w:name="sec104" w:id="1"/>
      <w:r>
        <w:t xml:space="preserve">28.1 Gmail Postmaster Tools</w:t>
      </w:r>
      <w:bookmarkEnd w:id="1"/>
    </w:p>
    <w:p>
      <w:pPr>
        <w:spacing w:after="160"/>
      </w:pPr>
      <w:r>
        <w:t xml:space="preserve">تتكامل Neria مع واجهة برمجة تطبيقات Gmail Postmaster Tools عبر OAuth 2.0 المجاني. تعرض في لوحة التحكم بيانات السمعة الفعلية من Google: معدل الإبلاغ عن الرسائل المزعجة، سمعة النطاق، سمعة عنوان IP، ونجاح SPF/DKIM/DMARC وفق Google.</w:t>
      </w:r>
    </w:p>
    <w:p>
      <w:pPr>
        <w:spacing w:after="120"/>
        <w:ind w:left="200"/>
      </w:pPr>
      <w:r>
        <w:rPr>
          <w:b/>
          <w:bCs/>
          <w:color w:val="B38B59"/>
        </w:rPr>
        <w:t xml:space="preserve">1. </w:t>
      </w:r>
      <w:r>
        <w:t xml:space="preserve">في الإحصائيات ← Postmaster، انقروا على الاتصال بـ Google.</w:t>
      </w:r>
    </w:p>
    <w:p>
      <w:pPr>
        <w:spacing w:after="120"/>
        <w:ind w:left="200"/>
      </w:pPr>
      <w:r>
        <w:rPr>
          <w:b/>
          <w:bCs/>
          <w:color w:val="B38B59"/>
        </w:rPr>
        <w:t xml:space="preserve">2. </w:t>
      </w:r>
      <w:r>
        <w:t xml:space="preserve">امنحوا Neria صلاحية الوصول إلى بيانات Postmaster (للقراءة فقط).</w:t>
      </w:r>
    </w:p>
    <w:p>
      <w:pPr>
        <w:spacing w:after="120"/>
        <w:ind w:left="200"/>
      </w:pPr>
      <w:r>
        <w:rPr>
          <w:b/>
          <w:bCs/>
          <w:color w:val="B38B59"/>
        </w:rPr>
        <w:t xml:space="preserve">3. </w:t>
      </w:r>
      <w:r>
        <w:t xml:space="preserve">تُعرَض البيانات في لوحة قيادة Postmaster.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تكامل عبر OAuth 2.0 مع واجهة برمجة تطبيقات Google Search Console v3. يعرض الظهور والنقرات ونسبة النقر إلى الظهور والموضع المتوسط وأفضل الاستعلامات وأفضل صفحات متجركم. بيانات مباشرة في لوحة تحكم Neria.</w:t>
      </w:r>
    </w:p>
    <w:p>
      <w:pPr>
        <w:spacing w:after="120"/>
        <w:ind w:left="200"/>
      </w:pPr>
      <w:r>
        <w:rPr>
          <w:b/>
          <w:bCs/>
          <w:color w:val="B38B59"/>
        </w:rPr>
        <w:t xml:space="preserve">1. </w:t>
      </w:r>
      <w:r>
        <w:t xml:space="preserve">في الإحصائيات ← Search Console، انقروا على الاتصال بـ Google.</w:t>
      </w:r>
    </w:p>
    <w:p>
      <w:pPr>
        <w:spacing w:after="120"/>
        <w:ind w:left="200"/>
      </w:pPr>
      <w:r>
        <w:rPr>
          <w:b/>
          <w:bCs/>
          <w:color w:val="B38B59"/>
        </w:rPr>
        <w:t xml:space="preserve">2. </w:t>
      </w:r>
      <w:r>
        <w:t xml:space="preserve">امنحوا صلاحية الوصول (للقراءة فقط).</w:t>
      </w:r>
    </w:p>
    <w:p>
      <w:pPr>
        <w:spacing w:after="120"/>
        <w:ind w:left="200"/>
      </w:pPr>
      <w:r>
        <w:rPr>
          <w:b/>
          <w:bCs/>
          <w:color w:val="B38B59"/>
        </w:rPr>
        <w:t xml:space="preserve">3. </w:t>
      </w:r>
      <w:r>
        <w:t xml:space="preserve">اختاروا ملكيتكم في Search Console من القائمة.</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تسترجع Neria درجات Lighthouse ومؤشرات Core Web Vitals (LCP، CLS، TBT) للجوال وسطح المكتب عبر واجهة برمجة تطبيقات PageSpeed Insights v5 (مفتاح API مجاني من Google Cloud). تخزين مؤقت لمدة 24 ساعة.</w:t>
      </w:r>
    </w:p>
    <w:p>
      <w:pPr>
        <w:spacing w:after="120"/>
        <w:ind w:left="200"/>
      </w:pPr>
      <w:r>
        <w:rPr>
          <w:b/>
          <w:bCs/>
          <w:color w:val="B38B59"/>
        </w:rPr>
        <w:t xml:space="preserve">1. </w:t>
      </w:r>
      <w:r>
        <w:t xml:space="preserve">في الرئيسية ← الإعدادات ← مفتاح API لـ PageSpeed، أدخلوا مفتاحكم (المُتحصَّل عليه من console.cloud.google.com، حصة مجانية).</w:t>
      </w:r>
    </w:p>
    <w:p>
      <w:pPr>
        <w:spacing w:after="120"/>
        <w:ind w:left="200"/>
      </w:pPr>
      <w:r>
        <w:rPr>
          <w:b/>
          <w:bCs/>
          <w:color w:val="B38B59"/>
        </w:rPr>
        <w:t xml:space="preserve">2. </w:t>
      </w:r>
      <w:r>
        <w:t xml:space="preserve">في الإحصائيات ← PageSpeed، انقروا على تحليل الآن.</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وMoz (اختياري)</w:t>
      </w:r>
      <w:bookmarkEnd w:id="1"/>
    </w:p>
    <w:p>
      <w:pPr>
        <w:spacing w:after="160"/>
      </w:pPr>
      <w:r>
        <w:t xml:space="preserve">تكامل اختياري مع Semrush (حركة المرور، الكلمات المفتاحية، الروابط الخلفية) وMoz (سلطة النطاق، سلطة الصفحة، درجة الرسائل المزعجة). تتطلّب هذه الأدوات مفتاح API مدفوعًا.</w:t>
      </w:r>
    </w:p>
    <w:p>
      <w:pPr>
        <w:spacing w:after="120"/>
        <w:ind w:left="200"/>
      </w:pPr>
      <w:r>
        <w:rPr>
          <w:b/>
          <w:bCs/>
          <w:color w:val="B38B59"/>
        </w:rPr>
        <w:t xml:space="preserve">1. </w:t>
      </w:r>
      <w:r>
        <w:t xml:space="preserve">في الرئيسية ← الإعدادات ← تكاملات تحسين محركات البحث، أدخلوا مفتاح Semrush و/أو Moz الخاص بكم.</w:t>
      </w:r>
    </w:p>
    <w:p>
      <w:pPr>
        <w:spacing w:after="120"/>
        <w:ind w:left="200"/>
      </w:pPr>
      <w:r>
        <w:rPr>
          <w:b/>
          <w:bCs/>
          <w:color w:val="B38B59"/>
        </w:rPr>
        <w:t xml:space="preserve">2. </w:t>
      </w:r>
      <w:r>
        <w:t xml:space="preserve">تُعرَض بيانات تحسين محركات البحث في علامة التبويب الإحصائيات ← الفهرسة.</w:t>
      </w:r>
    </w:p>
    <w:p>
      <w:r>
        <w:br w:type="page"/>
      </w:r>
    </w:p>
    <w:p>
      <w:pPr>
        <w:pStyle w:val="Heading1"/>
        <w:pageBreakBefore/>
        <w:spacing w:after="200" w:before="500"/>
      </w:pPr>
      <w:bookmarkStart w:name="sec108" w:id="1"/>
      <w:r>
        <w:t xml:space="preserve">29. علامة التبويب الارتدادات — إدارة رسائل البريد غير الصالحة</w:t>
      </w:r>
      <w:bookmarkEnd w:id="1"/>
    </w:p>
    <w:p>
      <w:pPr>
        <w:spacing w:after="160"/>
      </w:pPr>
      <w:r>
        <w:t xml:space="preserve">تكتشف Neria وتُدير تلقائيًا عناوين البريد الإلكتروني غير الصالحة عبر قناتين: قراءة صندوق IMAP/POP3 مُعدّ، واستقبال webhooks واردة من مزودي خدمة البريد (Mailgun، SendGrid، Postmark…).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إعداد IMAP</w:t>
      </w:r>
      <w:bookmarkEnd w:id="1"/>
    </w:p>
    <w:p>
      <w:pPr>
        <w:spacing w:after="120"/>
        <w:ind w:left="200"/>
      </w:pPr>
      <w:r>
        <w:rPr>
          <w:b/>
          <w:bCs/>
          <w:color w:val="B38B59"/>
        </w:rPr>
        <w:t xml:space="preserve">1. </w:t>
      </w:r>
      <w:r>
        <w:t xml:space="preserve">في الارتدادات ← الإعداد، أدخلوا معلمات صندوق البريد الخاص بالارتداد (خادم IMAP، المنفذ، اسم المستخدم، كلمة المرور). عادةً صندوق noreply@ مُخصَّص.</w:t>
      </w:r>
    </w:p>
    <w:p>
      <w:pPr>
        <w:spacing w:after="120"/>
        <w:ind w:left="200"/>
      </w:pPr>
      <w:r>
        <w:rPr>
          <w:b/>
          <w:bCs/>
          <w:color w:val="B38B59"/>
        </w:rPr>
        <w:t xml:space="preserve">2. </w:t>
      </w:r>
      <w:r>
        <w:t xml:space="preserve">انقروا على اختبار الاتصال للتحقق.</w:t>
      </w:r>
    </w:p>
    <w:p>
      <w:pPr>
        <w:spacing w:after="120"/>
        <w:ind w:left="200"/>
      </w:pPr>
      <w:r>
        <w:rPr>
          <w:b/>
          <w:bCs/>
          <w:color w:val="B38B59"/>
        </w:rPr>
        <w:t xml:space="preserve">3. </w:t>
      </w:r>
      <w:r>
        <w:t xml:space="preserve">فعّلوا المعالجة عبر IMAP. ستقرأ Neria هذا الصندوق عند كل تنفيذ للجدولة الزمنية وتستخرج إشعارات عدم التسليم.</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إعداد webhook مزود خدمة البريد</w:t>
      </w:r>
      <w:bookmarkEnd w:id="1"/>
    </w:p>
    <w:p>
      <w:pPr>
        <w:spacing w:after="160"/>
      </w:pPr>
      <w:r>
        <w:t xml:space="preserve">إذا كنتم تستخدمون Mailgun أو SendGrid أو Postmark، أعدّوا في مزوّد خدمتكم رابط الـ webhook المُقدَّم من Neria (الارتدادات ← الإعداد ← رابط webhook) لتلقّي إشعارات الارتداد فوريًا.</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الارتداد الصلب والارتداد الناعم</w:t>
      </w:r>
      <w:bookmarkEnd w:id="1"/>
    </w:p>
    <w:p>
      <w:pPr>
        <w:pStyle w:val="ListParagraph"/>
        <w:numPr>
          <w:ilvl w:val="0"/>
          <w:numId w:val="2"/>
        </w:numPr>
        <w:spacing w:after="80"/>
      </w:pPr>
      <w:r>
        <w:t xml:space="preserve">الارتداد الصلب: عنوان غير صالح بشكل نهائي (مستخدم غير معروف، نطاق غير موجود). يُحظَر فورًا ونهائيًا من قِبل Neria.</w:t>
      </w:r>
    </w:p>
    <w:p>
      <w:pPr>
        <w:pStyle w:val="ListParagraph"/>
        <w:numPr>
          <w:ilvl w:val="0"/>
          <w:numId w:val="2"/>
        </w:numPr>
        <w:spacing w:after="80"/>
      </w:pPr>
      <w:r>
        <w:t xml:space="preserve">الارتداد الناعم: فشل مؤقت (صندوق ممتلئ، خادم غير متاح). يُحظَر بعد N فشلاً متتاليًا (عتبة قابلة للتعديل، افتراضيًا: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شهادات الأصالة</w:t>
      </w:r>
      <w:bookmarkEnd w:id="1"/>
    </w:p>
    <w:p>
      <w:pPr>
        <w:spacing w:after="160"/>
      </w:pPr>
      <w:r>
        <w:t xml:space="preserve">تُولِّد Neria وتُرفق تلقائيًا شهادة أصالة بصيغة PDF ببريد تأكيد الطلب للمتاجر التي تبيع قطعًا فريدة أو مُرقَّمة.</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الإعداد</w:t>
      </w:r>
      <w:bookmarkEnd w:id="1"/>
    </w:p>
    <w:p>
      <w:pPr>
        <w:spacing w:after="120"/>
        <w:ind w:left="200"/>
      </w:pPr>
      <w:r>
        <w:rPr>
          <w:b/>
          <w:bCs/>
          <w:color w:val="B38B59"/>
        </w:rPr>
        <w:t xml:space="preserve">1. </w:t>
      </w:r>
      <w:r>
        <w:t xml:space="preserve">في علامة التبويب الشهادات، فعّلوا التوليد التلقائي.</w:t>
      </w:r>
    </w:p>
    <w:p>
      <w:pPr>
        <w:spacing w:after="120"/>
        <w:ind w:left="200"/>
      </w:pPr>
      <w:r>
        <w:rPr>
          <w:b/>
          <w:bCs/>
          <w:color w:val="B38B59"/>
        </w:rPr>
        <w:t xml:space="preserve">2. </w:t>
      </w:r>
      <w:r>
        <w:t xml:space="preserve">خصِّصوا: العنوان، العنوان الفرعي، نص المحتوى، الشعار، التوقيع.</w:t>
      </w:r>
    </w:p>
    <w:p>
      <w:pPr>
        <w:spacing w:after="120"/>
        <w:ind w:left="200"/>
      </w:pPr>
      <w:r>
        <w:rPr>
          <w:b/>
          <w:bCs/>
          <w:color w:val="B38B59"/>
        </w:rPr>
        <w:t xml:space="preserve">3. </w:t>
      </w:r>
      <w:r>
        <w:t xml:space="preserve">اختاروا ما إذا كان سيتم تضمين رمز QR (يُوجِّه إلى صفحة تحقق عبر الإنترنت).</w:t>
      </w:r>
    </w:p>
    <w:p>
      <w:pPr>
        <w:spacing w:after="120"/>
        <w:ind w:left="200"/>
      </w:pPr>
      <w:r>
        <w:rPr>
          <w:b/>
          <w:bCs/>
          <w:color w:val="B38B59"/>
        </w:rPr>
        <w:t xml:space="preserve">4. </w:t>
      </w:r>
      <w:r>
        <w:t xml:space="preserve">اختاروا صيغة الترقيم التلقائي (مثال: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إصدار شهادة يدويًا</w:t>
      </w:r>
      <w:bookmarkEnd w:id="1"/>
    </w:p>
    <w:p>
      <w:pPr>
        <w:spacing w:after="160"/>
      </w:pPr>
      <w:r>
        <w:t xml:space="preserve">من بطاقة طلب PrestaShop (كتلة Neria أسفل الصفحة)، يتيح زر إصدار شهادة توليد وإرسال ملف PDF يدويًا لطلب محدَّد.</w:t>
      </w:r>
    </w:p>
    <w:p>
      <w:pPr>
        <w:spacing w:after="180" w:before="120"/>
        <w:ind w:left="360"/>
      </w:pPr>
      <w:r>
        <w:rPr>
          <w:b/>
          <w:bCs/>
          <w:color w:val="CC4400"/>
        </w:rPr>
        <w:t xml:space="preserve">⚠️  تنبيه هام — </w:t>
      </w:r>
      <w:r>
        <w:t xml:space="preserve">تحتوي كل شهادة على رقم تسلسلي فريد. لا تكرّروا أو تُعيدوا استخدام شهادة بين المتاجر أبدًا.</w:t>
      </w:r>
    </w:p>
    <w:p>
      <w:r>
        <w:br w:type="page"/>
      </w:r>
    </w:p>
    <w:p>
      <w:pPr>
        <w:pStyle w:val="Heading1"/>
        <w:pageBreakBefore/>
        <w:spacing w:after="200" w:before="500"/>
      </w:pPr>
      <w:bookmarkStart w:name="sec115" w:id="1"/>
      <w:r>
        <w:t xml:space="preserve">31. مركز تفضيلات العميل</w:t>
      </w:r>
      <w:bookmarkEnd w:id="1"/>
    </w:p>
    <w:p>
      <w:pPr>
        <w:spacing w:after="160"/>
      </w:pPr>
      <w:r>
        <w:t xml:space="preserve">يتضمّن كل بريد إلكتروني تُرسله Neria رابط «إدارة تفضيلاتي» يتيح للعميل اختيار فئات رسائل البريد الإلكتروني التي يرغب في تلقّيها بدقة، دون إلغاء الاشتراك بالكامل.</w:t>
      </w:r>
    </w:p>
    <w:p>
      <w:pPr>
        <w:spacing w:after="160"/>
      </w:pPr>
      <w:r>
        <w:t xml:space="preserve">يمكن الوصول إلى صفحة التفضيلات عبر رابط «إدارة تفضيلاتي» الموجود في تذييل كل بريد إلكتروني. تُعرَض بنسق المتجر وتتيح للعميل تفعيل أو تعطيل كل فئة بريد إلكتروني بشكل مستقل.</w:t>
      </w:r>
    </w:p>
    <w:p>
      <w:pPr>
        <w:pStyle w:val="Heading2"/>
        <w:spacing w:after="140" w:before="320"/>
      </w:pPr>
      <w:bookmarkStart w:name="sec116" w:id="1"/>
      <w:r>
        <w:t xml:space="preserve">31.1 فئات التفضيلات</w:t>
      </w:r>
      <w:bookmarkEnd w:id="1"/>
    </w:p>
    <w:p>
      <w:pPr>
        <w:pStyle w:val="ListParagraph"/>
        <w:numPr>
          <w:ilvl w:val="0"/>
          <w:numId w:val="2"/>
        </w:numPr>
        <w:spacing w:after="80"/>
      </w:pPr>
      <w:r>
        <w:t xml:space="preserve">رسائل البريد المعاملاتية: تأكيد الطلب، الشحن، التسليم (مُفعَّلة دائمًا، غير قابلة للتعطيل).</w:t>
      </w:r>
    </w:p>
    <w:p>
      <w:pPr>
        <w:pStyle w:val="ListParagraph"/>
        <w:numPr>
          <w:ilvl w:val="0"/>
          <w:numId w:val="2"/>
        </w:numPr>
        <w:spacing w:after="80"/>
      </w:pPr>
      <w:r>
        <w:t xml:space="preserve">رسائل البريد التسويقية: الحملات، المناسبات التقويمية.</w:t>
      </w:r>
    </w:p>
    <w:p>
      <w:pPr>
        <w:pStyle w:val="ListParagraph"/>
        <w:numPr>
          <w:ilvl w:val="0"/>
          <w:numId w:val="2"/>
        </w:numPr>
        <w:spacing w:after="80"/>
      </w:pPr>
      <w:r>
        <w:t xml:space="preserve">السلال المهجورة: رسائل استرجاع السلة.</w:t>
      </w:r>
    </w:p>
    <w:p>
      <w:pPr>
        <w:pStyle w:val="ListParagraph"/>
        <w:numPr>
          <w:ilvl w:val="0"/>
          <w:numId w:val="2"/>
        </w:numPr>
        <w:spacing w:after="80"/>
      </w:pPr>
      <w:r>
        <w:t xml:space="preserve">برنامج الولاء: النقاط، المراحل، الملخص.</w:t>
      </w:r>
    </w:p>
    <w:p>
      <w:pPr>
        <w:pStyle w:val="ListParagraph"/>
        <w:numPr>
          <w:ilvl w:val="0"/>
          <w:numId w:val="2"/>
        </w:numPr>
        <w:spacing w:after="80"/>
      </w:pPr>
      <w:r>
        <w:t xml:space="preserve">رسائل البريد السلوكية: أعياد الميلاد، استعادة العملاء، ما بعد الشراء.</w:t>
      </w:r>
    </w:p>
    <w:p>
      <w:pPr>
        <w:pStyle w:val="ListParagraph"/>
        <w:numPr>
          <w:ilvl w:val="0"/>
          <w:numId w:val="2"/>
        </w:numPr>
        <w:spacing w:after="80"/>
      </w:pPr>
      <w:r>
        <w:t xml:space="preserve">رسائل البريد الموسمية: الحملات المتكررة للتاجر.</w:t>
      </w:r>
    </w:p>
    <w:p>
      <w:pPr>
        <w:pStyle w:val="ListParagraph"/>
        <w:numPr>
          <w:ilvl w:val="0"/>
          <w:numId w:val="2"/>
        </w:numPr>
        <w:spacing w:after="80"/>
      </w:pPr>
      <w:r>
        <w:t xml:space="preserve">رسائل البريد B2B: عروض الأسعار، التذكيرات المهنية.</w:t>
      </w:r>
    </w:p>
    <w:p>
      <w:pPr>
        <w:pStyle w:val="Heading2"/>
        <w:spacing w:after="140" w:before="320"/>
      </w:pPr>
      <w:bookmarkStart w:name="sec117" w:id="1"/>
      <w:r>
        <w:t xml:space="preserve">31.2 إلغاء الاشتراك الشامل</w:t>
      </w:r>
      <w:bookmarkEnd w:id="1"/>
    </w:p>
    <w:p>
      <w:pPr>
        <w:spacing w:after="160"/>
      </w:pPr>
      <w:r>
        <w:t xml:space="preserve">تتيح صفحة إلغاء الاشتراك (يمكن الوصول إليها عبر الرابط في تذييل البريد الإلكتروني) إلغاء اشتراك كامل ومُؤمَّن برمز HMAC-SHA256. متوافقة مع إلغاء الاشتراك بنقرة واحدة وفق RFC 8058 (Gmail، Yahoo).</w:t>
      </w:r>
    </w:p>
    <w:p>
      <w:pPr>
        <w:spacing w:after="160"/>
      </w:pPr>
      <w:r>
        <w:t xml:space="preserve">صفحة إلغاء الاشتراك مُؤمَّنة برمز HMAC-SHA256 فريد لكل عميل. تُعرَض بنسق المتجر وتقترح إلغاء اشتراك كامل بنقرة واحدة، متوافقة مع RFC 8058 (Gmail، Yahoo Mail).</w:t>
      </w:r>
    </w:p>
    <w:p>
      <w:r>
        <w:br w:type="page"/>
      </w:r>
    </w:p>
    <w:p>
      <w:pPr>
        <w:pStyle w:val="Heading1"/>
        <w:pageBreakBefore/>
        <w:spacing w:after="200" w:before="500"/>
      </w:pPr>
      <w:bookmarkStart w:name="sec118" w:id="1"/>
      <w:r>
        <w:t xml:space="preserve">32. علامة التبويب اللائحة العامة لحماية البيانات — التدقيق والامتثال</w:t>
      </w:r>
      <w:bookmarkEnd w:id="1"/>
    </w:p>
    <w:p>
      <w:pPr>
        <w:spacing w:after="160"/>
      </w:pPr>
      <w:r>
        <w:t xml:space="preserve">توفّر علامة التبويب اللائحة العامة لحماية البيانات لوحة قيادة امتثال تلقائية وأدوات لحذف البيانات الشخصية.</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درجة الامتثال</w:t>
      </w:r>
      <w:bookmarkEnd w:id="1"/>
    </w:p>
    <w:p>
      <w:pPr>
        <w:spacing w:after="160"/>
      </w:pPr>
      <w:r>
        <w:t xml:space="preserve">تحسب Neria تلقائيًا درجة امتثال للائحة العامة لحماية البيانات على 3 محاور: مدة الاحتفاظ بالبيانات (مقارنة بالمدد القانونية)، آلية الموافقة المُطبَّقة، والحق في النسيان التشغيلي. تُعرَض الدرجة الإجمالية مع نقاط التحسين المُفصَّلة.</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مدد الاحتفاظ</w:t>
      </w:r>
      <w:bookmarkEnd w:id="1"/>
    </w:p>
    <w:p>
      <w:pPr>
        <w:spacing w:after="160"/>
      </w:pPr>
      <w:r>
        <w:t xml:space="preserve">لكل جدول من جداول Neria مدة احتفاظ مُعدَّة (افتراضيًا: 36 شهرًا للإحصائيات، 12 شهرًا للسجلات التقنية). تُعرَض هذه المدد في جدول علامة التبويب اللائحة العامة لحماية البيانات.</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حذف البيانات</w:t>
      </w:r>
      <w:bookmarkEnd w:id="1"/>
    </w:p>
    <w:p>
      <w:pPr>
        <w:spacing w:after="120"/>
        <w:ind w:left="200"/>
      </w:pPr>
      <w:r>
        <w:rPr>
          <w:b/>
          <w:bCs/>
          <w:color w:val="B38B59"/>
        </w:rPr>
        <w:t xml:space="preserve">1. </w:t>
      </w:r>
      <w:r>
        <w:t xml:space="preserve">لحذف بيانات عميل محدَّد: انتقلوا إلى بطاقته في PS ← زر حذف بيانات Neria. تُحذَف جميع بياناته في جداول Neria.</w:t>
      </w:r>
    </w:p>
    <w:p>
      <w:pPr>
        <w:spacing w:after="120"/>
        <w:ind w:left="200"/>
      </w:pPr>
      <w:r>
        <w:rPr>
          <w:b/>
          <w:bCs/>
          <w:color w:val="B38B59"/>
        </w:rPr>
        <w:t xml:space="preserve">2. </w:t>
      </w:r>
      <w:r>
        <w:t xml:space="preserve">لحذف حسب القِدَم: في اللائحة العامة لحماية البيانات ← الحذف التلقائي، انقروا على حذف البيانات &gt; N شهرًا. تُنظِّف Neria جميع الجداول وفق مدد الاحتفاظ الخاصة بكل منها.</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ملاحظة — </w:t>
      </w:r>
      <w:r>
        <w:t xml:space="preserve">يُفعَّل الحذف الفردي تلقائيًا عبر خطاف actionDeleteGDPRCustomer عند حذف حساب من الوحدة الرسمية للائحة العامة لحماية البيانات في PrestaShop.</w:t>
      </w:r>
    </w:p>
    <w:p>
      <w:r>
        <w:br w:type="page"/>
      </w:r>
    </w:p>
    <w:p>
      <w:pPr>
        <w:pStyle w:val="Heading1"/>
        <w:pageBreakBefore/>
        <w:spacing w:after="200" w:before="500"/>
      </w:pPr>
      <w:bookmarkStart w:name="sec122" w:id="1"/>
      <w:r>
        <w:t xml:space="preserve">33. تشفير البيانات الحساسة</w:t>
      </w:r>
      <w:bookmarkEnd w:id="1"/>
    </w:p>
    <w:p>
      <w:pPr>
        <w:spacing w:after="160"/>
      </w:pPr>
      <w:r>
        <w:t xml:space="preserve">تُشفِّر Neria تلقائيًا جميع البيانات الحساسة المُخزَّنة في قاعدة البيانات عبر AES-256-GCM — خوارزمية التشفير المتماثل الموثَّق الأكثر متانة المتاحة في PHP. يُبلَّغ التاجر بذلك فور فتح لوحة التحكم عبر شريط حالة أعلى علامة التبويب الرئيسية.</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في حال وجود مشكلة (مفتاح مفقود، OpenSSL غير متاح)، يتحوّل الشريط إلى اللون الأحمر مع تفاصيل الخلل:</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ما الذي يُشفَّر</w:t>
      </w:r>
      <w:bookmarkEnd w:id="1"/>
    </w:p>
    <w:p>
      <w:pPr>
        <w:pStyle w:val="ListParagraph"/>
        <w:numPr>
          <w:ilvl w:val="0"/>
          <w:numId w:val="2"/>
        </w:numPr>
        <w:spacing w:after="80"/>
      </w:pPr>
      <w:r>
        <w:t xml:space="preserve">مفاتيح API الخارجية: DeepL، Google PageSpeed، SEMrush، Moz (معرِّف الوصول + السر)، Litmus، Email on Acid.</w:t>
      </w:r>
    </w:p>
    <w:p>
      <w:pPr>
        <w:pStyle w:val="ListParagraph"/>
        <w:numPr>
          <w:ilvl w:val="0"/>
          <w:numId w:val="2"/>
        </w:numPr>
        <w:spacing w:after="80"/>
      </w:pPr>
      <w:r>
        <w:t xml:space="preserve">OAuth Google: أسرار العميل، رموز الوصول ورموز التحديث — Postmaster Tools وSearch Console.</w:t>
      </w:r>
    </w:p>
    <w:p>
      <w:pPr>
        <w:pStyle w:val="ListParagraph"/>
        <w:numPr>
          <w:ilvl w:val="0"/>
          <w:numId w:val="2"/>
        </w:numPr>
        <w:spacing w:after="80"/>
      </w:pPr>
      <w:r>
        <w:t xml:space="preserve">أمان الـ webhooks والارتدادات: سر HMAC-SHA256 للـ webhooks الصادرة، كلمة مرور IMAP لإدارة الارتدادات.</w:t>
      </w:r>
    </w:p>
    <w:p>
      <w:pPr>
        <w:pStyle w:val="ListParagraph"/>
        <w:numPr>
          <w:ilvl w:val="0"/>
          <w:numId w:val="2"/>
        </w:numPr>
        <w:spacing w:after="80"/>
      </w:pPr>
      <w:r>
        <w:t xml:space="preserve">سجل رسائل بريد العملاء: حقل rendered_vars — المتغيرات المُخصَّصة لكل بريد إلكتروني مُؤرشَف (الاسم الأول، المبلغ، مراجع الطلب…).</w:t>
      </w:r>
    </w:p>
    <w:p>
      <w:pPr>
        <w:pStyle w:val="ListParagraph"/>
        <w:numPr>
          <w:ilvl w:val="0"/>
          <w:numId w:val="2"/>
        </w:numPr>
        <w:spacing w:after="80"/>
      </w:pPr>
      <w:r>
        <w:t xml:space="preserve">بيانات اللائحة العامة لحماية البيانات: صادرات التدقيق المُولَّدة من GdprAuditManager — بيانات شخصية مُستخرَجة لتقارير الامتثال.</w:t>
      </w:r>
    </w:p>
    <w:p>
      <w:pPr>
        <w:pStyle w:val="Heading2"/>
        <w:spacing w:after="140" w:before="320"/>
      </w:pPr>
      <w:bookmarkStart w:name="sec124" w:id="1"/>
      <w:r>
        <w:t xml:space="preserve">33.2 آلية العمل</w:t>
      </w:r>
      <w:bookmarkEnd w:id="1"/>
    </w:p>
    <w:p>
      <w:pPr>
        <w:pStyle w:val="ListParagraph"/>
        <w:numPr>
          <w:ilvl w:val="0"/>
          <w:numId w:val="2"/>
        </w:numPr>
        <w:spacing w:after="80"/>
      </w:pPr>
      <w:r>
        <w:t xml:space="preserve">يُولَّد مفتاح AES-256 تلقائيًا عند التثبيت ويُخزَّن في إعدادات PrestaShop، خارج قاعدة البيانات.</w:t>
      </w:r>
    </w:p>
    <w:p>
      <w:pPr>
        <w:pStyle w:val="ListParagraph"/>
        <w:numPr>
          <w:ilvl w:val="0"/>
          <w:numId w:val="2"/>
        </w:numPr>
        <w:spacing w:after="80"/>
      </w:pPr>
      <w:r>
        <w:t xml:space="preserve">يُولَّد متجه تهيئة (IV) عشوائي لكل تسجيل: تُنتج الرسالة نفسها شفرات مُختلفة.</w:t>
      </w:r>
    </w:p>
    <w:p>
      <w:pPr>
        <w:pStyle w:val="ListParagraph"/>
        <w:numPr>
          <w:ilvl w:val="0"/>
          <w:numId w:val="2"/>
        </w:numPr>
        <w:spacing w:after="80"/>
      </w:pPr>
      <w:r>
        <w:t xml:space="preserve">تشفير قبل الإدراج، وفك تشفير عند القراءة — شفاف تمامًا بالنسبة للميزات الأخرى.</w:t>
      </w:r>
    </w:p>
    <w:p>
      <w:pPr>
        <w:pStyle w:val="Heading2"/>
        <w:spacing w:after="140" w:before="320"/>
      </w:pPr>
      <w:bookmarkStart w:name="sec125" w:id="1"/>
      <w:r>
        <w:t xml:space="preserve">33.3 مراقبة Watchdog</w:t>
      </w:r>
      <w:bookmarkEnd w:id="1"/>
    </w:p>
    <w:p>
      <w:pPr>
        <w:spacing w:after="160"/>
      </w:pPr>
      <w:r>
        <w:t xml:space="preserve">يُنفِّذ Watchdog 4 فحوصات متمايزة على التشفير في كل تشخيص:</w:t>
      </w:r>
    </w:p>
    <w:p>
      <w:pPr>
        <w:pStyle w:val="ListParagraph"/>
        <w:numPr>
          <w:ilvl w:val="0"/>
          <w:numId w:val="2"/>
        </w:numPr>
        <w:spacing w:after="80"/>
      </w:pPr>
      <w:r>
        <w:t xml:space="preserve">اختبار الذهاب والإياب: يُشفِّر سلسلة عشوائية ويفكّ تشفيرها فورًا للتحقق من عمل المفتاح.</w:t>
      </w:r>
    </w:p>
    <w:p>
      <w:pPr>
        <w:pStyle w:val="ListParagraph"/>
        <w:numPr>
          <w:ilvl w:val="0"/>
          <w:numId w:val="2"/>
        </w:numPr>
        <w:spacing w:after="80"/>
      </w:pPr>
      <w:r>
        <w:t xml:space="preserve">اختبار على بيانات فعلية: يفكّ تشفير عيّنة من الأسرار المُخزَّنة مسبقًا في قاعدة البيانات — يكتشف ما إذا كان المفتاح قد استُبدل بعد استعادة.</w:t>
      </w:r>
    </w:p>
    <w:p>
      <w:pPr>
        <w:pStyle w:val="ListParagraph"/>
        <w:numPr>
          <w:ilvl w:val="0"/>
          <w:numId w:val="2"/>
        </w:numPr>
        <w:spacing w:after="80"/>
      </w:pPr>
      <w:r>
        <w:t xml:space="preserve">فحص استباقي: يتحقق من أن كل سر في القائمة المركزية مُشفَّر فعلاً وغير مُخزَّن بنص واضح.</w:t>
      </w:r>
    </w:p>
    <w:p>
      <w:pPr>
        <w:pStyle w:val="ListParagraph"/>
        <w:numPr>
          <w:ilvl w:val="0"/>
          <w:numId w:val="2"/>
        </w:numPr>
        <w:spacing w:after="80"/>
      </w:pPr>
      <w:r>
        <w:t xml:space="preserve">فحص التماسك: إذا كان OpenSSL غائبًا عن الخادم بينما توجد بيانات مُشفَّرة — تنبيه فوري.</w:t>
      </w:r>
    </w:p>
    <w:p>
      <w:pPr>
        <w:spacing w:after="160"/>
      </w:pPr>
      <w:r>
        <w:t xml:space="preserve">إذا اكتُشفت مشكلة، يتحوّل شريط الحالة إلى اللون الأحمر في لوحة التحكم، ويُرسَل تنبيه بالبريد الإلكتروني إلى التاجر.</w:t>
      </w:r>
    </w:p>
    <w:p>
      <w:pPr>
        <w:pStyle w:val="Heading2"/>
        <w:spacing w:after="140" w:before="320"/>
      </w:pPr>
      <w:bookmarkStart w:name="sec126" w:id="1"/>
      <w:r>
        <w:t xml:space="preserve">33.4 الترحيل الرجعي</w:t>
      </w:r>
      <w:bookmarkEnd w:id="1"/>
    </w:p>
    <w:p>
      <w:pPr>
        <w:spacing w:after="160"/>
      </w:pPr>
      <w:r>
        <w:t xml:space="preserve">إذا أُعدَّ مفتاح التشفير على تثبيت موجود، تُرحَّل تلقائيًا جميع البيانات بنص واضح الموجودة مسبقًا في قاعدة البيانات عند أول تشغيل. لا يلزم أي إجراء يدوي.</w:t>
      </w:r>
    </w:p>
    <w:p>
      <w:r>
        <w:br w:type="page"/>
      </w:r>
    </w:p>
    <w:p>
      <w:pPr>
        <w:pStyle w:val="Heading1"/>
        <w:pageBreakBefore/>
        <w:spacing w:after="200" w:before="500"/>
      </w:pPr>
      <w:bookmarkStart w:name="sec127" w:id="1"/>
      <w:r>
        <w:t xml:space="preserve">34. علامة التبويب Webhooks — التكاملات الخارجية</w:t>
      </w:r>
      <w:bookmarkEnd w:id="1"/>
    </w:p>
    <w:p>
      <w:pPr>
        <w:spacing w:after="160"/>
      </w:pPr>
      <w:r>
        <w:t xml:space="preserve">يمكن لـNeria إشعار تطبيقات خارجية (CRM، Zapier، Make، n8n…) عبر HTTP POST مُوقَّع بـHMAC-SHA256 عند 5 أحداث رئيسية.</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الأحداث المتاحة</w:t>
      </w:r>
      <w:bookmarkEnd w:id="1"/>
    </w:p>
    <w:p>
      <w:pPr>
        <w:pStyle w:val="ListParagraph"/>
        <w:numPr>
          <w:ilvl w:val="0"/>
          <w:numId w:val="2"/>
        </w:numPr>
        <w:spacing w:after="80"/>
      </w:pPr>
      <w:r>
        <w:t xml:space="preserve">email_sent: بريد إلكتروني أُرسل بنجاح.</w:t>
      </w:r>
    </w:p>
    <w:p>
      <w:pPr>
        <w:pStyle w:val="ListParagraph"/>
        <w:numPr>
          <w:ilvl w:val="0"/>
          <w:numId w:val="2"/>
        </w:numPr>
        <w:spacing w:after="80"/>
      </w:pPr>
      <w:r>
        <w:t xml:space="preserve">email_opened: بريد إلكتروني فتحه المستلم.</w:t>
      </w:r>
    </w:p>
    <w:p>
      <w:pPr>
        <w:pStyle w:val="ListParagraph"/>
        <w:numPr>
          <w:ilvl w:val="0"/>
          <w:numId w:val="2"/>
        </w:numPr>
        <w:spacing w:after="80"/>
      </w:pPr>
      <w:r>
        <w:t xml:space="preserve">conversion: شراء مُسنَد إلى بريد إلكتروني من Neria.</w:t>
      </w:r>
    </w:p>
    <w:p>
      <w:pPr>
        <w:pStyle w:val="ListParagraph"/>
        <w:numPr>
          <w:ilvl w:val="0"/>
          <w:numId w:val="2"/>
        </w:numPr>
        <w:spacing w:after="80"/>
      </w:pPr>
      <w:r>
        <w:t xml:space="preserve">unsubscribed: عميل ألغى اشتراكه.</w:t>
      </w:r>
    </w:p>
    <w:p>
      <w:pPr>
        <w:pStyle w:val="ListParagraph"/>
        <w:numPr>
          <w:ilvl w:val="0"/>
          <w:numId w:val="2"/>
        </w:numPr>
        <w:spacing w:after="80"/>
      </w:pPr>
      <w:r>
        <w:t xml:space="preserve">ab_winner: تعيين فائز اختبار A/B.</w:t>
      </w:r>
    </w:p>
    <w:p>
      <w:pPr>
        <w:pStyle w:val="Heading2"/>
        <w:spacing w:after="140" w:before="320"/>
      </w:pPr>
      <w:bookmarkStart w:name="sec129" w:id="1"/>
      <w:r>
        <w:t xml:space="preserve">34.2 إعداد نقطة نهاية</w:t>
      </w:r>
      <w:bookmarkEnd w:id="1"/>
    </w:p>
    <w:p>
      <w:pPr>
        <w:spacing w:after="120"/>
        <w:ind w:left="200"/>
      </w:pPr>
      <w:r>
        <w:rPr>
          <w:b/>
          <w:bCs/>
          <w:color w:val="B38B59"/>
        </w:rPr>
        <w:t xml:space="preserve">1. </w:t>
      </w:r>
      <w:r>
        <w:t xml:space="preserve">في علامة التبويب Webhooks، انقروا على إضافة نقطة نهاية.</w:t>
      </w:r>
    </w:p>
    <w:p>
      <w:pPr>
        <w:spacing w:after="120"/>
        <w:ind w:left="200"/>
      </w:pPr>
      <w:r>
        <w:rPr>
          <w:b/>
          <w:bCs/>
          <w:color w:val="B38B59"/>
        </w:rPr>
        <w:t xml:space="preserve">2. </w:t>
      </w:r>
      <w:r>
        <w:t xml:space="preserve">أدخلوا الرابط المستهدف (مثال: webhook الخاص بكم في Zapier أو Make).</w:t>
      </w:r>
    </w:p>
    <w:p>
      <w:pPr>
        <w:spacing w:after="120"/>
        <w:ind w:left="200"/>
      </w:pPr>
      <w:r>
        <w:rPr>
          <w:b/>
          <w:bCs/>
          <w:color w:val="B38B59"/>
        </w:rPr>
        <w:t xml:space="preserve">3. </w:t>
      </w:r>
      <w:r>
        <w:t xml:space="preserve">اختاروا الأحداث المُراد إشعارها.</w:t>
      </w:r>
    </w:p>
    <w:p>
      <w:pPr>
        <w:spacing w:after="120"/>
        <w:ind w:left="200"/>
      </w:pPr>
      <w:r>
        <w:rPr>
          <w:b/>
          <w:bCs/>
          <w:color w:val="B38B59"/>
        </w:rPr>
        <w:t xml:space="preserve">4. </w:t>
      </w:r>
      <w:r>
        <w:t xml:space="preserve">انسخوا السر HMAC المعروض للتحقق من التوقيع لدى المستقبل.</w:t>
      </w:r>
    </w:p>
    <w:p>
      <w:pPr>
        <w:spacing w:after="120"/>
        <w:ind w:left="200"/>
      </w:pPr>
      <w:r>
        <w:rPr>
          <w:b/>
          <w:bCs/>
          <w:color w:val="B38B59"/>
        </w:rPr>
        <w:t xml:space="preserve">5. </w:t>
      </w:r>
      <w:r>
        <w:t xml:space="preserve">انقروا على اختبار لإرسال حدث تجريبي.</w:t>
      </w:r>
    </w:p>
    <w:p>
      <w:pPr>
        <w:spacing w:after="180" w:before="120"/>
        <w:ind w:left="360"/>
      </w:pPr>
      <w:r>
        <w:rPr>
          <w:b/>
          <w:bCs/>
          <w:color w:val="B38B59"/>
        </w:rPr>
        <w:t xml:space="preserve">ℹ️  ملاحظة — </w:t>
      </w:r>
      <w:r>
        <w:t xml:space="preserve">في حال فشل التسليم (مهلة زمنية أو خطأ HTTP)، تُجري Neria 3 محاولات تلقائية بتأخير تصاعدي قبل التخلي. تُسجَّل الإخفاقات في سجل Watchdog.</w:t>
      </w:r>
    </w:p>
    <w:p>
      <w:r>
        <w:br w:type="page"/>
      </w:r>
    </w:p>
    <w:p>
      <w:pPr>
        <w:pStyle w:val="Heading1"/>
        <w:pageBreakBefore/>
        <w:spacing w:after="200" w:before="500"/>
      </w:pPr>
      <w:bookmarkStart w:name="sec130" w:id="1"/>
      <w:r>
        <w:t xml:space="preserve">35. الشاهد الصامت — الأرشفة بنسخة مخفية</w:t>
      </w:r>
      <w:bookmarkEnd w:id="1"/>
    </w:p>
    <w:p>
      <w:pPr>
        <w:spacing w:after="160"/>
      </w:pPr>
      <w:r>
        <w:t xml:space="preserve">يُرسل الشاهد الصامت نسخة مخفية (BCC) من كل بريد إلكتروني صادر إلى عنوان أرشفة قابل للتعديل. مفيد للتدقيق الداخلي، ومراقبة الجودة التحريرية، والتتبع القانوني للاتصالات.</w:t>
      </w:r>
    </w:p>
    <w:p>
      <w:pPr>
        <w:spacing w:after="120"/>
        <w:ind w:left="200"/>
      </w:pPr>
      <w:r>
        <w:rPr>
          <w:b/>
          <w:bCs/>
          <w:color w:val="B38B59"/>
        </w:rPr>
        <w:t xml:space="preserve">1. </w:t>
      </w:r>
      <w:r>
        <w:t xml:space="preserve">في الرئيسية ← الإعدادات العامة، فعّلوا مفتاح الشاهد الصامت.</w:t>
      </w:r>
    </w:p>
    <w:p>
      <w:pPr>
        <w:spacing w:after="120"/>
        <w:ind w:left="200"/>
      </w:pPr>
      <w:r>
        <w:rPr>
          <w:b/>
          <w:bCs/>
          <w:color w:val="B38B59"/>
        </w:rPr>
        <w:t xml:space="preserve">2. </w:t>
      </w:r>
      <w:r>
        <w:t xml:space="preserve">أدخلوا عنوان البريد الإلكتروني للأرشفة.</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البريد الإلكتروني الاحتياطي الذكي</w:t>
      </w:r>
      <w:bookmarkEnd w:id="1"/>
    </w:p>
    <w:p>
      <w:pPr>
        <w:spacing w:after="160"/>
      </w:pPr>
      <w:r>
        <w:t xml:space="preserve">إذا فشل عرض بريد إلكتروني لسبب تقني (قالب غير موجود، خطأ Smarty، متغير مفقود)، تُرسل Neria تلقائيًا بريدًا احتياطيًا أنيقًا (قالب neria_fallback) بدلاً من الصمت أو بريد إلكتروني أصلي مُتدهور من PrestaShop.</w:t>
      </w:r>
    </w:p>
    <w:p>
      <w:pPr>
        <w:spacing w:after="160"/>
      </w:pPr>
      <w:r>
        <w:t xml:space="preserve">يُسجَّل الحادث في Watchdog مع السياق الكامل (القالب، اللغة، العميل، رسالة الخطأ) للتصحيح لاحقًا. أما العميل، فيتلقّى دائمًا بريدًا إلكترونيًا مُتقَنًا.</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وضع الصمت — منع التكرار</w:t>
      </w:r>
      <w:bookmarkEnd w:id="1"/>
    </w:p>
    <w:p>
      <w:pPr>
        <w:spacing w:after="160"/>
      </w:pPr>
      <w:r>
        <w:t xml:space="preserve">يمنع وضع الصمت إرسال بريد إلكتروني مطابق للعميل نفسه خلال فترة زمنية قابلة للتعديل. إذا أُرسل قالب بالفعل مؤخرًا إلى المستلم نفسه، تحظر Neria الإرسال الثاني تلقائيًا وتُسجِّله.</w:t>
      </w:r>
    </w:p>
    <w:p>
      <w:pPr>
        <w:spacing w:after="120"/>
        <w:ind w:left="200"/>
      </w:pPr>
      <w:r>
        <w:rPr>
          <w:b/>
          <w:bCs/>
          <w:color w:val="B38B59"/>
        </w:rPr>
        <w:t xml:space="preserve">1. </w:t>
      </w:r>
      <w:r>
        <w:t xml:space="preserve">في الرئيسية ← الإعدادات العامة، فعّلوا وضع الصمت.</w:t>
      </w:r>
    </w:p>
    <w:p>
      <w:pPr>
        <w:spacing w:after="120"/>
        <w:ind w:left="200"/>
      </w:pPr>
      <w:r>
        <w:rPr>
          <w:b/>
          <w:bCs/>
          <w:color w:val="B38B59"/>
        </w:rPr>
        <w:t xml:space="preserve">2. </w:t>
      </w:r>
      <w:r>
        <w:t xml:space="preserve">أعدّوا فترة الحماية العامة (بالدقائق، من 1 إلى 60 — المُوصى به: 10 دقائق).</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ملاحظة — </w:t>
      </w:r>
      <w:r>
        <w:t xml:space="preserve">لا يحظر وضع الصمت أبدًا رسائل البريد المعاملاتية الحرجة (تأكيد الطلب، إعادة تعيين كلمة المرور). يُطبَّق فقط على رسائل البريد السلوكية والتسويقية.</w:t>
      </w:r>
    </w:p>
    <w:p>
      <w:r>
        <w:br w:type="page"/>
      </w:r>
    </w:p>
    <w:p>
      <w:pPr>
        <w:pStyle w:val="Heading1"/>
        <w:pageBreakBefore/>
        <w:spacing w:after="200" w:before="500"/>
      </w:pPr>
      <w:bookmarkStart w:name="sec133" w:id="1"/>
      <w:r>
        <w:t xml:space="preserve">38. علامة التبويب المساعدة — Watchdog والتشخيص</w:t>
      </w:r>
      <w:bookmarkEnd w:id="1"/>
    </w:p>
    <w:p>
      <w:pPr>
        <w:spacing w:after="160"/>
      </w:pPr>
      <w:r>
        <w:t xml:space="preserve">تتضمّن Neria نظام مراقبة داخلي (Watchdog) يتحقق باستمرار من أكثر من 100 نقطة فحص ويُسجِّل كل شيء في neria_log. علامة التبويب المساعدة هي مركز التحكم في صحة الوحدة.</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سجل الأحداث</w:t>
      </w:r>
      <w:bookmarkEnd w:id="1"/>
    </w:p>
    <w:p>
      <w:pPr>
        <w:spacing w:after="160"/>
      </w:pPr>
      <w:r>
        <w:t xml:space="preserve">يعرض السجل جميع الأحداث بثلاث درجات خطورة:</w:t>
      </w:r>
    </w:p>
    <w:p>
      <w:pPr>
        <w:pStyle w:val="ListParagraph"/>
        <w:numPr>
          <w:ilvl w:val="0"/>
          <w:numId w:val="2"/>
        </w:numPr>
        <w:spacing w:after="80"/>
      </w:pPr>
      <w:r>
        <w:t xml:space="preserve">INFO — عمل عادي، عمليات إرسال مُؤكَّدة، عمليات حذف مُنفَّذة.</w:t>
      </w:r>
    </w:p>
    <w:p>
      <w:pPr>
        <w:pStyle w:val="ListParagraph"/>
        <w:numPr>
          <w:ilvl w:val="0"/>
          <w:numId w:val="2"/>
        </w:numPr>
        <w:spacing w:after="80"/>
      </w:pPr>
      <w:r>
        <w:t xml:space="preserve">WARNING — نقطة تستحق المراقبة، دون تأثير فوري (مثال: انخفاض درجة قابلية التسليم).</w:t>
      </w:r>
    </w:p>
    <w:p>
      <w:pPr>
        <w:pStyle w:val="ListParagraph"/>
        <w:numPr>
          <w:ilvl w:val="0"/>
          <w:numId w:val="2"/>
        </w:numPr>
        <w:spacing w:after="80"/>
      </w:pPr>
      <w:r>
        <w:t xml:space="preserve">ERROR — خلل يستوجب التصحيح (مثال: فشل الإرسال، خطأ العرض).</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التنبيهات التلقائية</w:t>
      </w:r>
      <w:bookmarkEnd w:id="1"/>
    </w:p>
    <w:p>
      <w:pPr>
        <w:pStyle w:val="ListParagraph"/>
        <w:numPr>
          <w:ilvl w:val="0"/>
          <w:numId w:val="2"/>
        </w:numPr>
        <w:spacing w:after="80"/>
      </w:pPr>
      <w:r>
        <w:t xml:space="preserve">يُفعِّل أي خطأ من مستوى ERROR بريد تنبيه فوري للتاجر.</w:t>
      </w:r>
    </w:p>
    <w:p>
      <w:pPr>
        <w:pStyle w:val="ListParagraph"/>
        <w:numPr>
          <w:ilvl w:val="0"/>
          <w:numId w:val="2"/>
        </w:numPr>
        <w:spacing w:after="80"/>
      </w:pPr>
      <w:r>
        <w:t xml:space="preserve">تُجمَّع تحذيرات WARNING في ملخص يومي لتجنّب إغراق صندوق البريد الإلكتروني.</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الإصلاح الذاتي</w:t>
      </w:r>
      <w:bookmarkEnd w:id="1"/>
    </w:p>
    <w:p>
      <w:pPr>
        <w:spacing w:after="160"/>
      </w:pPr>
      <w:r>
        <w:t xml:space="preserve">بعض الاختلالات الطفيفة — درجات سلوكية لم تُعاد حسابتها، تقسيم بائد، ذاكرة تخزين مؤقت للترجمة منتهية الصلاحية — تُصحَّح تلقائيًا من قِبل Watchdog دون تدخل. تُذكَر هذه التصحيحات في السجل بعبارة «صُحِّح تلقائيًا».</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التشخيص الكامل</w:t>
      </w:r>
      <w:bookmarkEnd w:id="1"/>
    </w:p>
    <w:p>
      <w:pPr>
        <w:spacing w:after="120"/>
        <w:ind w:left="200"/>
      </w:pPr>
      <w:r>
        <w:rPr>
          <w:b/>
          <w:bCs/>
          <w:color w:val="B38B59"/>
        </w:rPr>
        <w:t xml:space="preserve">1. </w:t>
      </w:r>
      <w:r>
        <w:t xml:space="preserve">في علامة التبويب المساعدة، انقروا على إطلاق التشخيص الكامل.</w:t>
      </w:r>
    </w:p>
    <w:p>
      <w:pPr>
        <w:spacing w:after="120"/>
        <w:ind w:left="200"/>
      </w:pPr>
      <w:r>
        <w:rPr>
          <w:b/>
          <w:bCs/>
          <w:color w:val="B38B59"/>
        </w:rPr>
        <w:t xml:space="preserve">2. </w:t>
      </w:r>
      <w:r>
        <w:t xml:space="preserve">تُنفِّذ Neria أكثر من 100 فحص صحة وتعرض تقريرًا مُفصَّلاً: الخطافات المُسجَّلة، حالة الجداول، التراخيص، الجدولة الزمنية، الإعدادات.</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صفحة الطوارئ</w:t>
      </w:r>
      <w:bookmarkEnd w:id="1"/>
    </w:p>
    <w:p>
      <w:pPr>
        <w:spacing w:after="160"/>
      </w:pPr>
      <w:r>
        <w:t xml:space="preserve">في حال تعطّل حرج للوحة تحكم PrestaShop، تتوفّر صفحة تشخيص مستقلة على الرابط: https://votre-boutique.com/modules/neria/neria-emergency.php?token=VOTRE_TOKEN. تعمل بشكل مستقل عن PrestaShop.</w:t>
      </w:r>
    </w:p>
    <w:p>
      <w:pPr>
        <w:spacing w:after="120"/>
        <w:ind w:left="200"/>
      </w:pPr>
      <w:r>
        <w:rPr>
          <w:b/>
          <w:bCs/>
          <w:color w:val="B38B59"/>
        </w:rPr>
        <w:t xml:space="preserve">1. </w:t>
      </w:r>
      <w:r>
        <w:t xml:space="preserve">احصلوا على رمز الطوارئ من المساعدة ← رمز الطوارئ.</w:t>
      </w:r>
    </w:p>
    <w:p>
      <w:pPr>
        <w:spacing w:after="120"/>
        <w:ind w:left="200"/>
      </w:pPr>
      <w:r>
        <w:rPr>
          <w:b/>
          <w:bCs/>
          <w:color w:val="B38B59"/>
        </w:rPr>
        <w:t xml:space="preserve">2. </w:t>
      </w:r>
      <w:r>
        <w:t xml:space="preserve">ادخلوا إلى الرابط أعلاه برمزكم.</w:t>
      </w:r>
    </w:p>
    <w:p>
      <w:pPr>
        <w:spacing w:after="120"/>
        <w:ind w:left="200"/>
      </w:pPr>
      <w:r>
        <w:rPr>
          <w:b/>
          <w:bCs/>
          <w:color w:val="B38B59"/>
        </w:rPr>
        <w:t xml:space="preserve">3. </w:t>
      </w:r>
      <w:r>
        <w:t xml:space="preserve">تعرض الصفحة حالة الوحدة، آخر الأخطاء، وأزرار إصلاح سريع.</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مركز التحكم</w:t>
      </w:r>
      <w:bookmarkEnd w:id="1"/>
    </w:p>
    <w:p>
      <w:pPr>
        <w:spacing w:after="160"/>
      </w:pPr>
      <w:r>
        <w:t xml:space="preserve">يتيح مركز التحكم للتاجر إظهار أو إخفاء روابط كل ميزة في قائمة Neria، دون تعديل حالتها الفعلية للتفعيل/التعطيل. مفيد لتبسيط القائمة إذا لم تكن بعض الميزات المتقدمة مُستخدَمة.</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لكل ميزة، تُشير النقطة الملوَّنة إلى حالتها الفعلية (أخضر = فعّالة، أحمر = غير فعّالة).</w:t>
      </w:r>
    </w:p>
    <w:p>
      <w:pPr>
        <w:spacing w:after="120"/>
        <w:ind w:left="200"/>
      </w:pPr>
      <w:r>
        <w:rPr>
          <w:b/>
          <w:bCs/>
          <w:color w:val="B38B59"/>
        </w:rPr>
        <w:t xml:space="preserve">2. </w:t>
      </w:r>
      <w:r>
        <w:t xml:space="preserve">يتحكّم زر التبديل على اليسار في ظهور الرابط في القائمة (بشكل مستقل عن الحالة).</w:t>
      </w:r>
    </w:p>
    <w:p>
      <w:pPr>
        <w:spacing w:after="120"/>
        <w:ind w:left="200"/>
      </w:pPr>
      <w:r>
        <w:rPr>
          <w:b/>
          <w:bCs/>
          <w:color w:val="B38B59"/>
        </w:rPr>
        <w:t xml:space="preserve">3. </w:t>
      </w:r>
      <w:r>
        <w:t xml:space="preserve">إخفاء رابط لا يُعطِّل الميزة — تستمر في العمل في الخلفية.</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أكاديمية Neria</w:t>
      </w:r>
      <w:bookmarkEnd w:id="1"/>
    </w:p>
    <w:p>
      <w:pPr>
        <w:spacing w:after="160"/>
      </w:pPr>
      <w:r>
        <w:t xml:space="preserve">تُتيح علامة التبويب الأكاديمية أدلة تدريبية مُدمَجة مباشرة في لوحة التحكم، بلغة التاجر. ثمانية أدلة متاحة عند التثبيت.</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الدليل 1: لماذا ينخفض معدل فتح رسائلي — 8 أسباب • تشخيص • حلول Neria.</w:t>
      </w:r>
    </w:p>
    <w:p>
      <w:pPr>
        <w:pStyle w:val="ListParagraph"/>
        <w:numPr>
          <w:ilvl w:val="0"/>
          <w:numId w:val="2"/>
        </w:numPr>
        <w:spacing w:after="80"/>
      </w:pPr>
      <w:r>
        <w:t xml:space="preserve">الدليل 2: كتابة موضوع فعّال — 5 قواعد • أمثلة قبل/بعد • كلمات يجب تجنّبها.</w:t>
      </w:r>
    </w:p>
    <w:p>
      <w:pPr>
        <w:pStyle w:val="ListParagraph"/>
        <w:numPr>
          <w:ilvl w:val="0"/>
          <w:numId w:val="2"/>
        </w:numPr>
        <w:spacing w:after="80"/>
      </w:pPr>
      <w:r>
        <w:t xml:space="preserve">الدليل 3: اللائحة العامة لحماية البيانات ورسائل البريد الإلكتروني: الأساسيات — 3 أسس قانونية • الالتزامات • قائمة تحقق كاملة.</w:t>
      </w:r>
    </w:p>
    <w:p>
      <w:pPr>
        <w:pStyle w:val="ListParagraph"/>
        <w:numPr>
          <w:ilvl w:val="0"/>
          <w:numId w:val="2"/>
        </w:numPr>
        <w:spacing w:after="80"/>
      </w:pPr>
      <w:r>
        <w:t xml:space="preserve">الدليل 4: لماذا تنتهي رسائلي في مجلد الرسائل المزعجة — 4 ركائز • المصادقة • السمعة • المحتوى.</w:t>
      </w:r>
    </w:p>
    <w:p>
      <w:pPr>
        <w:pStyle w:val="ListParagraph"/>
        <w:numPr>
          <w:ilvl w:val="0"/>
          <w:numId w:val="2"/>
        </w:numPr>
        <w:spacing w:after="80"/>
      </w:pPr>
      <w:r>
        <w:t xml:space="preserve">الدليل 5: استخدام التقسيم السلوكي — 5 شرائح • الاستهداف • استراتيجيات حسب الملف الشخصي.</w:t>
      </w:r>
    </w:p>
    <w:p>
      <w:pPr>
        <w:pStyle w:val="ListParagraph"/>
        <w:numPr>
          <w:ilvl w:val="0"/>
          <w:numId w:val="2"/>
        </w:numPr>
        <w:spacing w:after="80"/>
      </w:pPr>
      <w:r>
        <w:t xml:space="preserve">الدليل 6: الولاء والبيع الإضافي: زيادة قيمة العميل — 3 مراحل • النقاط • البيع الإضافي بعد الشراء.</w:t>
      </w:r>
    </w:p>
    <w:p>
      <w:pPr>
        <w:pStyle w:val="ListParagraph"/>
        <w:numPr>
          <w:ilvl w:val="0"/>
          <w:numId w:val="2"/>
        </w:numPr>
        <w:spacing w:after="80"/>
      </w:pPr>
      <w:r>
        <w:t xml:space="preserve">الدليل 7: اختبارات A/B: الاختبار دون أخطاء — 4 قواعد • عتبات إحصائية • ما يستحق الاختبار.</w:t>
      </w:r>
    </w:p>
    <w:p>
      <w:pPr>
        <w:pStyle w:val="ListParagraph"/>
        <w:numPr>
          <w:ilvl w:val="0"/>
          <w:numId w:val="2"/>
        </w:numPr>
        <w:spacing w:after="80"/>
      </w:pPr>
      <w:r>
        <w:t xml:space="preserve">الدليل 8: استرجاع سلة دون إزعاج — 3 تذكيرات • وتيرة ساعة/24 ساعة/72 ساعة • إيقاف تلقائي.</w:t>
      </w:r>
    </w:p>
    <w:p>
      <w:pPr>
        <w:spacing w:after="120"/>
        <w:ind w:left="200"/>
      </w:pPr>
      <w:r>
        <w:rPr>
          <w:b/>
          <w:bCs/>
          <w:color w:val="B38B59"/>
        </w:rPr>
        <w:t xml:space="preserve">1. </w:t>
      </w:r>
      <w:r>
        <w:t xml:space="preserve">انقروا على دليل لفتحه بملء الصفحة في لوحة التحكم.</w:t>
      </w:r>
    </w:p>
    <w:p>
      <w:pPr>
        <w:spacing w:after="120"/>
        <w:ind w:left="200"/>
      </w:pPr>
      <w:r>
        <w:rPr>
          <w:b/>
          <w:bCs/>
          <w:color w:val="B38B59"/>
        </w:rPr>
        <w:t xml:space="preserve">2. </w:t>
      </w:r>
      <w:r>
        <w:t xml:space="preserve">كل دليل متاح باللغات الـ19 للوحدة.</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كتالوج القوالب الـ117</w:t>
      </w:r>
      <w:bookmarkEnd w:id="1"/>
    </w:p>
    <w:p>
      <w:pPr>
        <w:spacing w:after="160"/>
      </w:pPr>
      <w:r>
        <w:t xml:space="preserve">تتضمّن Neria 117 قالبًا بصيغتي HTML وTXT في 19 لغة، مُنظَّمة في 7 فئات.</w:t>
      </w:r>
    </w:p>
    <w:p>
      <w:pPr>
        <w:pStyle w:val="Heading2"/>
        <w:spacing w:after="140" w:before="320"/>
      </w:pPr>
      <w:bookmarkStart w:name="sec142" w:id="1"/>
      <w:r>
        <w:t xml:space="preserve">41.1 رسائل PrestaShop المعاملاتية (مُعاد تصميمها)</w:t>
      </w:r>
      <w:bookmarkEnd w:id="1"/>
    </w:p>
    <w:p>
      <w:pPr>
        <w:pStyle w:val="ListParagraph"/>
        <w:numPr>
          <w:ilvl w:val="0"/>
          <w:numId w:val="2"/>
        </w:numPr>
        <w:spacing w:after="80"/>
      </w:pPr>
      <w:r>
        <w:t xml:space="preserve">order_conf، payment، shipped, delivered، in_transit، password، newsletter، account، guest_tracking_info، return_slip، log_alert، reply_msg، وجميع القوالب القياسية لـPrestaShop.</w:t>
      </w:r>
    </w:p>
    <w:p>
      <w:pPr>
        <w:pStyle w:val="Heading2"/>
        <w:spacing w:after="140" w:before="320"/>
      </w:pPr>
      <w:bookmarkStart w:name="sec143" w:id="1"/>
      <w:r>
        <w:t xml:space="preserve">41.2 رسائل البريد السلوكية</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رسائل الفخامة والتجربة</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رسائل الولاء</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الرسائل التقويمية</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ومتغيرات أخرى.</w:t>
      </w:r>
    </w:p>
    <w:p>
      <w:pPr>
        <w:pStyle w:val="Heading2"/>
        <w:spacing w:after="140" w:before="320"/>
      </w:pPr>
      <w:bookmarkStart w:name="sec147" w:id="1"/>
      <w:r>
        <w:t xml:space="preserve">41.6 رسائل B2B</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رسائل نظام Neria</w:t>
      </w:r>
      <w:bookmarkEnd w:id="1"/>
    </w:p>
    <w:p>
      <w:pPr>
        <w:pStyle w:val="ListParagraph"/>
        <w:numPr>
          <w:ilvl w:val="0"/>
          <w:numId w:val="2"/>
        </w:numPr>
        <w:spacing w:after="80"/>
      </w:pPr>
      <w:r>
        <w:t xml:space="preserve">neria_fallback (بريد احتياطي)، log_alert (تنبيه Watchdog)،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الأسئلة الشائعة</w:t>
      </w:r>
      <w:bookmarkEnd w:id="1"/>
    </w:p>
    <w:p>
      <w:pPr>
        <w:pStyle w:val="Heading2"/>
        <w:spacing w:after="140" w:before="320"/>
      </w:pPr>
      <w:bookmarkStart w:name="sec150" w:id="1"/>
      <w:r>
        <w:t xml:space="preserve">رسائل البريد الإلكتروني لا تُرسَل — ما الذي يجب التحقق منه؟</w:t>
      </w:r>
      <w:bookmarkEnd w:id="1"/>
    </w:p>
    <w:p>
      <w:pPr>
        <w:pStyle w:val="ListParagraph"/>
        <w:numPr>
          <w:ilvl w:val="0"/>
          <w:numId w:val="2"/>
        </w:numPr>
        <w:spacing w:after="80"/>
      </w:pPr>
      <w:r>
        <w:t xml:space="preserve">علامة التبويب المساعدة ← سجل Watchdog: يُسجَّل الخطأ دائمًا في حال الفشل.</w:t>
      </w:r>
    </w:p>
    <w:p>
      <w:pPr>
        <w:pStyle w:val="ListParagraph"/>
        <w:numPr>
          <w:ilvl w:val="0"/>
          <w:numId w:val="2"/>
        </w:numPr>
        <w:spacing w:after="80"/>
      </w:pPr>
      <w:r>
        <w:t xml:space="preserve">تحقّقوا من أن ترخيصكم فعّال (شريط أخضر في أي علامة تبويب لـNeria).</w:t>
      </w:r>
    </w:p>
    <w:p>
      <w:pPr>
        <w:pStyle w:val="ListParagraph"/>
        <w:numPr>
          <w:ilvl w:val="0"/>
          <w:numId w:val="2"/>
        </w:numPr>
        <w:spacing w:after="80"/>
      </w:pPr>
      <w:r>
        <w:t xml:space="preserve">تحقّقوا من إعداد SMTP في PrestaShop (الإعدادات المتقدمة ← البريد الإلكتروني): لا ترسل Neria البريد بنفسها، بل تعتمد على آلية الإرسال الأصلية لـPrestaShop.</w:t>
      </w:r>
    </w:p>
    <w:p>
      <w:pPr>
        <w:pStyle w:val="ListParagraph"/>
        <w:numPr>
          <w:ilvl w:val="0"/>
          <w:numId w:val="2"/>
        </w:numPr>
        <w:spacing w:after="80"/>
      </w:pPr>
      <w:r>
        <w:t xml:space="preserve">اختبروا الإرسال من الإعدادات المتقدمة ← البريد الإلكتروني ← إرسال بريد إلكتروني تجريبي.</w:t>
      </w:r>
    </w:p>
    <w:p>
      <w:pPr>
        <w:pStyle w:val="Heading2"/>
        <w:spacing w:after="140" w:before="320"/>
      </w:pPr>
      <w:bookmarkStart w:name="sec151" w:id="1"/>
      <w:r>
        <w:t xml:space="preserve">هل يمكنني تخصيص نص بريد إلكتروني محدَّد؟</w:t>
      </w:r>
      <w:bookmarkEnd w:id="1"/>
    </w:p>
    <w:p>
      <w:pPr>
        <w:spacing w:after="160"/>
      </w:pPr>
      <w:r>
        <w:t xml:space="preserve">نعم، من علامة التبويب الترجمات: كل قالب قابل للتحرير بشكل مستقل، بكل لغة من اللغات الـ19، مع معاينة حيّة قبل الحفظ.</w:t>
      </w:r>
    </w:p>
    <w:p>
      <w:pPr>
        <w:pStyle w:val="Heading2"/>
        <w:spacing w:after="140" w:before="320"/>
      </w:pPr>
      <w:bookmarkStart w:name="sec152" w:id="1"/>
      <w:r>
        <w:t xml:space="preserve">قالب لا يناسبني — هل يمكنني تعطيله؟</w:t>
      </w:r>
      <w:bookmarkEnd w:id="1"/>
    </w:p>
    <w:p>
      <w:pPr>
        <w:spacing w:after="160"/>
      </w:pPr>
      <w:r>
        <w:t xml:space="preserve">نعم، عبر وظيفة استبعاد القوالب في علامة التبويب الرئيسية. تترك Neria حينها PrestaShop يُدير هذا الإرسال بعرضه الأصلي.</w:t>
      </w:r>
    </w:p>
    <w:p>
      <w:pPr>
        <w:pStyle w:val="Heading2"/>
        <w:spacing w:after="140" w:before="320"/>
      </w:pPr>
      <w:bookmarkStart w:name="sec153" w:id="1"/>
      <w:r>
        <w:t xml:space="preserve">كيف أُخصِّص وقت إرسال الأتمتة؟</w:t>
      </w:r>
      <w:bookmarkEnd w:id="1"/>
    </w:p>
    <w:p>
      <w:pPr>
        <w:spacing w:after="160"/>
      </w:pPr>
      <w:r>
        <w:t xml:space="preserve">أعدّوا وقت تنفيذ الجدولة الزمنية لخادمكم. تُشير توصيات الساعة الذهبية (علامة التبويب الإحصائيات) إلى أفضل وقت لعملائكم.</w:t>
      </w:r>
    </w:p>
    <w:p>
      <w:pPr>
        <w:pStyle w:val="Heading2"/>
        <w:spacing w:after="140" w:before="320"/>
      </w:pPr>
      <w:bookmarkStart w:name="sec154" w:id="1"/>
      <w:r>
        <w:t xml:space="preserve">هل تُبطئ الوحدة متجري؟</w:t>
      </w:r>
      <w:bookmarkEnd w:id="1"/>
    </w:p>
    <w:p>
      <w:pPr>
        <w:spacing w:after="160"/>
      </w:pPr>
      <w:r>
        <w:t xml:space="preserve">لا: يُخزَّن عرض رسائل البريد الإلكتروني مؤقتًا في قاعدة البيانات ويُعاد توليده فقط عند إرسال فعلي أو تغيير في الإعدادات. تعمل الأتمتة في مهمة خلفية عبر الجدولة الزمنية، أبدًا أثناء تصفح زائر.</w:t>
      </w:r>
    </w:p>
    <w:p>
      <w:pPr>
        <w:pStyle w:val="Heading2"/>
        <w:spacing w:after="140" w:before="320"/>
      </w:pPr>
      <w:bookmarkStart w:name="sec155" w:id="1"/>
      <w:r>
        <w:t xml:space="preserve">كيف أحصل على مساعدة؟</w:t>
      </w:r>
      <w:bookmarkEnd w:id="1"/>
    </w:p>
    <w:p>
      <w:pPr>
        <w:spacing w:after="160"/>
      </w:pPr>
      <w:r>
        <w:t xml:space="preserve">عبر البريد الإلكتروني support@neriasoftware.com (رد خلال 24 ساعة عمل) أو عبر PrestaShop Addons ← حسابكم ← المساعدة ← Neria. حدّدوا إصدار الوحدة (المرئي في الوحدات ← Neria) وأرفقوا مقتطفًا من سجل Watchdog إن أمكن.</w:t>
      </w:r>
    </w:p>
    <w:p>
      <w:r>
        <w:br w:type="page"/>
      </w:r>
    </w:p>
    <w:p>
      <w:pPr>
        <w:pStyle w:val="Heading1"/>
        <w:pageBreakBefore/>
        <w:spacing w:after="200" w:before="500"/>
      </w:pPr>
      <w:bookmarkStart w:name="sec156" w:id="1"/>
      <w:r>
        <w:t xml:space="preserve">43. الدعم والعناية بالأعمال</w:t>
      </w:r>
      <w:bookmarkEnd w:id="1"/>
    </w:p>
    <w:p>
      <w:pPr>
        <w:pStyle w:val="Heading2"/>
        <w:spacing w:after="140" w:before="320"/>
      </w:pPr>
      <w:bookmarkStart w:name="sec157" w:id="1"/>
      <w:r>
        <w:t xml:space="preserve">43.1 الدعم التقني</w:t>
      </w:r>
      <w:bookmarkEnd w:id="1"/>
    </w:p>
    <w:p>
      <w:pPr>
        <w:pStyle w:val="ListParagraph"/>
        <w:numPr>
          <w:ilvl w:val="0"/>
          <w:numId w:val="2"/>
        </w:numPr>
        <w:spacing w:after="80"/>
      </w:pPr>
      <w:r>
        <w:t xml:space="preserve">البريد الإلكتروني: support@neriasoftware.com</w:t>
      </w:r>
    </w:p>
    <w:p>
      <w:pPr>
        <w:pStyle w:val="ListParagraph"/>
        <w:numPr>
          <w:ilvl w:val="0"/>
          <w:numId w:val="2"/>
        </w:numPr>
        <w:spacing w:after="80"/>
      </w:pPr>
      <w:r>
        <w:t xml:space="preserve">مهلة الرد المضمونة: 24 ساعة عمل (من الاثنين إلى الجمعة).</w:t>
      </w:r>
    </w:p>
    <w:p>
      <w:pPr>
        <w:pStyle w:val="ListParagraph"/>
        <w:numPr>
          <w:ilvl w:val="0"/>
          <w:numId w:val="2"/>
        </w:numPr>
        <w:spacing w:after="80"/>
      </w:pPr>
      <w:r>
        <w:t xml:space="preserve">اللغات: الفرنسية والإنجليزية.</w:t>
      </w:r>
    </w:p>
    <w:p>
      <w:pPr>
        <w:pStyle w:val="Heading2"/>
        <w:spacing w:after="140" w:before="320"/>
      </w:pPr>
      <w:bookmarkStart w:name="sec158" w:id="1"/>
      <w:r>
        <w:t xml:space="preserve">43.2 العناية بالأعمال — 12 شهرًا مُضمَّنة</w:t>
      </w:r>
      <w:bookmarkEnd w:id="1"/>
    </w:p>
    <w:p>
      <w:pPr>
        <w:spacing w:after="160"/>
      </w:pPr>
      <w:r>
        <w:t xml:space="preserve">يتضمّن كل ترخيص Neria 12 شهرًا من العناية بالأعمال تُغطِّي:</w:t>
      </w:r>
    </w:p>
    <w:p>
      <w:pPr>
        <w:pStyle w:val="ListParagraph"/>
        <w:numPr>
          <w:ilvl w:val="0"/>
          <w:numId w:val="2"/>
        </w:numPr>
        <w:spacing w:after="80"/>
      </w:pPr>
      <w:r>
        <w:t xml:space="preserve">تحديثات الوحدة (ميزات جديدة، إصلاحات أمنية، توافقية مع إصدارات PrestaShop الجديدة).</w:t>
      </w:r>
    </w:p>
    <w:p>
      <w:pPr>
        <w:pStyle w:val="ListParagraph"/>
        <w:numPr>
          <w:ilvl w:val="0"/>
          <w:numId w:val="2"/>
        </w:numPr>
        <w:spacing w:after="80"/>
      </w:pPr>
      <w:r>
        <w:t xml:space="preserve">دعم تقني عبر البريد الإلكتروني لأسئلة التثبيت والإعداد والاستخدام.</w:t>
      </w:r>
    </w:p>
    <w:p>
      <w:pPr>
        <w:pStyle w:val="ListParagraph"/>
        <w:numPr>
          <w:ilvl w:val="0"/>
          <w:numId w:val="2"/>
        </w:numPr>
        <w:spacing w:after="80"/>
      </w:pPr>
      <w:r>
        <w:t xml:space="preserve">تحديث قاعدة الترجمات (لغات جديدة أو تصحيحات لغوية).</w:t>
      </w:r>
    </w:p>
    <w:p>
      <w:pPr>
        <w:pStyle w:val="Heading2"/>
        <w:spacing w:after="140" w:before="320"/>
      </w:pPr>
      <w:bookmarkStart w:name="sec159" w:id="1"/>
      <w:r>
        <w:t xml:space="preserve">43.3 التجديد</w:t>
      </w:r>
      <w:bookmarkEnd w:id="1"/>
    </w:p>
    <w:p>
      <w:pPr>
        <w:spacing w:after="160"/>
      </w:pPr>
      <w:r>
        <w:t xml:space="preserve">بعد 12 شهرًا، تستمر الوحدة في العمل إلى أجل غير مسمى بالإصدار المُثبَّت. تجديد العناية بالأعمال اختياري ويتيح الاستمرار في تلقّي التحديثات والدعم.</w:t>
      </w:r>
    </w:p>
    <w:p>
      <w:r>
        <w:br w:type="page"/>
      </w:r>
    </w:p>
    <w:p>
      <w:pPr>
        <w:pStyle w:val="Heading1"/>
        <w:pageBreakBefore/>
        <w:spacing w:after="200" w:before="500"/>
      </w:pPr>
      <w:bookmarkStart w:name="sec160" w:id="1"/>
      <w:r>
        <w:t xml:space="preserve">الملحق أ — الإشعارات القانونية</w:t>
      </w:r>
      <w:bookmarkEnd w:id="1"/>
    </w:p>
    <w:p>
      <w:pPr>
        <w:pStyle w:val="Heading2"/>
        <w:spacing w:after="140" w:before="320"/>
      </w:pPr>
      <w:bookmarkStart w:name="sec161" w:id="1"/>
      <w:r>
        <w:t xml:space="preserve">أ.1 ترخيص الوحدة</w:t>
      </w:r>
      <w:bookmarkEnd w:id="1"/>
    </w:p>
    <w:p>
      <w:pPr>
        <w:spacing w:after="160"/>
      </w:pPr>
      <w:r>
        <w:t xml:space="preserve">تُوزَّع Neria — Luxury Email Suite بموجب رخصة Academic Free License 3.0 (AFL-3.0)، وفقًا لمتطلبات PrestaShop Addons.</w:t>
      </w:r>
    </w:p>
    <w:p>
      <w:pPr>
        <w:pStyle w:val="Heading2"/>
        <w:spacing w:after="140" w:before="320"/>
      </w:pPr>
      <w:bookmarkStart w:name="sec162" w:id="1"/>
      <w:r>
        <w:t xml:space="preserve">أ.2 حقوق النشر</w:t>
      </w:r>
      <w:bookmarkEnd w:id="1"/>
    </w:p>
    <w:p>
      <w:pPr>
        <w:spacing w:after="160"/>
      </w:pPr>
      <w:r>
        <w:t xml:space="preserve">© 2026 Neriasoftware — جميع الحقوق محفوظة. الشيفرة المصدرية وقوالب البريد الإلكتروني والترجمات ووثائق هذه الوحدة هي ملكية حصرية لمؤلفها. أي إعادة إنتاج أو توزيع أو استخدام غير مُصرَّح به محظور.</w:t>
      </w:r>
    </w:p>
    <w:p>
      <w:pPr>
        <w:pStyle w:val="Heading2"/>
        <w:spacing w:after="140" w:before="320"/>
      </w:pPr>
      <w:bookmarkStart w:name="sec163" w:id="1"/>
      <w:r>
        <w:t xml:space="preserve">أ.3 الخطوط الخارجية المُستخدَمة</w:t>
      </w:r>
      <w:bookmarkEnd w:id="1"/>
    </w:p>
    <w:p>
      <w:pPr>
        <w:pStyle w:val="ListParagraph"/>
        <w:numPr>
          <w:ilvl w:val="0"/>
          <w:numId w:val="2"/>
        </w:numPr>
        <w:spacing w:after="80"/>
      </w:pPr>
      <w:r>
        <w:t xml:space="preserve">Cormorant Garamond، EB Garamond، Lato، Open Sans، Noto Serif JP/KR/SC/TC — Google Fonts، رخصة SIL Open Font License.</w:t>
      </w:r>
    </w:p>
    <w:p>
      <w:pPr>
        <w:pStyle w:val="ListParagraph"/>
        <w:numPr>
          <w:ilvl w:val="0"/>
          <w:numId w:val="2"/>
        </w:numPr>
        <w:spacing w:after="80"/>
      </w:pPr>
      <w:r>
        <w:t xml:space="preserve">Dancing Script، Great Vibes، Sacramento، Pinyon Script — Google Fonts، رخصة SIL Open Font License.</w:t>
      </w:r>
    </w:p>
    <w:p>
      <w:pPr>
        <w:pStyle w:val="Heading2"/>
        <w:spacing w:after="140" w:before="320"/>
      </w:pPr>
      <w:bookmarkStart w:name="sec164" w:id="1"/>
      <w:r>
        <w:t xml:space="preserve">أ.4 المكتبات الخارجية</w:t>
      </w:r>
      <w:bookmarkEnd w:id="1"/>
    </w:p>
    <w:p>
      <w:pPr>
        <w:pStyle w:val="ListParagraph"/>
        <w:numPr>
          <w:ilvl w:val="0"/>
          <w:numId w:val="2"/>
        </w:numPr>
        <w:spacing w:after="80"/>
      </w:pPr>
      <w:r>
        <w:t xml:space="preserve">TCPDF — Nicola Asuni، رخصة LGPL 2.1+ (توليد شهادات PDF).</w:t>
      </w:r>
    </w:p>
    <w:p>
      <w:pPr>
        <w:pStyle w:val="ListParagraph"/>
        <w:numPr>
          <w:ilvl w:val="0"/>
          <w:numId w:val="2"/>
        </w:numPr>
        <w:spacing w:after="80"/>
      </w:pPr>
      <w:r>
        <w:t xml:space="preserve">التبعيات الإضافية المحتملة الأخرى مُدرَجة في ملف composer.json الخاص بالوحدة.</w:t>
      </w:r>
    </w:p>
    <w:p>
      <w:pPr>
        <w:pStyle w:val="Heading2"/>
        <w:spacing w:after="140" w:before="320"/>
      </w:pPr>
      <w:bookmarkStart w:name="sec165" w:id="1"/>
      <w:r>
        <w:t xml:space="preserve">أ.5 البيانات الشخصية</w:t>
      </w:r>
      <w:bookmarkEnd w:id="1"/>
    </w:p>
    <w:p>
      <w:pPr>
        <w:spacing w:after="160"/>
      </w:pPr>
      <w:r>
        <w:t xml:space="preserve">للاطلاع على السياسة الكاملة لمعالجة البيانات الشخصية، راجعوا الصفحة المخصَّصة على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جميع الحقوق محفوظة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دليل الاستخدام v1.0.31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2026-07-31T17:21:26.244Z</dcterms:created>
  <dcterms:modified xsi:type="dcterms:W3CDTF">2026-07-31T17:21:26.246Z</dcterms:modified>
</cp:coreProperties>
</file>

<file path=docProps/custom.xml><?xml version="1.0" encoding="utf-8"?>
<Properties xmlns="http://schemas.openxmlformats.org/officeDocument/2006/custom-properties" xmlns:vt="http://schemas.openxmlformats.org/officeDocument/2006/docPropsVTypes"/>
</file>