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Manual de usuario completo</w:t>
      </w:r>
    </w:p>
    <w:p>
      <w:pPr>
        <w:spacing w:after="160"/>
        <w:jc w:val="center"/>
      </w:pPr>
      <w:r>
        <w:rPr>
          <w:color w:val="666666"/>
          <w:sz w:val="24"/>
          <w:szCs w:val="24"/>
        </w:rPr>
        <w:t xml:space="preserve">Módulo PrestaShop 8 &amp; 9 — Versión 1.0.33</w:t>
      </w:r>
    </w:p>
    <w:p>
      <w:pPr>
        <w:spacing w:after="2400"/>
        <w:jc w:val="center"/>
      </w:pPr>
      <w:r>
        <w:rPr>
          <w:color w:val="999999"/>
          <w:sz w:val="22"/>
          <w:szCs w:val="22"/>
        </w:rPr>
        <w:t xml:space="preserve">19 idiomas  ·  117 plantillas  ·  88 funcionalidades</w:t>
      </w:r>
    </w:p>
    <w:p>
      <w:pPr>
        <w:jc w:val="center"/>
      </w:pPr>
      <w:r>
        <w:rPr>
          <w:color w:val="999999"/>
          <w:sz w:val="18"/>
          <w:szCs w:val="18"/>
        </w:rPr>
        <w:t xml:space="preserve">© 2026 Neriasoftware — Todos los derechos reservados</w:t>
      </w:r>
    </w:p>
    <w:p>
      <w:r>
        <w:br w:type="page"/>
      </w:r>
    </w:p>
    <w:p>
      <w:pPr>
        <w:pStyle w:val="Heading1"/>
        <w:spacing w:after="200" w:before="400"/>
      </w:pPr>
      <w:r>
        <w:t xml:space="preserve">Índice</w:t>
      </w:r>
    </w:p>
    <w:p>
      <w:pPr>
        <w:tabs>
          <w:tab w:val="right" w:pos="9026" w:leader="dot"/>
        </w:tabs>
        <w:spacing w:after="60"/>
        <w:ind w:left="0"/>
      </w:pPr>
      <w:hyperlink w:history="1" w:anchor="sec1">
        <w:r>
          <w:rPr>
            <w:b/>
            <w:bCs/>
            <w:color w:val="2B2520"/>
            <w:sz w:val="22"/>
            <w:szCs w:val="22"/>
          </w:rPr>
          <w:t xml:space="preserve">1. Acerca de Neria</w:t>
        </w:r>
      </w:hyperlink>
    </w:p>
    <w:p>
      <w:pPr>
        <w:tabs>
          <w:tab w:val="right" w:pos="9026" w:leader="dot"/>
        </w:tabs>
        <w:spacing w:after="20"/>
        <w:ind w:left="340"/>
      </w:pPr>
      <w:hyperlink w:history="1" w:anchor="sec2">
        <w:r>
          <w:rPr>
            <w:b w:val="false"/>
            <w:bCs w:val="false"/>
            <w:color w:val="666666"/>
            <w:sz w:val="20"/>
            <w:szCs w:val="20"/>
          </w:rPr>
          <w:t xml:space="preserve">1.1 Compatibilidad</w:t>
        </w:r>
      </w:hyperlink>
    </w:p>
    <w:p>
      <w:pPr>
        <w:tabs>
          <w:tab w:val="right" w:pos="9026" w:leader="dot"/>
        </w:tabs>
        <w:spacing w:after="20"/>
        <w:ind w:left="340"/>
      </w:pPr>
      <w:hyperlink w:history="1" w:anchor="sec3">
        <w:r>
          <w:rPr>
            <w:b w:val="false"/>
            <w:bCs w:val="false"/>
            <w:color w:val="666666"/>
            <w:sz w:val="20"/>
            <w:szCs w:val="20"/>
          </w:rPr>
          <w:t xml:space="preserve">1.2 Qué hace Neria automáticamente</w:t>
        </w:r>
      </w:hyperlink>
    </w:p>
    <w:p>
      <w:pPr>
        <w:tabs>
          <w:tab w:val="right" w:pos="9026" w:leader="dot"/>
        </w:tabs>
        <w:spacing w:after="20"/>
        <w:ind w:left="340"/>
      </w:pPr>
      <w:hyperlink w:history="1" w:anchor="sec4">
        <w:r>
          <w:rPr>
            <w:b w:val="false"/>
            <w:bCs w:val="false"/>
            <w:color w:val="666666"/>
            <w:sz w:val="20"/>
            <w:szCs w:val="20"/>
          </w:rPr>
          <w:t xml:space="preserve">1.3 Llamadas de red externas</w:t>
        </w:r>
      </w:hyperlink>
    </w:p>
    <w:p>
      <w:pPr>
        <w:tabs>
          <w:tab w:val="right" w:pos="9026" w:leader="dot"/>
        </w:tabs>
        <w:spacing w:after="60"/>
        <w:ind w:left="0"/>
      </w:pPr>
      <w:hyperlink w:history="1" w:anchor="sec5">
        <w:r>
          <w:rPr>
            <w:b/>
            <w:bCs/>
            <w:color w:val="2B2520"/>
            <w:sz w:val="22"/>
            <w:szCs w:val="22"/>
          </w:rPr>
          <w:t xml:space="preserve">2. Requisitos técnicos</w:t>
        </w:r>
      </w:hyperlink>
    </w:p>
    <w:p>
      <w:pPr>
        <w:tabs>
          <w:tab w:val="right" w:pos="9026" w:leader="dot"/>
        </w:tabs>
        <w:spacing w:after="20"/>
        <w:ind w:left="340"/>
      </w:pPr>
      <w:hyperlink w:history="1" w:anchor="sec6">
        <w:r>
          <w:rPr>
            <w:b w:val="false"/>
            <w:bCs w:val="false"/>
            <w:color w:val="666666"/>
            <w:sz w:val="20"/>
            <w:szCs w:val="20"/>
          </w:rPr>
          <w:t xml:space="preserve">2.1 Entorno del servidor</w:t>
        </w:r>
      </w:hyperlink>
    </w:p>
    <w:p>
      <w:pPr>
        <w:tabs>
          <w:tab w:val="right" w:pos="9026" w:leader="dot"/>
        </w:tabs>
        <w:spacing w:after="20"/>
        <w:ind w:left="340"/>
      </w:pPr>
      <w:hyperlink w:history="1" w:anchor="sec7">
        <w:r>
          <w:rPr>
            <w:b w:val="false"/>
            <w:bCs w:val="false"/>
            <w:color w:val="666666"/>
            <w:sz w:val="20"/>
            <w:szCs w:val="20"/>
          </w:rPr>
          <w:t xml:space="preserve">2.2 Hooks de PrestaShop utilizados</w:t>
        </w:r>
      </w:hyperlink>
    </w:p>
    <w:p>
      <w:pPr>
        <w:tabs>
          <w:tab w:val="right" w:pos="9026" w:leader="dot"/>
        </w:tabs>
        <w:spacing w:after="20"/>
        <w:ind w:left="340"/>
      </w:pPr>
      <w:hyperlink w:history="1" w:anchor="sec8">
        <w:r>
          <w:rPr>
            <w:b w:val="false"/>
            <w:bCs w:val="false"/>
            <w:color w:val="666666"/>
            <w:sz w:val="20"/>
            <w:szCs w:val="20"/>
          </w:rPr>
          <w:t xml:space="preserve">2.3 Tablas SQL creadas</w:t>
        </w:r>
      </w:hyperlink>
    </w:p>
    <w:p>
      <w:pPr>
        <w:tabs>
          <w:tab w:val="right" w:pos="9026" w:leader="dot"/>
        </w:tabs>
        <w:spacing w:after="60"/>
        <w:ind w:left="0"/>
      </w:pPr>
      <w:hyperlink w:history="1" w:anchor="sec9">
        <w:r>
          <w:rPr>
            <w:b/>
            <w:bCs/>
            <w:color w:val="2B2520"/>
            <w:sz w:val="22"/>
            <w:szCs w:val="22"/>
          </w:rPr>
          <w:t xml:space="preserve">3. Instalación</w:t>
        </w:r>
      </w:hyperlink>
    </w:p>
    <w:p>
      <w:pPr>
        <w:tabs>
          <w:tab w:val="right" w:pos="9026" w:leader="dot"/>
        </w:tabs>
        <w:spacing w:after="20"/>
        <w:ind w:left="340"/>
      </w:pPr>
      <w:hyperlink w:history="1" w:anchor="sec10">
        <w:r>
          <w:rPr>
            <w:b w:val="false"/>
            <w:bCs w:val="false"/>
            <w:color w:val="666666"/>
            <w:sz w:val="20"/>
            <w:szCs w:val="20"/>
          </w:rPr>
          <w:t xml:space="preserve">3.1 A través de PrestaShop Addons (recomendado)</w:t>
        </w:r>
      </w:hyperlink>
    </w:p>
    <w:p>
      <w:pPr>
        <w:tabs>
          <w:tab w:val="right" w:pos="9026" w:leader="dot"/>
        </w:tabs>
        <w:spacing w:after="20"/>
        <w:ind w:left="340"/>
      </w:pPr>
      <w:hyperlink w:history="1" w:anchor="sec11">
        <w:r>
          <w:rPr>
            <w:b w:val="false"/>
            <w:bCs w:val="false"/>
            <w:color w:val="666666"/>
            <w:sz w:val="20"/>
            <w:szCs w:val="20"/>
          </w:rPr>
          <w:t xml:space="preserve">3.2 Instalación manual (archivo zip)</w:t>
        </w:r>
      </w:hyperlink>
    </w:p>
    <w:p>
      <w:pPr>
        <w:tabs>
          <w:tab w:val="right" w:pos="9026" w:leader="dot"/>
        </w:tabs>
        <w:spacing w:after="20"/>
        <w:ind w:left="340"/>
      </w:pPr>
      <w:hyperlink w:history="1" w:anchor="sec12">
        <w:r>
          <w:rPr>
            <w:b w:val="false"/>
            <w:bCs w:val="false"/>
            <w:color w:val="666666"/>
            <w:sz w:val="20"/>
            <w:szCs w:val="20"/>
          </w:rPr>
          <w:t xml:space="preserve">3.3 Qué crea la instalación</w:t>
        </w:r>
      </w:hyperlink>
    </w:p>
    <w:p>
      <w:pPr>
        <w:tabs>
          <w:tab w:val="right" w:pos="9026" w:leader="dot"/>
        </w:tabs>
        <w:spacing w:after="60"/>
        <w:ind w:left="0"/>
      </w:pPr>
      <w:hyperlink w:history="1" w:anchor="sec13">
        <w:r>
          <w:rPr>
            <w:b/>
            <w:bCs/>
            <w:color w:val="2B2520"/>
            <w:sz w:val="22"/>
            <w:szCs w:val="22"/>
          </w:rPr>
          <w:t xml:space="preserve">4. Activación de la licencia</w:t>
        </w:r>
      </w:hyperlink>
    </w:p>
    <w:p>
      <w:pPr>
        <w:tabs>
          <w:tab w:val="right" w:pos="9026" w:leader="dot"/>
        </w:tabs>
        <w:spacing w:after="20"/>
        <w:ind w:left="340"/>
      </w:pPr>
      <w:hyperlink w:history="1" w:anchor="sec14">
        <w:r>
          <w:rPr>
            <w:b w:val="false"/>
            <w:bCs w:val="false"/>
            <w:color w:val="666666"/>
            <w:sz w:val="20"/>
            <w:szCs w:val="20"/>
          </w:rPr>
          <w:t xml:space="preserve">4.1 Activar la clave</w:t>
        </w:r>
      </w:hyperlink>
    </w:p>
    <w:p>
      <w:pPr>
        <w:tabs>
          <w:tab w:val="right" w:pos="9026" w:leader="dot"/>
        </w:tabs>
        <w:spacing w:after="20"/>
        <w:ind w:left="340"/>
      </w:pPr>
      <w:hyperlink w:history="1" w:anchor="sec15">
        <w:r>
          <w:rPr>
            <w:b w:val="false"/>
            <w:bCs w:val="false"/>
            <w:color w:val="666666"/>
            <w:sz w:val="20"/>
            <w:szCs w:val="20"/>
          </w:rPr>
          <w:t xml:space="preserve">4.2 Cambio de dominio</w:t>
        </w:r>
      </w:hyperlink>
    </w:p>
    <w:p>
      <w:pPr>
        <w:tabs>
          <w:tab w:val="right" w:pos="9026" w:leader="dot"/>
        </w:tabs>
        <w:spacing w:after="20"/>
        <w:ind w:left="340"/>
      </w:pPr>
      <w:hyperlink w:history="1" w:anchor="sec16">
        <w:r>
          <w:rPr>
            <w:b w:val="false"/>
            <w:bCs w:val="false"/>
            <w:color w:val="666666"/>
            <w:sz w:val="20"/>
            <w:szCs w:val="20"/>
          </w:rPr>
          <w:t xml:space="preserve">4.3 Tolerancia a fallos</w:t>
        </w:r>
      </w:hyperlink>
    </w:p>
    <w:p>
      <w:pPr>
        <w:tabs>
          <w:tab w:val="right" w:pos="9026" w:leader="dot"/>
        </w:tabs>
        <w:spacing w:after="60"/>
        <w:ind w:left="0"/>
      </w:pPr>
      <w:hyperlink w:history="1" w:anchor="sec17">
        <w:r>
          <w:rPr>
            <w:b/>
            <w:bCs/>
            <w:color w:val="2B2520"/>
            <w:sz w:val="22"/>
            <w:szCs w:val="22"/>
          </w:rPr>
          <w:t xml:space="preserve">5. Visión general del back office</w:t>
        </w:r>
      </w:hyperlink>
    </w:p>
    <w:p>
      <w:pPr>
        <w:tabs>
          <w:tab w:val="right" w:pos="9026" w:leader="dot"/>
        </w:tabs>
        <w:spacing w:after="20"/>
        <w:ind w:left="340"/>
      </w:pPr>
      <w:hyperlink w:history="1" w:anchor="sec18">
        <w:r>
          <w:rPr>
            <w:b w:val="false"/>
            <w:bCs w:val="false"/>
            <w:color w:val="666666"/>
            <w:sz w:val="20"/>
            <w:szCs w:val="20"/>
          </w:rPr>
          <w:t xml:space="preserve">5.1 Lista de pestañas</w:t>
        </w:r>
      </w:hyperlink>
    </w:p>
    <w:p>
      <w:pPr>
        <w:tabs>
          <w:tab w:val="right" w:pos="9026" w:leader="dot"/>
        </w:tabs>
        <w:spacing w:after="60"/>
        <w:ind w:left="0"/>
      </w:pPr>
      <w:hyperlink w:history="1" w:anchor="sec19">
        <w:r>
          <w:rPr>
            <w:b/>
            <w:bCs/>
            <w:color w:val="2B2520"/>
            <w:sz w:val="22"/>
            <w:szCs w:val="22"/>
          </w:rPr>
          <w:t xml:space="preserve">6. Pestaña Inicio — Configuración general</w:t>
        </w:r>
      </w:hyperlink>
    </w:p>
    <w:p>
      <w:pPr>
        <w:tabs>
          <w:tab w:val="right" w:pos="9026" w:leader="dot"/>
        </w:tabs>
        <w:spacing w:after="20"/>
        <w:ind w:left="340"/>
      </w:pPr>
      <w:hyperlink w:history="1" w:anchor="sec20">
        <w:r>
          <w:rPr>
            <w:b w:val="false"/>
            <w:bCs w:val="false"/>
            <w:color w:val="666666"/>
            <w:sz w:val="20"/>
            <w:szCs w:val="20"/>
          </w:rPr>
          <w:t xml:space="preserve">6.1 KPI a 30 días</w:t>
        </w:r>
      </w:hyperlink>
    </w:p>
    <w:p>
      <w:pPr>
        <w:tabs>
          <w:tab w:val="right" w:pos="9026" w:leader="dot"/>
        </w:tabs>
        <w:spacing w:after="20"/>
        <w:ind w:left="340"/>
      </w:pPr>
      <w:hyperlink w:history="1" w:anchor="sec21">
        <w:r>
          <w:rPr>
            <w:b w:val="false"/>
            <w:bCs w:val="false"/>
            <w:color w:val="666666"/>
            <w:sz w:val="20"/>
            <w:szCs w:val="20"/>
          </w:rPr>
          <w:t xml:space="preserve">6.2 Detección automática del idioma</w:t>
        </w:r>
      </w:hyperlink>
    </w:p>
    <w:p>
      <w:pPr>
        <w:tabs>
          <w:tab w:val="right" w:pos="9026" w:leader="dot"/>
        </w:tabs>
        <w:spacing w:after="20"/>
        <w:ind w:left="340"/>
      </w:pPr>
      <w:hyperlink w:history="1" w:anchor="sec22">
        <w:r>
          <w:rPr>
            <w:b w:val="false"/>
            <w:bCs w:val="false"/>
            <w:color w:val="666666"/>
            <w:sz w:val="20"/>
            <w:szCs w:val="20"/>
          </w:rPr>
          <w:t xml:space="preserve">6.3 Smart Salutation — Hora local</w:t>
        </w:r>
      </w:hyperlink>
    </w:p>
    <w:p>
      <w:pPr>
        <w:tabs>
          <w:tab w:val="right" w:pos="9026" w:leader="dot"/>
        </w:tabs>
        <w:spacing w:after="20"/>
        <w:ind w:left="340"/>
      </w:pPr>
      <w:hyperlink w:history="1" w:anchor="sec23">
        <w:r>
          <w:rPr>
            <w:b w:val="false"/>
            <w:bCs w:val="false"/>
            <w:color w:val="666666"/>
            <w:sz w:val="20"/>
            <w:szCs w:val="20"/>
          </w:rPr>
          <w:t xml:space="preserve">6.4 Ajustes generales</w:t>
        </w:r>
      </w:hyperlink>
    </w:p>
    <w:p>
      <w:pPr>
        <w:tabs>
          <w:tab w:val="right" w:pos="9026" w:leader="dot"/>
        </w:tabs>
        <w:spacing w:after="60"/>
        <w:ind w:left="0"/>
      </w:pPr>
      <w:hyperlink w:history="1" w:anchor="sec24">
        <w:r>
          <w:rPr>
            <w:b/>
            <w:bCs/>
            <w:color w:val="2B2520"/>
            <w:sz w:val="22"/>
            <w:szCs w:val="22"/>
          </w:rPr>
          <w:t xml:space="preserve">7. Pestaña Diseño — Identidad visual</w:t>
        </w:r>
      </w:hyperlink>
    </w:p>
    <w:p>
      <w:pPr>
        <w:tabs>
          <w:tab w:val="right" w:pos="9026" w:leader="dot"/>
        </w:tabs>
        <w:spacing w:after="20"/>
        <w:ind w:left="340"/>
      </w:pPr>
      <w:hyperlink w:history="1" w:anchor="sec25">
        <w:r>
          <w:rPr>
            <w:b w:val="false"/>
            <w:bCs w:val="false"/>
            <w:color w:val="666666"/>
            <w:sz w:val="20"/>
            <w:szCs w:val="20"/>
          </w:rPr>
          <w:t xml:space="preserve">7.1 Colores</w:t>
        </w:r>
      </w:hyperlink>
    </w:p>
    <w:p>
      <w:pPr>
        <w:tabs>
          <w:tab w:val="right" w:pos="9026" w:leader="dot"/>
        </w:tabs>
        <w:spacing w:after="20"/>
        <w:ind w:left="340"/>
      </w:pPr>
      <w:hyperlink w:history="1" w:anchor="sec26">
        <w:r>
          <w:rPr>
            <w:b w:val="false"/>
            <w:bCs w:val="false"/>
            <w:color w:val="666666"/>
            <w:sz w:val="20"/>
            <w:szCs w:val="20"/>
          </w:rPr>
          <w:t xml:space="preserve">7.2 Logotipo</w:t>
        </w:r>
      </w:hyperlink>
    </w:p>
    <w:p>
      <w:pPr>
        <w:tabs>
          <w:tab w:val="right" w:pos="9026" w:leader="dot"/>
        </w:tabs>
        <w:spacing w:after="20"/>
        <w:ind w:left="340"/>
      </w:pPr>
      <w:hyperlink w:history="1" w:anchor="sec27">
        <w:r>
          <w:rPr>
            <w:b w:val="false"/>
            <w:bCs w:val="false"/>
            <w:color w:val="666666"/>
            <w:sz w:val="20"/>
            <w:szCs w:val="20"/>
          </w:rPr>
          <w:t xml:space="preserve">7.3 Modo oscuro</w:t>
        </w:r>
      </w:hyperlink>
    </w:p>
    <w:p>
      <w:pPr>
        <w:tabs>
          <w:tab w:val="right" w:pos="9026" w:leader="dot"/>
        </w:tabs>
        <w:spacing w:after="20"/>
        <w:ind w:left="340"/>
      </w:pPr>
      <w:hyperlink w:history="1" w:anchor="sec28">
        <w:r>
          <w:rPr>
            <w:b w:val="false"/>
            <w:bCs w:val="false"/>
            <w:color w:val="666666"/>
            <w:sz w:val="20"/>
            <w:szCs w:val="20"/>
          </w:rPr>
          <w:t xml:space="preserve">7.4 Ancho del contenedor</w:t>
        </w:r>
      </w:hyperlink>
    </w:p>
    <w:p>
      <w:pPr>
        <w:tabs>
          <w:tab w:val="right" w:pos="9026" w:leader="dot"/>
        </w:tabs>
        <w:spacing w:after="20"/>
        <w:ind w:left="340"/>
      </w:pPr>
      <w:hyperlink w:history="1" w:anchor="sec29">
        <w:r>
          <w:rPr>
            <w:b w:val="false"/>
            <w:bCs w:val="false"/>
            <w:color w:val="666666"/>
            <w:sz w:val="20"/>
            <w:szCs w:val="20"/>
          </w:rPr>
          <w:t xml:space="preserve">7.5 Estilos rápidos — Preajustes con un clic</w:t>
        </w:r>
      </w:hyperlink>
    </w:p>
    <w:p>
      <w:pPr>
        <w:tabs>
          <w:tab w:val="right" w:pos="9026" w:leader="dot"/>
        </w:tabs>
        <w:spacing w:after="20"/>
        <w:ind w:left="340"/>
      </w:pPr>
      <w:hyperlink w:history="1" w:anchor="sec30">
        <w:r>
          <w:rPr>
            <w:b w:val="false"/>
            <w:bCs w:val="false"/>
            <w:color w:val="666666"/>
            <w:sz w:val="20"/>
            <w:szCs w:val="20"/>
          </w:rPr>
          <w:t xml:space="preserve">7.6 Firma manuscrita</w:t>
        </w:r>
      </w:hyperlink>
    </w:p>
    <w:p>
      <w:pPr>
        <w:tabs>
          <w:tab w:val="right" w:pos="9026" w:leader="dot"/>
        </w:tabs>
        <w:spacing w:after="60"/>
        <w:ind w:left="0"/>
      </w:pPr>
      <w:hyperlink w:history="1" w:anchor="sec31">
        <w:r>
          <w:rPr>
            <w:b/>
            <w:bCs/>
            <w:color w:val="2B2520"/>
            <w:sz w:val="22"/>
            <w:szCs w:val="22"/>
          </w:rPr>
          <w:t xml:space="preserve">8. Pestaña Tipografía</w:t>
        </w:r>
      </w:hyperlink>
    </w:p>
    <w:p>
      <w:pPr>
        <w:tabs>
          <w:tab w:val="right" w:pos="9026" w:leader="dot"/>
        </w:tabs>
        <w:spacing w:after="20"/>
        <w:ind w:left="340"/>
      </w:pPr>
      <w:hyperlink w:history="1" w:anchor="sec32">
        <w:r>
          <w:rPr>
            <w:b w:val="false"/>
            <w:bCs w:val="false"/>
            <w:color w:val="666666"/>
            <w:sz w:val="20"/>
            <w:szCs w:val="20"/>
          </w:rPr>
          <w:t xml:space="preserve">8.1 Configuración de fuentes</w:t>
        </w:r>
      </w:hyperlink>
    </w:p>
    <w:p>
      <w:pPr>
        <w:tabs>
          <w:tab w:val="right" w:pos="9026" w:leader="dot"/>
        </w:tabs>
        <w:spacing w:after="60"/>
        <w:ind w:left="0"/>
      </w:pPr>
      <w:hyperlink w:history="1" w:anchor="sec33">
        <w:r>
          <w:rPr>
            <w:b/>
            <w:bCs/>
            <w:color w:val="2B2520"/>
            <w:sz w:val="22"/>
            <w:szCs w:val="22"/>
          </w:rPr>
          <w:t xml:space="preserve">9. Pestaña Redes sociales</w:t>
        </w:r>
      </w:hyperlink>
    </w:p>
    <w:p>
      <w:pPr>
        <w:tabs>
          <w:tab w:val="right" w:pos="9026" w:leader="dot"/>
        </w:tabs>
        <w:spacing w:after="60"/>
        <w:ind w:left="0"/>
      </w:pPr>
      <w:hyperlink w:history="1" w:anchor="sec34">
        <w:r>
          <w:rPr>
            <w:b/>
            <w:bCs/>
            <w:color w:val="2B2520"/>
            <w:sz w:val="22"/>
            <w:szCs w:val="22"/>
          </w:rPr>
          <w:t xml:space="preserve">10. Pestaña Traducciones — 19 idiomas</w:t>
        </w:r>
      </w:hyperlink>
    </w:p>
    <w:p>
      <w:pPr>
        <w:tabs>
          <w:tab w:val="right" w:pos="9026" w:leader="dot"/>
        </w:tabs>
        <w:spacing w:after="20"/>
        <w:ind w:left="340"/>
      </w:pPr>
      <w:hyperlink w:history="1" w:anchor="sec35">
        <w:r>
          <w:rPr>
            <w:b w:val="false"/>
            <w:bCs w:val="false"/>
            <w:color w:val="666666"/>
            <w:sz w:val="20"/>
            <w:szCs w:val="20"/>
          </w:rPr>
          <w:t xml:space="preserve">10.1 Editar una plantilla</w:t>
        </w:r>
      </w:hyperlink>
    </w:p>
    <w:p>
      <w:pPr>
        <w:tabs>
          <w:tab w:val="right" w:pos="9026" w:leader="dot"/>
        </w:tabs>
        <w:spacing w:after="20"/>
        <w:ind w:left="340"/>
      </w:pPr>
      <w:hyperlink w:history="1" w:anchor="sec36">
        <w:r>
          <w:rPr>
            <w:b w:val="false"/>
            <w:bCs w:val="false"/>
            <w:color w:val="666666"/>
            <w:sz w:val="20"/>
            <w:szCs w:val="20"/>
          </w:rPr>
          <w:t xml:space="preserve">10.2 Traducción automática con DeepL</w:t>
        </w:r>
      </w:hyperlink>
    </w:p>
    <w:p>
      <w:pPr>
        <w:tabs>
          <w:tab w:val="right" w:pos="9026" w:leader="dot"/>
        </w:tabs>
        <w:spacing w:after="20"/>
        <w:ind w:left="340"/>
      </w:pPr>
      <w:hyperlink w:history="1" w:anchor="sec37">
        <w:r>
          <w:rPr>
            <w:b w:val="false"/>
            <w:bCs w:val="false"/>
            <w:color w:val="666666"/>
            <w:sz w:val="20"/>
            <w:szCs w:val="20"/>
          </w:rPr>
          <w:t xml:space="preserve">10.3 Exportación e importación CSV</w:t>
        </w:r>
      </w:hyperlink>
    </w:p>
    <w:p>
      <w:pPr>
        <w:tabs>
          <w:tab w:val="right" w:pos="9026" w:leader="dot"/>
        </w:tabs>
        <w:spacing w:after="20"/>
        <w:ind w:left="340"/>
      </w:pPr>
      <w:hyperlink w:history="1" w:anchor="sec38">
        <w:r>
          <w:rPr>
            <w:b w:val="false"/>
            <w:bCs w:val="false"/>
            <w:color w:val="666666"/>
            <w:sz w:val="20"/>
            <w:szCs w:val="20"/>
          </w:rPr>
          <w:t xml:space="preserve">10.4 Poner una plantilla en la lista negra</w:t>
        </w:r>
      </w:hyperlink>
    </w:p>
    <w:p>
      <w:pPr>
        <w:tabs>
          <w:tab w:val="right" w:pos="9026" w:leader="dot"/>
        </w:tabs>
        <w:spacing w:after="20"/>
        <w:ind w:left="340"/>
      </w:pPr>
      <w:hyperlink w:history="1" w:anchor="sec39">
        <w:r>
          <w:rPr>
            <w:b w:val="false"/>
            <w:bCs w:val="false"/>
            <w:color w:val="666666"/>
            <w:sz w:val="20"/>
            <w:szCs w:val="20"/>
          </w:rPr>
          <w:t xml:space="preserve">10.5 Historial de traducciones</w:t>
        </w:r>
      </w:hyperlink>
    </w:p>
    <w:p>
      <w:pPr>
        <w:tabs>
          <w:tab w:val="right" w:pos="9026" w:leader="dot"/>
        </w:tabs>
        <w:spacing w:after="60"/>
        <w:ind w:left="0"/>
      </w:pPr>
      <w:hyperlink w:history="1" w:anchor="sec40">
        <w:r>
          <w:rPr>
            <w:b/>
            <w:bCs/>
            <w:color w:val="2B2520"/>
            <w:sz w:val="22"/>
            <w:szCs w:val="22"/>
          </w:rPr>
          <w:t xml:space="preserve">11. Huella vocal de la marca</w:t>
        </w:r>
      </w:hyperlink>
    </w:p>
    <w:p>
      <w:pPr>
        <w:tabs>
          <w:tab w:val="right" w:pos="9026" w:leader="dot"/>
        </w:tabs>
        <w:spacing w:after="60"/>
        <w:ind w:left="0"/>
      </w:pPr>
      <w:hyperlink w:history="1" w:anchor="sec41">
        <w:r>
          <w:rPr>
            <w:b/>
            <w:bCs/>
            <w:color w:val="2B2520"/>
            <w:sz w:val="22"/>
            <w:szCs w:val="22"/>
          </w:rPr>
          <w:t xml:space="preserve">12. Pestaña Envío manual</w:t>
        </w:r>
      </w:hyperlink>
    </w:p>
    <w:p>
      <w:pPr>
        <w:tabs>
          <w:tab w:val="right" w:pos="9026" w:leader="dot"/>
        </w:tabs>
        <w:spacing w:after="60"/>
        <w:ind w:left="0"/>
      </w:pPr>
      <w:hyperlink w:history="1" w:anchor="sec42">
        <w:r>
          <w:rPr>
            <w:b/>
            <w:bCs/>
            <w:color w:val="2B2520"/>
            <w:sz w:val="22"/>
            <w:szCs w:val="22"/>
          </w:rPr>
          <w:t xml:space="preserve">13. Pestaña Vista previa multicliente</w:t>
        </w:r>
      </w:hyperlink>
    </w:p>
    <w:p>
      <w:pPr>
        <w:tabs>
          <w:tab w:val="right" w:pos="9026" w:leader="dot"/>
        </w:tabs>
        <w:spacing w:after="20"/>
        <w:ind w:left="340"/>
      </w:pPr>
      <w:hyperlink w:history="1" w:anchor="sec43">
        <w:r>
          <w:rPr>
            <w:b w:val="false"/>
            <w:bCs w:val="false"/>
            <w:color w:val="666666"/>
            <w:sz w:val="20"/>
            <w:szCs w:val="20"/>
          </w:rPr>
          <w:t xml:space="preserve">13.1 Simular el modo oscuro</w:t>
        </w:r>
      </w:hyperlink>
    </w:p>
    <w:p>
      <w:pPr>
        <w:tabs>
          <w:tab w:val="right" w:pos="9026" w:leader="dot"/>
        </w:tabs>
        <w:spacing w:after="60"/>
        <w:ind w:left="0"/>
      </w:pPr>
      <w:hyperlink w:history="1" w:anchor="sec44">
        <w:r>
          <w:rPr>
            <w:b/>
            <w:bCs/>
            <w:color w:val="2B2520"/>
            <w:sz w:val="22"/>
            <w:szCs w:val="22"/>
          </w:rPr>
          <w:t xml:space="preserve">14. Automatizaciones de comportamiento</w:t>
        </w:r>
      </w:hyperlink>
    </w:p>
    <w:p>
      <w:pPr>
        <w:tabs>
          <w:tab w:val="right" w:pos="9026" w:leader="dot"/>
        </w:tabs>
        <w:spacing w:after="20"/>
        <w:ind w:left="340"/>
      </w:pPr>
      <w:hyperlink w:history="1" w:anchor="sec45">
        <w:r>
          <w:rPr>
            <w:b w:val="false"/>
            <w:bCs w:val="false"/>
            <w:color w:val="666666"/>
            <w:sz w:val="20"/>
            <w:szCs w:val="20"/>
          </w:rPr>
          <w:t xml:space="preserve">14.1 Configuración del cron del servidor</w:t>
        </w:r>
      </w:hyperlink>
    </w:p>
    <w:p>
      <w:pPr>
        <w:tabs>
          <w:tab w:val="right" w:pos="9026" w:leader="dot"/>
        </w:tabs>
        <w:spacing w:after="20"/>
        <w:ind w:left="340"/>
      </w:pPr>
      <w:hyperlink w:history="1" w:anchor="sec46">
        <w:r>
          <w:rPr>
            <w:b w:val="false"/>
            <w:bCs w:val="false"/>
            <w:color w:val="666666"/>
            <w:sz w:val="20"/>
            <w:szCs w:val="20"/>
          </w:rPr>
          <w:t xml:space="preserve">14.2 Aniversarios de clientes</w:t>
        </w:r>
      </w:hyperlink>
    </w:p>
    <w:p>
      <w:pPr>
        <w:tabs>
          <w:tab w:val="right" w:pos="9026" w:leader="dot"/>
        </w:tabs>
        <w:spacing w:after="20"/>
        <w:ind w:left="340"/>
      </w:pPr>
      <w:hyperlink w:history="1" w:anchor="sec47">
        <w:r>
          <w:rPr>
            <w:b w:val="false"/>
            <w:bCs w:val="false"/>
            <w:color w:val="666666"/>
            <w:sz w:val="20"/>
            <w:szCs w:val="20"/>
          </w:rPr>
          <w:t xml:space="preserve">14.3 Carrito abandonado — 3 oleadas</w:t>
        </w:r>
      </w:hyperlink>
    </w:p>
    <w:p>
      <w:pPr>
        <w:tabs>
          <w:tab w:val="right" w:pos="9026" w:leader="dot"/>
        </w:tabs>
        <w:spacing w:after="20"/>
        <w:ind w:left="340"/>
      </w:pPr>
      <w:hyperlink w:history="1" w:anchor="sec48">
        <w:r>
          <w:rPr>
            <w:b w:val="false"/>
            <w:bCs w:val="false"/>
            <w:color w:val="666666"/>
            <w:sz w:val="20"/>
            <w:szCs w:val="20"/>
          </w:rPr>
          <w:t xml:space="preserve">14.4 Abandono del proceso de pago</w:t>
        </w:r>
      </w:hyperlink>
    </w:p>
    <w:p>
      <w:pPr>
        <w:tabs>
          <w:tab w:val="right" w:pos="9026" w:leader="dot"/>
        </w:tabs>
        <w:spacing w:after="20"/>
        <w:ind w:left="340"/>
      </w:pPr>
      <w:hyperlink w:history="1" w:anchor="sec49">
        <w:r>
          <w:rPr>
            <w:b w:val="false"/>
            <w:bCs w:val="false"/>
            <w:color w:val="666666"/>
            <w:sz w:val="20"/>
            <w:szCs w:val="20"/>
          </w:rPr>
          <w:t xml:space="preserve">14.5 Acompañamiento post-compra</w:t>
        </w:r>
      </w:hyperlink>
    </w:p>
    <w:p>
      <w:pPr>
        <w:tabs>
          <w:tab w:val="right" w:pos="9026" w:leader="dot"/>
        </w:tabs>
        <w:spacing w:after="20"/>
        <w:ind w:left="340"/>
      </w:pPr>
      <w:hyperlink w:history="1" w:anchor="sec50">
        <w:r>
          <w:rPr>
            <w:b w:val="false"/>
            <w:bCs w:val="false"/>
            <w:color w:val="666666"/>
            <w:sz w:val="20"/>
            <w:szCs w:val="20"/>
          </w:rPr>
          <w:t xml:space="preserve">14.6 Recordatorio de recompra</w:t>
        </w:r>
      </w:hyperlink>
    </w:p>
    <w:p>
      <w:pPr>
        <w:tabs>
          <w:tab w:val="right" w:pos="9026" w:leader="dot"/>
        </w:tabs>
        <w:spacing w:after="20"/>
        <w:ind w:left="340"/>
      </w:pPr>
      <w:hyperlink w:history="1" w:anchor="sec51">
        <w:r>
          <w:rPr>
            <w:b w:val="false"/>
            <w:bCs w:val="false"/>
            <w:color w:val="666666"/>
            <w:sz w:val="20"/>
            <w:szCs w:val="20"/>
          </w:rPr>
          <w:t xml:space="preserve">14.7 Recuperación (win-back)</w:t>
        </w:r>
      </w:hyperlink>
    </w:p>
    <w:p>
      <w:pPr>
        <w:tabs>
          <w:tab w:val="right" w:pos="9026" w:leader="dot"/>
        </w:tabs>
        <w:spacing w:after="20"/>
        <w:ind w:left="340"/>
      </w:pPr>
      <w:hyperlink w:history="1" w:anchor="sec52">
        <w:r>
          <w:rPr>
            <w:b w:val="false"/>
            <w:bCs w:val="false"/>
            <w:color w:val="666666"/>
            <w:sz w:val="20"/>
            <w:szCs w:val="20"/>
          </w:rPr>
          <w:t xml:space="preserve">14.8 Retraso en la entrega</w:t>
        </w:r>
      </w:hyperlink>
    </w:p>
    <w:p>
      <w:pPr>
        <w:tabs>
          <w:tab w:val="right" w:pos="9026" w:leader="dot"/>
        </w:tabs>
        <w:spacing w:after="20"/>
        <w:ind w:left="340"/>
      </w:pPr>
      <w:hyperlink w:history="1" w:anchor="sec53">
        <w:r>
          <w:rPr>
            <w:b w:val="false"/>
            <w:bCs w:val="false"/>
            <w:color w:val="666666"/>
            <w:sz w:val="20"/>
            <w:szCs w:val="20"/>
          </w:rPr>
          <w:t xml:space="preserve">14.9 Catálogo fantasma</w:t>
        </w:r>
      </w:hyperlink>
    </w:p>
    <w:p>
      <w:pPr>
        <w:tabs>
          <w:tab w:val="right" w:pos="9026" w:leader="dot"/>
        </w:tabs>
        <w:spacing w:after="60"/>
        <w:ind w:left="0"/>
      </w:pPr>
      <w:hyperlink w:history="1" w:anchor="sec54">
        <w:r>
          <w:rPr>
            <w:b/>
            <w:bCs/>
            <w:color w:val="2B2520"/>
            <w:sz w:val="22"/>
            <w:szCs w:val="22"/>
          </w:rPr>
          <w:t xml:space="preserve">15. Disparadores de pedido</w:t>
        </w:r>
      </w:hyperlink>
    </w:p>
    <w:p>
      <w:pPr>
        <w:tabs>
          <w:tab w:val="right" w:pos="9026" w:leader="dot"/>
        </w:tabs>
        <w:spacing w:after="20"/>
        <w:ind w:left="340"/>
      </w:pPr>
      <w:hyperlink w:history="1" w:anchor="sec55">
        <w:r>
          <w:rPr>
            <w:b w:val="false"/>
            <w:bCs w:val="false"/>
            <w:color w:val="666666"/>
            <w:sz w:val="20"/>
            <w:szCs w:val="20"/>
          </w:rPr>
          <w:t xml:space="preserve">15.1 Hito de pedido (milestone_order)</w:t>
        </w:r>
      </w:hyperlink>
    </w:p>
    <w:p>
      <w:pPr>
        <w:tabs>
          <w:tab w:val="right" w:pos="9026" w:leader="dot"/>
        </w:tabs>
        <w:spacing w:after="20"/>
        <w:ind w:left="340"/>
      </w:pPr>
      <w:hyperlink w:history="1" w:anchor="sec56">
        <w:r>
          <w:rPr>
            <w:b w:val="false"/>
            <w:bCs w:val="false"/>
            <w:color w:val="666666"/>
            <w:sz w:val="20"/>
            <w:szCs w:val="20"/>
          </w:rPr>
          <w:t xml:space="preserve">15.2 Pedido en espera</w:t>
        </w:r>
      </w:hyperlink>
    </w:p>
    <w:p>
      <w:pPr>
        <w:tabs>
          <w:tab w:val="right" w:pos="9026" w:leader="dot"/>
        </w:tabs>
        <w:spacing w:after="20"/>
        <w:ind w:left="340"/>
      </w:pPr>
      <w:hyperlink w:history="1" w:anchor="sec57">
        <w:r>
          <w:rPr>
            <w:b w:val="false"/>
            <w:bCs w:val="false"/>
            <w:color w:val="666666"/>
            <w:sz w:val="20"/>
            <w:szCs w:val="20"/>
          </w:rPr>
          <w:t xml:space="preserve">15.3 Envío parcial</w:t>
        </w:r>
      </w:hyperlink>
    </w:p>
    <w:p>
      <w:pPr>
        <w:tabs>
          <w:tab w:val="right" w:pos="9026" w:leader="dot"/>
        </w:tabs>
        <w:spacing w:after="20"/>
        <w:ind w:left="340"/>
      </w:pPr>
      <w:hyperlink w:history="1" w:anchor="sec58">
        <w:r>
          <w:rPr>
            <w:b w:val="false"/>
            <w:bCs w:val="false"/>
            <w:color w:val="666666"/>
            <w:sz w:val="20"/>
            <w:szCs w:val="20"/>
          </w:rPr>
          <w:t xml:space="preserve">15.4 Reembolso procesado</w:t>
        </w:r>
      </w:hyperlink>
    </w:p>
    <w:p>
      <w:pPr>
        <w:tabs>
          <w:tab w:val="right" w:pos="9026" w:leader="dot"/>
        </w:tabs>
        <w:spacing w:after="20"/>
        <w:ind w:left="340"/>
      </w:pPr>
      <w:hyperlink w:history="1" w:anchor="sec59">
        <w:r>
          <w:rPr>
            <w:b w:val="false"/>
            <w:bCs w:val="false"/>
            <w:color w:val="666666"/>
            <w:sz w:val="20"/>
            <w:szCs w:val="20"/>
          </w:rPr>
          <w:t xml:space="preserve">15.5 Devolución recibida</w:t>
        </w:r>
      </w:hyperlink>
    </w:p>
    <w:p>
      <w:pPr>
        <w:tabs>
          <w:tab w:val="right" w:pos="9026" w:leader="dot"/>
        </w:tabs>
        <w:spacing w:after="60"/>
        <w:ind w:left="0"/>
      </w:pPr>
      <w:hyperlink w:history="1" w:anchor="sec60">
        <w:r>
          <w:rPr>
            <w:b/>
            <w:bCs/>
            <w:color w:val="2B2520"/>
            <w:sz w:val="22"/>
            <w:szCs w:val="22"/>
          </w:rPr>
          <w:t xml:space="preserve">16. Pestaña Calendario — Fechas recurrentes</w:t>
        </w:r>
      </w:hyperlink>
    </w:p>
    <w:p>
      <w:pPr>
        <w:tabs>
          <w:tab w:val="right" w:pos="9026" w:leader="dot"/>
        </w:tabs>
        <w:spacing w:after="20"/>
        <w:ind w:left="340"/>
      </w:pPr>
      <w:hyperlink w:history="1" w:anchor="sec61">
        <w:r>
          <w:rPr>
            <w:b w:val="false"/>
            <w:bCs w:val="false"/>
            <w:color w:val="666666"/>
            <w:sz w:val="20"/>
            <w:szCs w:val="20"/>
          </w:rPr>
          <w:t xml:space="preserve">16.1 Activar / desactivar una fecha</w:t>
        </w:r>
      </w:hyperlink>
    </w:p>
    <w:p>
      <w:pPr>
        <w:tabs>
          <w:tab w:val="right" w:pos="9026" w:leader="dot"/>
        </w:tabs>
        <w:spacing w:after="20"/>
        <w:ind w:left="340"/>
      </w:pPr>
      <w:hyperlink w:history="1" w:anchor="sec62">
        <w:r>
          <w:rPr>
            <w:b w:val="false"/>
            <w:bCs w:val="false"/>
            <w:color w:val="666666"/>
            <w:sz w:val="20"/>
            <w:szCs w:val="20"/>
          </w:rPr>
          <w:t xml:space="preserve">16.2 Personalizar la fecha</w:t>
        </w:r>
      </w:hyperlink>
    </w:p>
    <w:p>
      <w:pPr>
        <w:tabs>
          <w:tab w:val="right" w:pos="9026" w:leader="dot"/>
        </w:tabs>
        <w:spacing w:after="60"/>
        <w:ind w:left="0"/>
      </w:pPr>
      <w:hyperlink w:history="1" w:anchor="sec63">
        <w:r>
          <w:rPr>
            <w:b/>
            <w:bCs/>
            <w:color w:val="2B2520"/>
            <w:sz w:val="22"/>
            <w:szCs w:val="22"/>
          </w:rPr>
          <w:t xml:space="preserve">17. Pestaña Campañas estacionales</w:t>
        </w:r>
      </w:hyperlink>
    </w:p>
    <w:p>
      <w:pPr>
        <w:tabs>
          <w:tab w:val="right" w:pos="9026" w:leader="dot"/>
        </w:tabs>
        <w:spacing w:after="20"/>
        <w:ind w:left="340"/>
      </w:pPr>
      <w:hyperlink w:history="1" w:anchor="sec64">
        <w:r>
          <w:rPr>
            <w:b w:val="false"/>
            <w:bCs w:val="false"/>
            <w:color w:val="666666"/>
            <w:sz w:val="20"/>
            <w:szCs w:val="20"/>
          </w:rPr>
          <w:t xml:space="preserve">17.1 Crear una campaña</w:t>
        </w:r>
      </w:hyperlink>
    </w:p>
    <w:p>
      <w:pPr>
        <w:tabs>
          <w:tab w:val="right" w:pos="9026" w:leader="dot"/>
        </w:tabs>
        <w:spacing w:after="60"/>
        <w:ind w:left="0"/>
      </w:pPr>
      <w:hyperlink w:history="1" w:anchor="sec65">
        <w:r>
          <w:rPr>
            <w:b/>
            <w:bCs/>
            <w:color w:val="2B2520"/>
            <w:sz w:val="22"/>
            <w:szCs w:val="22"/>
          </w:rPr>
          <w:t xml:space="preserve">18. Programa de fidelidad</w:t>
        </w:r>
      </w:hyperlink>
    </w:p>
    <w:p>
      <w:pPr>
        <w:tabs>
          <w:tab w:val="right" w:pos="9026" w:leader="dot"/>
        </w:tabs>
        <w:spacing w:after="20"/>
        <w:ind w:left="340"/>
      </w:pPr>
      <w:hyperlink w:history="1" w:anchor="sec66">
        <w:r>
          <w:rPr>
            <w:b w:val="false"/>
            <w:bCs w:val="false"/>
            <w:color w:val="666666"/>
            <w:sz w:val="20"/>
            <w:szCs w:val="20"/>
          </w:rPr>
          <w:t xml:space="preserve">18.1 Asignación de puntos</w:t>
        </w:r>
      </w:hyperlink>
    </w:p>
    <w:p>
      <w:pPr>
        <w:tabs>
          <w:tab w:val="right" w:pos="9026" w:leader="dot"/>
        </w:tabs>
        <w:spacing w:after="20"/>
        <w:ind w:left="340"/>
      </w:pPr>
      <w:hyperlink w:history="1" w:anchor="sec67">
        <w:r>
          <w:rPr>
            <w:b w:val="false"/>
            <w:bCs w:val="false"/>
            <w:color w:val="666666"/>
            <w:sz w:val="20"/>
            <w:szCs w:val="20"/>
          </w:rPr>
          <w:t xml:space="preserve">18.2 Niveles del programa de fidelidad</w:t>
        </w:r>
      </w:hyperlink>
    </w:p>
    <w:p>
      <w:pPr>
        <w:tabs>
          <w:tab w:val="right" w:pos="9026" w:leader="dot"/>
        </w:tabs>
        <w:spacing w:after="20"/>
        <w:ind w:left="340"/>
      </w:pPr>
      <w:hyperlink w:history="1" w:anchor="sec68">
        <w:r>
          <w:rPr>
            <w:b w:val="false"/>
            <w:bCs w:val="false"/>
            <w:color w:val="666666"/>
            <w:sz w:val="20"/>
            <w:szCs w:val="20"/>
          </w:rPr>
          <w:t xml:space="preserve">18.3 Correos de fidelidad</w:t>
        </w:r>
      </w:hyperlink>
    </w:p>
    <w:p>
      <w:pPr>
        <w:tabs>
          <w:tab w:val="right" w:pos="9026" w:leader="dot"/>
        </w:tabs>
        <w:spacing w:after="20"/>
        <w:ind w:left="340"/>
      </w:pPr>
      <w:hyperlink w:history="1" w:anchor="sec69">
        <w:r>
          <w:rPr>
            <w:b w:val="false"/>
            <w:bCs w:val="false"/>
            <w:color w:val="666666"/>
            <w:sz w:val="20"/>
            <w:szCs w:val="20"/>
          </w:rPr>
          <w:t xml:space="preserve">18.4 Acumulación multi-tienda</w:t>
        </w:r>
      </w:hyperlink>
    </w:p>
    <w:p>
      <w:pPr>
        <w:tabs>
          <w:tab w:val="right" w:pos="9026" w:leader="dot"/>
        </w:tabs>
        <w:spacing w:after="60"/>
        <w:ind w:left="0"/>
      </w:pPr>
      <w:hyperlink w:history="1" w:anchor="sec70">
        <w:r>
          <w:rPr>
            <w:b/>
            <w:bCs/>
            <w:color w:val="2B2520"/>
            <w:sz w:val="22"/>
            <w:szCs w:val="22"/>
          </w:rPr>
          <w:t xml:space="preserve">19. Pestaña Segmentos — Segmentación de comportamiento</w:t>
        </w:r>
      </w:hyperlink>
    </w:p>
    <w:p>
      <w:pPr>
        <w:tabs>
          <w:tab w:val="right" w:pos="9026" w:leader="dot"/>
        </w:tabs>
        <w:spacing w:after="20"/>
        <w:ind w:left="340"/>
      </w:pPr>
      <w:hyperlink w:history="1" w:anchor="sec71">
        <w:r>
          <w:rPr>
            <w:b w:val="false"/>
            <w:bCs w:val="false"/>
            <w:color w:val="666666"/>
            <w:sz w:val="20"/>
            <w:szCs w:val="20"/>
          </w:rPr>
          <w:t xml:space="preserve">19.1 Los 5 segmentos</w:t>
        </w:r>
      </w:hyperlink>
    </w:p>
    <w:p>
      <w:pPr>
        <w:tabs>
          <w:tab w:val="right" w:pos="9026" w:leader="dot"/>
        </w:tabs>
        <w:spacing w:after="20"/>
        <w:ind w:left="340"/>
      </w:pPr>
      <w:hyperlink w:history="1" w:anchor="sec72">
        <w:r>
          <w:rPr>
            <w:b w:val="false"/>
            <w:bCs w:val="false"/>
            <w:color w:val="666666"/>
            <w:sz w:val="20"/>
            <w:szCs w:val="20"/>
          </w:rPr>
          <w:t xml:space="preserve">19.2 Usar los segmentos en campañas</w:t>
        </w:r>
      </w:hyperlink>
    </w:p>
    <w:p>
      <w:pPr>
        <w:tabs>
          <w:tab w:val="right" w:pos="9026" w:leader="dot"/>
        </w:tabs>
        <w:spacing w:after="60"/>
        <w:ind w:left="0"/>
      </w:pPr>
      <w:hyperlink w:history="1" w:anchor="sec73">
        <w:r>
          <w:rPr>
            <w:b/>
            <w:bCs/>
            <w:color w:val="2B2520"/>
            <w:sz w:val="22"/>
            <w:szCs w:val="22"/>
          </w:rPr>
          <w:t xml:space="preserve">20. Golden Hour — Horario de envío óptimo</w:t>
        </w:r>
      </w:hyperlink>
    </w:p>
    <w:p>
      <w:pPr>
        <w:tabs>
          <w:tab w:val="right" w:pos="9026" w:leader="dot"/>
        </w:tabs>
        <w:spacing w:after="60"/>
        <w:ind w:left="0"/>
      </w:pPr>
      <w:hyperlink w:history="1" w:anchor="sec74">
        <w:r>
          <w:rPr>
            <w:b/>
            <w:bCs/>
            <w:color w:val="2B2520"/>
            <w:sz w:val="22"/>
            <w:szCs w:val="22"/>
          </w:rPr>
          <w:t xml:space="preserve">21. Ventana de compra individual</w:t>
        </w:r>
      </w:hyperlink>
    </w:p>
    <w:p>
      <w:pPr>
        <w:tabs>
          <w:tab w:val="right" w:pos="9026" w:leader="dot"/>
        </w:tabs>
        <w:spacing w:after="20"/>
        <w:ind w:left="340"/>
      </w:pPr>
      <w:hyperlink w:history="1" w:anchor="sec75">
        <w:r>
          <w:rPr>
            <w:b w:val="false"/>
            <w:bCs w:val="false"/>
            <w:color w:val="666666"/>
            <w:sz w:val="20"/>
            <w:szCs w:val="20"/>
          </w:rPr>
          <w:t xml:space="preserve">21.1 Activar la cola</w:t>
        </w:r>
      </w:hyperlink>
    </w:p>
    <w:p>
      <w:pPr>
        <w:tabs>
          <w:tab w:val="right" w:pos="9026" w:leader="dot"/>
        </w:tabs>
        <w:spacing w:after="60"/>
        <w:ind w:left="0"/>
      </w:pPr>
      <w:hyperlink w:history="1" w:anchor="sec76">
        <w:r>
          <w:rPr>
            <w:b/>
            <w:bCs/>
            <w:color w:val="2B2520"/>
            <w:sz w:val="22"/>
            <w:szCs w:val="22"/>
          </w:rPr>
          <w:t xml:space="preserve">22. Upsell y completado de colección</w:t>
        </w:r>
      </w:hyperlink>
    </w:p>
    <w:p>
      <w:pPr>
        <w:tabs>
          <w:tab w:val="right" w:pos="9026" w:leader="dot"/>
        </w:tabs>
        <w:spacing w:after="20"/>
        <w:ind w:left="340"/>
      </w:pPr>
      <w:hyperlink w:history="1" w:anchor="sec77">
        <w:r>
          <w:rPr>
            <w:b w:val="false"/>
            <w:bCs w:val="false"/>
            <w:color w:val="666666"/>
            <w:sz w:val="20"/>
            <w:szCs w:val="20"/>
          </w:rPr>
          <w:t xml:space="preserve">22.1 Upsell inteligente</w:t>
        </w:r>
      </w:hyperlink>
    </w:p>
    <w:p>
      <w:pPr>
        <w:tabs>
          <w:tab w:val="right" w:pos="9026" w:leader="dot"/>
        </w:tabs>
        <w:spacing w:after="20"/>
        <w:ind w:left="340"/>
      </w:pPr>
      <w:hyperlink w:history="1" w:anchor="sec78">
        <w:r>
          <w:rPr>
            <w:b w:val="false"/>
            <w:bCs w:val="false"/>
            <w:color w:val="666666"/>
            <w:sz w:val="20"/>
            <w:szCs w:val="20"/>
          </w:rPr>
          <w:t xml:space="preserve">22.2 Completa tu look</w:t>
        </w:r>
      </w:hyperlink>
    </w:p>
    <w:p>
      <w:pPr>
        <w:tabs>
          <w:tab w:val="right" w:pos="9026" w:leader="dot"/>
        </w:tabs>
        <w:spacing w:after="20"/>
        <w:ind w:left="340"/>
      </w:pPr>
      <w:hyperlink w:history="1" w:anchor="sec79">
        <w:r>
          <w:rPr>
            <w:b w:val="false"/>
            <w:bCs w:val="false"/>
            <w:color w:val="666666"/>
            <w:sz w:val="20"/>
            <w:szCs w:val="20"/>
          </w:rPr>
          <w:t xml:space="preserve">22.3 Completado de colección</w:t>
        </w:r>
      </w:hyperlink>
    </w:p>
    <w:p>
      <w:pPr>
        <w:tabs>
          <w:tab w:val="right" w:pos="9026" w:leader="dot"/>
        </w:tabs>
        <w:spacing w:after="60"/>
        <w:ind w:left="0"/>
      </w:pPr>
      <w:hyperlink w:history="1" w:anchor="sec80">
        <w:r>
          <w:rPr>
            <w:b/>
            <w:bCs/>
            <w:color w:val="2B2520"/>
            <w:sz w:val="22"/>
            <w:szCs w:val="22"/>
          </w:rPr>
          <w:t xml:space="preserve">23. Lista de espera de productos</w:t>
        </w:r>
      </w:hyperlink>
    </w:p>
    <w:p>
      <w:pPr>
        <w:tabs>
          <w:tab w:val="right" w:pos="9026" w:leader="dot"/>
        </w:tabs>
        <w:spacing w:after="20"/>
        <w:ind w:left="340"/>
      </w:pPr>
      <w:hyperlink w:history="1" w:anchor="sec81">
        <w:r>
          <w:rPr>
            <w:b w:val="false"/>
            <w:bCs w:val="false"/>
            <w:color w:val="666666"/>
            <w:sz w:val="20"/>
            <w:szCs w:val="20"/>
          </w:rPr>
          <w:t xml:space="preserve">23.1 Configuración</w:t>
        </w:r>
      </w:hyperlink>
    </w:p>
    <w:p>
      <w:pPr>
        <w:tabs>
          <w:tab w:val="right" w:pos="9026" w:leader="dot"/>
        </w:tabs>
        <w:spacing w:after="20"/>
        <w:ind w:left="340"/>
      </w:pPr>
      <w:hyperlink w:history="1" w:anchor="sec82">
        <w:r>
          <w:rPr>
            <w:b w:val="false"/>
            <w:bCs w:val="false"/>
            <w:color w:val="666666"/>
            <w:sz w:val="20"/>
            <w:szCs w:val="20"/>
          </w:rPr>
          <w:t xml:space="preserve">23.2 Gestionar las inscripciones</w:t>
        </w:r>
      </w:hyperlink>
    </w:p>
    <w:p>
      <w:pPr>
        <w:tabs>
          <w:tab w:val="right" w:pos="9026" w:leader="dot"/>
        </w:tabs>
        <w:spacing w:after="60"/>
        <w:ind w:left="0"/>
      </w:pPr>
      <w:hyperlink w:history="1" w:anchor="sec83">
        <w:r>
          <w:rPr>
            <w:b/>
            <w:bCs/>
            <w:color w:val="2B2520"/>
            <w:sz w:val="22"/>
            <w:szCs w:val="22"/>
          </w:rPr>
          <w:t xml:space="preserve">24. Pestaña Pruebas A/B</w:t>
        </w:r>
      </w:hyperlink>
    </w:p>
    <w:p>
      <w:pPr>
        <w:tabs>
          <w:tab w:val="right" w:pos="9026" w:leader="dot"/>
        </w:tabs>
        <w:spacing w:after="20"/>
        <w:ind w:left="340"/>
      </w:pPr>
      <w:hyperlink w:history="1" w:anchor="sec84">
        <w:r>
          <w:rPr>
            <w:b w:val="false"/>
            <w:bCs w:val="false"/>
            <w:color w:val="666666"/>
            <w:sz w:val="20"/>
            <w:szCs w:val="20"/>
          </w:rPr>
          <w:t xml:space="preserve">24.1 Crear una prueba</w:t>
        </w:r>
      </w:hyperlink>
    </w:p>
    <w:p>
      <w:pPr>
        <w:tabs>
          <w:tab w:val="right" w:pos="9026" w:leader="dot"/>
        </w:tabs>
        <w:spacing w:after="20"/>
        <w:ind w:left="340"/>
      </w:pPr>
      <w:hyperlink w:history="1" w:anchor="sec85">
        <w:r>
          <w:rPr>
            <w:b w:val="false"/>
            <w:bCs w:val="false"/>
            <w:color w:val="666666"/>
            <w:sz w:val="20"/>
            <w:szCs w:val="20"/>
          </w:rPr>
          <w:t xml:space="preserve">24.2 Monitorear los resultados</w:t>
        </w:r>
      </w:hyperlink>
    </w:p>
    <w:p>
      <w:pPr>
        <w:tabs>
          <w:tab w:val="right" w:pos="9026" w:leader="dot"/>
        </w:tabs>
        <w:spacing w:after="20"/>
        <w:ind w:left="340"/>
      </w:pPr>
      <w:hyperlink w:history="1" w:anchor="sec86">
        <w:r>
          <w:rPr>
            <w:b w:val="false"/>
            <w:bCs w:val="false"/>
            <w:color w:val="666666"/>
            <w:sz w:val="20"/>
            <w:szCs w:val="20"/>
          </w:rPr>
          <w:t xml:space="preserve">24.3 Determinar el ganador</w:t>
        </w:r>
      </w:hyperlink>
    </w:p>
    <w:p>
      <w:pPr>
        <w:tabs>
          <w:tab w:val="right" w:pos="9026" w:leader="dot"/>
        </w:tabs>
        <w:spacing w:after="60"/>
        <w:ind w:left="0"/>
      </w:pPr>
      <w:hyperlink w:history="1" w:anchor="sec87">
        <w:r>
          <w:rPr>
            <w:b/>
            <w:bCs/>
            <w:color w:val="2B2520"/>
            <w:sz w:val="22"/>
            <w:szCs w:val="22"/>
          </w:rPr>
          <w:t xml:space="preserve">25. Pestaña Estadísticas</w:t>
        </w:r>
      </w:hyperlink>
    </w:p>
    <w:p>
      <w:pPr>
        <w:tabs>
          <w:tab w:val="right" w:pos="9026" w:leader="dot"/>
        </w:tabs>
        <w:spacing w:after="20"/>
        <w:ind w:left="340"/>
      </w:pPr>
      <w:hyperlink w:history="1" w:anchor="sec88">
        <w:r>
          <w:rPr>
            <w:b w:val="false"/>
            <w:bCs w:val="false"/>
            <w:color w:val="666666"/>
            <w:sz w:val="20"/>
            <w:szCs w:val="20"/>
          </w:rPr>
          <w:t xml:space="preserve">25.1 Panel de KPI</w:t>
        </w:r>
      </w:hyperlink>
    </w:p>
    <w:p>
      <w:pPr>
        <w:tabs>
          <w:tab w:val="right" w:pos="9026" w:leader="dot"/>
        </w:tabs>
        <w:spacing w:after="20"/>
        <w:ind w:left="340"/>
      </w:pPr>
      <w:hyperlink w:history="1" w:anchor="sec89">
        <w:r>
          <w:rPr>
            <w:b w:val="false"/>
            <w:bCs w:val="false"/>
            <w:color w:val="666666"/>
            <w:sz w:val="20"/>
            <w:szCs w:val="20"/>
          </w:rPr>
          <w:t xml:space="preserve">25.2 Seguimiento de aperturas y clics</w:t>
        </w:r>
      </w:hyperlink>
    </w:p>
    <w:p>
      <w:pPr>
        <w:tabs>
          <w:tab w:val="right" w:pos="9026" w:leader="dot"/>
        </w:tabs>
        <w:spacing w:after="20"/>
        <w:ind w:left="340"/>
      </w:pPr>
      <w:hyperlink w:history="1" w:anchor="sec90">
        <w:r>
          <w:rPr>
            <w:b w:val="false"/>
            <w:bCs w:val="false"/>
            <w:color w:val="666666"/>
            <w:sz w:val="20"/>
            <w:szCs w:val="20"/>
          </w:rPr>
          <w:t xml:space="preserve">25.3 Atribución de ingresos</w:t>
        </w:r>
      </w:hyperlink>
    </w:p>
    <w:p>
      <w:pPr>
        <w:tabs>
          <w:tab w:val="right" w:pos="9026" w:leader="dot"/>
        </w:tabs>
        <w:spacing w:after="20"/>
        <w:ind w:left="340"/>
      </w:pPr>
      <w:hyperlink w:history="1" w:anchor="sec91">
        <w:r>
          <w:rPr>
            <w:b w:val="false"/>
            <w:bCs w:val="false"/>
            <w:color w:val="666666"/>
            <w:sz w:val="20"/>
            <w:szCs w:val="20"/>
          </w:rPr>
          <w:t xml:space="preserve">25.4 Puntuación de entregabilidad</w:t>
        </w:r>
      </w:hyperlink>
    </w:p>
    <w:p>
      <w:pPr>
        <w:tabs>
          <w:tab w:val="right" w:pos="9026" w:leader="dot"/>
        </w:tabs>
        <w:spacing w:after="20"/>
        <w:ind w:left="340"/>
      </w:pPr>
      <w:hyperlink w:history="1" w:anchor="sec92">
        <w:r>
          <w:rPr>
            <w:b w:val="false"/>
            <w:bCs w:val="false"/>
            <w:color w:val="666666"/>
            <w:sz w:val="20"/>
            <w:szCs w:val="20"/>
          </w:rPr>
          <w:t xml:space="preserve">25.5 Churn score</w:t>
        </w:r>
      </w:hyperlink>
    </w:p>
    <w:p>
      <w:pPr>
        <w:tabs>
          <w:tab w:val="right" w:pos="9026" w:leader="dot"/>
        </w:tabs>
        <w:spacing w:after="20"/>
        <w:ind w:left="340"/>
      </w:pPr>
      <w:hyperlink w:history="1" w:anchor="sec93">
        <w:r>
          <w:rPr>
            <w:b w:val="false"/>
            <w:bCs w:val="false"/>
            <w:color w:val="666666"/>
            <w:sz w:val="20"/>
            <w:szCs w:val="20"/>
          </w:rPr>
          <w:t xml:space="preserve">25.6 CLV — Customer Lifetime Value a 12 meses</w:t>
        </w:r>
      </w:hyperlink>
    </w:p>
    <w:p>
      <w:pPr>
        <w:tabs>
          <w:tab w:val="right" w:pos="9026" w:leader="dot"/>
        </w:tabs>
        <w:spacing w:after="20"/>
        <w:ind w:left="340"/>
      </w:pPr>
      <w:hyperlink w:history="1" w:anchor="sec94">
        <w:r>
          <w:rPr>
            <w:b w:val="false"/>
            <w:bCs w:val="false"/>
            <w:color w:val="666666"/>
            <w:sz w:val="20"/>
            <w:szCs w:val="20"/>
          </w:rPr>
          <w:t xml:space="preserve">25.7 Puntuación de propensión a la compra</w:t>
        </w:r>
      </w:hyperlink>
    </w:p>
    <w:p>
      <w:pPr>
        <w:tabs>
          <w:tab w:val="right" w:pos="9026" w:leader="dot"/>
        </w:tabs>
        <w:spacing w:after="20"/>
        <w:ind w:left="340"/>
      </w:pPr>
      <w:hyperlink w:history="1" w:anchor="sec95">
        <w:r>
          <w:rPr>
            <w:b w:val="false"/>
            <w:bCs w:val="false"/>
            <w:color w:val="666666"/>
            <w:sz w:val="20"/>
            <w:szCs w:val="20"/>
          </w:rPr>
          <w:t xml:space="preserve">25.8 Historial de correos de clientes</w:t>
        </w:r>
      </w:hyperlink>
    </w:p>
    <w:p>
      <w:pPr>
        <w:tabs>
          <w:tab w:val="right" w:pos="9026" w:leader="dot"/>
        </w:tabs>
        <w:spacing w:after="60"/>
        <w:ind w:left="0"/>
      </w:pPr>
      <w:hyperlink w:history="1" w:anchor="sec96">
        <w:r>
          <w:rPr>
            <w:b/>
            <w:bCs/>
            <w:color w:val="2B2520"/>
            <w:sz w:val="22"/>
            <w:szCs w:val="22"/>
          </w:rPr>
          <w:t xml:space="preserve">25b. Pestaña Historial de clientes</w:t>
        </w:r>
      </w:hyperlink>
    </w:p>
    <w:p>
      <w:pPr>
        <w:tabs>
          <w:tab w:val="right" w:pos="9026" w:leader="dot"/>
        </w:tabs>
        <w:spacing w:after="20"/>
        <w:ind w:left="340"/>
      </w:pPr>
      <w:hyperlink w:history="1" w:anchor="sec97">
        <w:r>
          <w:rPr>
            <w:b w:val="false"/>
            <w:bCs w:val="false"/>
            <w:color w:val="666666"/>
            <w:sz w:val="20"/>
            <w:szCs w:val="20"/>
          </w:rPr>
          <w:t xml:space="preserve">25b.1 Filtros disponibles</w:t>
        </w:r>
      </w:hyperlink>
    </w:p>
    <w:p>
      <w:pPr>
        <w:tabs>
          <w:tab w:val="right" w:pos="9026" w:leader="dot"/>
        </w:tabs>
        <w:spacing w:after="20"/>
        <w:ind w:left="340"/>
      </w:pPr>
      <w:hyperlink w:history="1" w:anchor="sec98">
        <w:r>
          <w:rPr>
            <w:b w:val="false"/>
            <w:bCs w:val="false"/>
            <w:color w:val="666666"/>
            <w:sz w:val="20"/>
            <w:szCs w:val="20"/>
          </w:rPr>
          <w:t xml:space="preserve">25b.2 Exportación CSV</w:t>
        </w:r>
      </w:hyperlink>
    </w:p>
    <w:p>
      <w:pPr>
        <w:tabs>
          <w:tab w:val="right" w:pos="9026" w:leader="dot"/>
        </w:tabs>
        <w:spacing w:after="60"/>
        <w:ind w:left="0"/>
      </w:pPr>
      <w:hyperlink w:history="1" w:anchor="sec99">
        <w:r>
          <w:rPr>
            <w:b/>
            <w:bCs/>
            <w:color w:val="2B2520"/>
            <w:sz w:val="22"/>
            <w:szCs w:val="22"/>
          </w:rPr>
          <w:t xml:space="preserve">26. Informe mensual automático</w:t>
        </w:r>
      </w:hyperlink>
    </w:p>
    <w:p>
      <w:pPr>
        <w:tabs>
          <w:tab w:val="right" w:pos="9026" w:leader="dot"/>
        </w:tabs>
        <w:spacing w:after="20"/>
        <w:ind w:left="340"/>
      </w:pPr>
      <w:hyperlink w:history="1" w:anchor="sec100">
        <w:r>
          <w:rPr>
            <w:b w:val="false"/>
            <w:bCs w:val="false"/>
            <w:color w:val="666666"/>
            <w:sz w:val="20"/>
            <w:szCs w:val="20"/>
          </w:rPr>
          <w:t xml:space="preserve">26.1 Configuración</w:t>
        </w:r>
      </w:hyperlink>
    </w:p>
    <w:p>
      <w:pPr>
        <w:tabs>
          <w:tab w:val="right" w:pos="9026" w:leader="dot"/>
        </w:tabs>
        <w:spacing w:after="60"/>
        <w:ind w:left="0"/>
      </w:pPr>
      <w:hyperlink w:history="1" w:anchor="sec101">
        <w:r>
          <w:rPr>
            <w:b/>
            <w:bCs/>
            <w:color w:val="2B2520"/>
            <w:sz w:val="22"/>
            <w:szCs w:val="22"/>
          </w:rPr>
          <w:t xml:space="preserve">27. Reputación del dominio de envío</w:t>
        </w:r>
      </w:hyperlink>
    </w:p>
    <w:p>
      <w:pPr>
        <w:tabs>
          <w:tab w:val="right" w:pos="9026" w:leader="dot"/>
        </w:tabs>
        <w:spacing w:after="20"/>
        <w:ind w:left="340"/>
      </w:pPr>
      <w:hyperlink w:history="1" w:anchor="sec102">
        <w:r>
          <w:rPr>
            <w:b w:val="false"/>
            <w:bCs w:val="false"/>
            <w:color w:val="666666"/>
            <w:sz w:val="20"/>
            <w:szCs w:val="20"/>
          </w:rPr>
          <w:t xml:space="preserve">27.1 Interpretar los resultados</w:t>
        </w:r>
      </w:hyperlink>
    </w:p>
    <w:p>
      <w:pPr>
        <w:tabs>
          <w:tab w:val="right" w:pos="9026" w:leader="dot"/>
        </w:tabs>
        <w:spacing w:after="60"/>
        <w:ind w:left="0"/>
      </w:pPr>
      <w:hyperlink w:history="1" w:anchor="sec103">
        <w:r>
          <w:rPr>
            <w:b/>
            <w:bCs/>
            <w:color w:val="2B2520"/>
            <w:sz w:val="22"/>
            <w:szCs w:val="22"/>
          </w:rPr>
          <w:t xml:space="preserve">28. Integraciones de Google y SEO</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y Moz (opcionales)</w:t>
        </w:r>
      </w:hyperlink>
    </w:p>
    <w:p>
      <w:pPr>
        <w:tabs>
          <w:tab w:val="right" w:pos="9026" w:leader="dot"/>
        </w:tabs>
        <w:spacing w:after="60"/>
        <w:ind w:left="0"/>
      </w:pPr>
      <w:hyperlink w:history="1" w:anchor="sec108">
        <w:r>
          <w:rPr>
            <w:b/>
            <w:bCs/>
            <w:color w:val="2B2520"/>
            <w:sz w:val="22"/>
            <w:szCs w:val="22"/>
          </w:rPr>
          <w:t xml:space="preserve">29. Pestaña Rebotes — Gestión de direcciones no válidas</w:t>
        </w:r>
      </w:hyperlink>
    </w:p>
    <w:p>
      <w:pPr>
        <w:tabs>
          <w:tab w:val="right" w:pos="9026" w:leader="dot"/>
        </w:tabs>
        <w:spacing w:after="20"/>
        <w:ind w:left="340"/>
      </w:pPr>
      <w:hyperlink w:history="1" w:anchor="sec109">
        <w:r>
          <w:rPr>
            <w:b w:val="false"/>
            <w:bCs w:val="false"/>
            <w:color w:val="666666"/>
            <w:sz w:val="20"/>
            <w:szCs w:val="20"/>
          </w:rPr>
          <w:t xml:space="preserve">29.1 Configuración IMAP</w:t>
        </w:r>
      </w:hyperlink>
    </w:p>
    <w:p>
      <w:pPr>
        <w:tabs>
          <w:tab w:val="right" w:pos="9026" w:leader="dot"/>
        </w:tabs>
        <w:spacing w:after="20"/>
        <w:ind w:left="340"/>
      </w:pPr>
      <w:hyperlink w:history="1" w:anchor="sec110">
        <w:r>
          <w:rPr>
            <w:b w:val="false"/>
            <w:bCs w:val="false"/>
            <w:color w:val="666666"/>
            <w:sz w:val="20"/>
            <w:szCs w:val="20"/>
          </w:rPr>
          <w:t xml:space="preserve">29.2 Configuración de webhook ESP</w:t>
        </w:r>
      </w:hyperlink>
    </w:p>
    <w:p>
      <w:pPr>
        <w:tabs>
          <w:tab w:val="right" w:pos="9026" w:leader="dot"/>
        </w:tabs>
        <w:spacing w:after="20"/>
        <w:ind w:left="340"/>
      </w:pPr>
      <w:hyperlink w:history="1" w:anchor="sec111">
        <w:r>
          <w:rPr>
            <w:b w:val="false"/>
            <w:bCs w:val="false"/>
            <w:color w:val="666666"/>
            <w:sz w:val="20"/>
            <w:szCs w:val="20"/>
          </w:rPr>
          <w:t xml:space="preserve">29.3 Hard bounce y soft bounce</w:t>
        </w:r>
      </w:hyperlink>
    </w:p>
    <w:p>
      <w:pPr>
        <w:tabs>
          <w:tab w:val="right" w:pos="9026" w:leader="dot"/>
        </w:tabs>
        <w:spacing w:after="60"/>
        <w:ind w:left="0"/>
      </w:pPr>
      <w:hyperlink w:history="1" w:anchor="sec112">
        <w:r>
          <w:rPr>
            <w:b/>
            <w:bCs/>
            <w:color w:val="2B2520"/>
            <w:sz w:val="22"/>
            <w:szCs w:val="22"/>
          </w:rPr>
          <w:t xml:space="preserve">30. Certificados de autenticidad</w:t>
        </w:r>
      </w:hyperlink>
    </w:p>
    <w:p>
      <w:pPr>
        <w:tabs>
          <w:tab w:val="right" w:pos="9026" w:leader="dot"/>
        </w:tabs>
        <w:spacing w:after="20"/>
        <w:ind w:left="340"/>
      </w:pPr>
      <w:hyperlink w:history="1" w:anchor="sec113">
        <w:r>
          <w:rPr>
            <w:b w:val="false"/>
            <w:bCs w:val="false"/>
            <w:color w:val="666666"/>
            <w:sz w:val="20"/>
            <w:szCs w:val="20"/>
          </w:rPr>
          <w:t xml:space="preserve">30.1 Configuración</w:t>
        </w:r>
      </w:hyperlink>
    </w:p>
    <w:p>
      <w:pPr>
        <w:tabs>
          <w:tab w:val="right" w:pos="9026" w:leader="dot"/>
        </w:tabs>
        <w:spacing w:after="20"/>
        <w:ind w:left="340"/>
      </w:pPr>
      <w:hyperlink w:history="1" w:anchor="sec114">
        <w:r>
          <w:rPr>
            <w:b w:val="false"/>
            <w:bCs w:val="false"/>
            <w:color w:val="666666"/>
            <w:sz w:val="20"/>
            <w:szCs w:val="20"/>
          </w:rPr>
          <w:t xml:space="preserve">30.2 Emitir un certificado manualmente</w:t>
        </w:r>
      </w:hyperlink>
    </w:p>
    <w:p>
      <w:pPr>
        <w:tabs>
          <w:tab w:val="right" w:pos="9026" w:leader="dot"/>
        </w:tabs>
        <w:spacing w:after="60"/>
        <w:ind w:left="0"/>
      </w:pPr>
      <w:hyperlink w:history="1" w:anchor="sec115">
        <w:r>
          <w:rPr>
            <w:b/>
            <w:bCs/>
            <w:color w:val="2B2520"/>
            <w:sz w:val="22"/>
            <w:szCs w:val="22"/>
          </w:rPr>
          <w:t xml:space="preserve">31. Centro de preferencias del cliente</w:t>
        </w:r>
      </w:hyperlink>
    </w:p>
    <w:p>
      <w:pPr>
        <w:tabs>
          <w:tab w:val="right" w:pos="9026" w:leader="dot"/>
        </w:tabs>
        <w:spacing w:after="20"/>
        <w:ind w:left="340"/>
      </w:pPr>
      <w:hyperlink w:history="1" w:anchor="sec116">
        <w:r>
          <w:rPr>
            <w:b w:val="false"/>
            <w:bCs w:val="false"/>
            <w:color w:val="666666"/>
            <w:sz w:val="20"/>
            <w:szCs w:val="20"/>
          </w:rPr>
          <w:t xml:space="preserve">31.1 Categorías de preferencias</w:t>
        </w:r>
      </w:hyperlink>
    </w:p>
    <w:p>
      <w:pPr>
        <w:tabs>
          <w:tab w:val="right" w:pos="9026" w:leader="dot"/>
        </w:tabs>
        <w:spacing w:after="20"/>
        <w:ind w:left="340"/>
      </w:pPr>
      <w:hyperlink w:history="1" w:anchor="sec117">
        <w:r>
          <w:rPr>
            <w:b w:val="false"/>
            <w:bCs w:val="false"/>
            <w:color w:val="666666"/>
            <w:sz w:val="20"/>
            <w:szCs w:val="20"/>
          </w:rPr>
          <w:t xml:space="preserve">31.2 Baja global</w:t>
        </w:r>
      </w:hyperlink>
    </w:p>
    <w:p>
      <w:pPr>
        <w:tabs>
          <w:tab w:val="right" w:pos="9026" w:leader="dot"/>
        </w:tabs>
        <w:spacing w:after="60"/>
        <w:ind w:left="0"/>
      </w:pPr>
      <w:hyperlink w:history="1" w:anchor="sec118">
        <w:r>
          <w:rPr>
            <w:b/>
            <w:bCs/>
            <w:color w:val="2B2520"/>
            <w:sz w:val="22"/>
            <w:szCs w:val="22"/>
          </w:rPr>
          <w:t xml:space="preserve">32. Pestaña RGPD — Auditoría y cumplimiento</w:t>
        </w:r>
      </w:hyperlink>
    </w:p>
    <w:p>
      <w:pPr>
        <w:tabs>
          <w:tab w:val="right" w:pos="9026" w:leader="dot"/>
        </w:tabs>
        <w:spacing w:after="20"/>
        <w:ind w:left="340"/>
      </w:pPr>
      <w:hyperlink w:history="1" w:anchor="sec119">
        <w:r>
          <w:rPr>
            <w:b w:val="false"/>
            <w:bCs w:val="false"/>
            <w:color w:val="666666"/>
            <w:sz w:val="20"/>
            <w:szCs w:val="20"/>
          </w:rPr>
          <w:t xml:space="preserve">32.1 Puntuación de cumplimiento</w:t>
        </w:r>
      </w:hyperlink>
    </w:p>
    <w:p>
      <w:pPr>
        <w:tabs>
          <w:tab w:val="right" w:pos="9026" w:leader="dot"/>
        </w:tabs>
        <w:spacing w:after="20"/>
        <w:ind w:left="340"/>
      </w:pPr>
      <w:hyperlink w:history="1" w:anchor="sec120">
        <w:r>
          <w:rPr>
            <w:b w:val="false"/>
            <w:bCs w:val="false"/>
            <w:color w:val="666666"/>
            <w:sz w:val="20"/>
            <w:szCs w:val="20"/>
          </w:rPr>
          <w:t xml:space="preserve">32.2 Plazos de conservación</w:t>
        </w:r>
      </w:hyperlink>
    </w:p>
    <w:p>
      <w:pPr>
        <w:tabs>
          <w:tab w:val="right" w:pos="9026" w:leader="dot"/>
        </w:tabs>
        <w:spacing w:after="20"/>
        <w:ind w:left="340"/>
      </w:pPr>
      <w:hyperlink w:history="1" w:anchor="sec121">
        <w:r>
          <w:rPr>
            <w:b w:val="false"/>
            <w:bCs w:val="false"/>
            <w:color w:val="666666"/>
            <w:sz w:val="20"/>
            <w:szCs w:val="20"/>
          </w:rPr>
          <w:t xml:space="preserve">32.3 Eliminación de datos</w:t>
        </w:r>
      </w:hyperlink>
    </w:p>
    <w:p>
      <w:pPr>
        <w:tabs>
          <w:tab w:val="right" w:pos="9026" w:leader="dot"/>
        </w:tabs>
        <w:spacing w:after="60"/>
        <w:ind w:left="0"/>
      </w:pPr>
      <w:hyperlink w:history="1" w:anchor="sec122">
        <w:r>
          <w:rPr>
            <w:b/>
            <w:bCs/>
            <w:color w:val="2B2520"/>
            <w:sz w:val="22"/>
            <w:szCs w:val="22"/>
          </w:rPr>
          <w:t xml:space="preserve">33. Cifrado de datos sensibles</w:t>
        </w:r>
      </w:hyperlink>
    </w:p>
    <w:p>
      <w:pPr>
        <w:tabs>
          <w:tab w:val="right" w:pos="9026" w:leader="dot"/>
        </w:tabs>
        <w:spacing w:after="20"/>
        <w:ind w:left="340"/>
      </w:pPr>
      <w:hyperlink w:history="1" w:anchor="sec123">
        <w:r>
          <w:rPr>
            <w:b w:val="false"/>
            <w:bCs w:val="false"/>
            <w:color w:val="666666"/>
            <w:sz w:val="20"/>
            <w:szCs w:val="20"/>
          </w:rPr>
          <w:t xml:space="preserve">33.1 Qué se cifra</w:t>
        </w:r>
      </w:hyperlink>
    </w:p>
    <w:p>
      <w:pPr>
        <w:tabs>
          <w:tab w:val="right" w:pos="9026" w:leader="dot"/>
        </w:tabs>
        <w:spacing w:after="20"/>
        <w:ind w:left="340"/>
      </w:pPr>
      <w:hyperlink w:history="1" w:anchor="sec124">
        <w:r>
          <w:rPr>
            <w:b w:val="false"/>
            <w:bCs w:val="false"/>
            <w:color w:val="666666"/>
            <w:sz w:val="20"/>
            <w:szCs w:val="20"/>
          </w:rPr>
          <w:t xml:space="preserve">33.2 Cómo funciona</w:t>
        </w:r>
      </w:hyperlink>
    </w:p>
    <w:p>
      <w:pPr>
        <w:tabs>
          <w:tab w:val="right" w:pos="9026" w:leader="dot"/>
        </w:tabs>
        <w:spacing w:after="20"/>
        <w:ind w:left="340"/>
      </w:pPr>
      <w:hyperlink w:history="1" w:anchor="sec125">
        <w:r>
          <w:rPr>
            <w:b w:val="false"/>
            <w:bCs w:val="false"/>
            <w:color w:val="666666"/>
            <w:sz w:val="20"/>
            <w:szCs w:val="20"/>
          </w:rPr>
          <w:t xml:space="preserve">33.3 Monitoreo del Watchdog</w:t>
        </w:r>
      </w:hyperlink>
    </w:p>
    <w:p>
      <w:pPr>
        <w:tabs>
          <w:tab w:val="right" w:pos="9026" w:leader="dot"/>
        </w:tabs>
        <w:spacing w:after="20"/>
        <w:ind w:left="340"/>
      </w:pPr>
      <w:hyperlink w:history="1" w:anchor="sec126">
        <w:r>
          <w:rPr>
            <w:b w:val="false"/>
            <w:bCs w:val="false"/>
            <w:color w:val="666666"/>
            <w:sz w:val="20"/>
            <w:szCs w:val="20"/>
          </w:rPr>
          <w:t xml:space="preserve">33.4 Migración retroactiva</w:t>
        </w:r>
      </w:hyperlink>
    </w:p>
    <w:p>
      <w:pPr>
        <w:tabs>
          <w:tab w:val="right" w:pos="9026" w:leader="dot"/>
        </w:tabs>
        <w:spacing w:after="60"/>
        <w:ind w:left="0"/>
      </w:pPr>
      <w:hyperlink w:history="1" w:anchor="sec127">
        <w:r>
          <w:rPr>
            <w:b/>
            <w:bCs/>
            <w:color w:val="2B2520"/>
            <w:sz w:val="22"/>
            <w:szCs w:val="22"/>
          </w:rPr>
          <w:t xml:space="preserve">34. Pestaña Webhooks — Integraciones de terceros</w:t>
        </w:r>
      </w:hyperlink>
    </w:p>
    <w:p>
      <w:pPr>
        <w:tabs>
          <w:tab w:val="right" w:pos="9026" w:leader="dot"/>
        </w:tabs>
        <w:spacing w:after="20"/>
        <w:ind w:left="340"/>
      </w:pPr>
      <w:hyperlink w:history="1" w:anchor="sec128">
        <w:r>
          <w:rPr>
            <w:b w:val="false"/>
            <w:bCs w:val="false"/>
            <w:color w:val="666666"/>
            <w:sz w:val="20"/>
            <w:szCs w:val="20"/>
          </w:rPr>
          <w:t xml:space="preserve">34.1 Eventos disponibles</w:t>
        </w:r>
      </w:hyperlink>
    </w:p>
    <w:p>
      <w:pPr>
        <w:tabs>
          <w:tab w:val="right" w:pos="9026" w:leader="dot"/>
        </w:tabs>
        <w:spacing w:after="20"/>
        <w:ind w:left="340"/>
      </w:pPr>
      <w:hyperlink w:history="1" w:anchor="sec129">
        <w:r>
          <w:rPr>
            <w:b w:val="false"/>
            <w:bCs w:val="false"/>
            <w:color w:val="666666"/>
            <w:sz w:val="20"/>
            <w:szCs w:val="20"/>
          </w:rPr>
          <w:t xml:space="preserve">34.2 Configurar un endpoint</w:t>
        </w:r>
      </w:hyperlink>
    </w:p>
    <w:p>
      <w:pPr>
        <w:tabs>
          <w:tab w:val="right" w:pos="9026" w:leader="dot"/>
        </w:tabs>
        <w:spacing w:after="60"/>
        <w:ind w:left="0"/>
      </w:pPr>
      <w:hyperlink w:history="1" w:anchor="sec130">
        <w:r>
          <w:rPr>
            <w:b/>
            <w:bCs/>
            <w:color w:val="2B2520"/>
            <w:sz w:val="22"/>
            <w:szCs w:val="22"/>
          </w:rPr>
          <w:t xml:space="preserve">35. Testigo silencioso — Archivo BCC</w:t>
        </w:r>
      </w:hyperlink>
    </w:p>
    <w:p>
      <w:pPr>
        <w:tabs>
          <w:tab w:val="right" w:pos="9026" w:leader="dot"/>
        </w:tabs>
        <w:spacing w:after="60"/>
        <w:ind w:left="0"/>
      </w:pPr>
      <w:hyperlink w:history="1" w:anchor="sec131">
        <w:r>
          <w:rPr>
            <w:b/>
            <w:bCs/>
            <w:color w:val="2B2520"/>
            <w:sz w:val="22"/>
            <w:szCs w:val="22"/>
          </w:rPr>
          <w:t xml:space="preserve">36. Correo de respaldo inteligente</w:t>
        </w:r>
      </w:hyperlink>
    </w:p>
    <w:p>
      <w:pPr>
        <w:tabs>
          <w:tab w:val="right" w:pos="9026" w:leader="dot"/>
        </w:tabs>
        <w:spacing w:after="60"/>
        <w:ind w:left="0"/>
      </w:pPr>
      <w:hyperlink w:history="1" w:anchor="sec132">
        <w:r>
          <w:rPr>
            <w:b/>
            <w:bCs/>
            <w:color w:val="2B2520"/>
            <w:sz w:val="22"/>
            <w:szCs w:val="22"/>
          </w:rPr>
          <w:t xml:space="preserve">37. Modo silencio — Anti-duplicado</w:t>
        </w:r>
      </w:hyperlink>
    </w:p>
    <w:p>
      <w:pPr>
        <w:tabs>
          <w:tab w:val="right" w:pos="9026" w:leader="dot"/>
        </w:tabs>
        <w:spacing w:after="60"/>
        <w:ind w:left="0"/>
      </w:pPr>
      <w:hyperlink w:history="1" w:anchor="sec133">
        <w:r>
          <w:rPr>
            <w:b/>
            <w:bCs/>
            <w:color w:val="2B2520"/>
            <w:sz w:val="22"/>
            <w:szCs w:val="22"/>
          </w:rPr>
          <w:t xml:space="preserve">38. Pestaña Ayuda — Watchdog &amp; Diagnóstico</w:t>
        </w:r>
      </w:hyperlink>
    </w:p>
    <w:p>
      <w:pPr>
        <w:tabs>
          <w:tab w:val="right" w:pos="9026" w:leader="dot"/>
        </w:tabs>
        <w:spacing w:after="20"/>
        <w:ind w:left="340"/>
      </w:pPr>
      <w:hyperlink w:history="1" w:anchor="sec134">
        <w:r>
          <w:rPr>
            <w:b w:val="false"/>
            <w:bCs w:val="false"/>
            <w:color w:val="666666"/>
            <w:sz w:val="20"/>
            <w:szCs w:val="20"/>
          </w:rPr>
          <w:t xml:space="preserve">38.1 Registro de eventos</w:t>
        </w:r>
      </w:hyperlink>
    </w:p>
    <w:p>
      <w:pPr>
        <w:tabs>
          <w:tab w:val="right" w:pos="9026" w:leader="dot"/>
        </w:tabs>
        <w:spacing w:after="20"/>
        <w:ind w:left="340"/>
      </w:pPr>
      <w:hyperlink w:history="1" w:anchor="sec135">
        <w:r>
          <w:rPr>
            <w:b w:val="false"/>
            <w:bCs w:val="false"/>
            <w:color w:val="666666"/>
            <w:sz w:val="20"/>
            <w:szCs w:val="20"/>
          </w:rPr>
          <w:t xml:space="preserve">38.2 Alertas automáticas</w:t>
        </w:r>
      </w:hyperlink>
    </w:p>
    <w:p>
      <w:pPr>
        <w:tabs>
          <w:tab w:val="right" w:pos="9026" w:leader="dot"/>
        </w:tabs>
        <w:spacing w:after="20"/>
        <w:ind w:left="340"/>
      </w:pPr>
      <w:hyperlink w:history="1" w:anchor="sec136">
        <w:r>
          <w:rPr>
            <w:b w:val="false"/>
            <w:bCs w:val="false"/>
            <w:color w:val="666666"/>
            <w:sz w:val="20"/>
            <w:szCs w:val="20"/>
          </w:rPr>
          <w:t xml:space="preserve">38.3 Auto-reparación</w:t>
        </w:r>
      </w:hyperlink>
    </w:p>
    <w:p>
      <w:pPr>
        <w:tabs>
          <w:tab w:val="right" w:pos="9026" w:leader="dot"/>
        </w:tabs>
        <w:spacing w:after="20"/>
        <w:ind w:left="340"/>
      </w:pPr>
      <w:hyperlink w:history="1" w:anchor="sec137">
        <w:r>
          <w:rPr>
            <w:b w:val="false"/>
            <w:bCs w:val="false"/>
            <w:color w:val="666666"/>
            <w:sz w:val="20"/>
            <w:szCs w:val="20"/>
          </w:rPr>
          <w:t xml:space="preserve">38.4 Diagnóstico completo</w:t>
        </w:r>
      </w:hyperlink>
    </w:p>
    <w:p>
      <w:pPr>
        <w:tabs>
          <w:tab w:val="right" w:pos="9026" w:leader="dot"/>
        </w:tabs>
        <w:spacing w:after="20"/>
        <w:ind w:left="340"/>
      </w:pPr>
      <w:hyperlink w:history="1" w:anchor="sec138">
        <w:r>
          <w:rPr>
            <w:b w:val="false"/>
            <w:bCs w:val="false"/>
            <w:color w:val="666666"/>
            <w:sz w:val="20"/>
            <w:szCs w:val="20"/>
          </w:rPr>
          <w:t xml:space="preserve">38.5 Página de emergencia</w:t>
        </w:r>
      </w:hyperlink>
    </w:p>
    <w:p>
      <w:pPr>
        <w:tabs>
          <w:tab w:val="right" w:pos="9026" w:leader="dot"/>
        </w:tabs>
        <w:spacing w:after="60"/>
        <w:ind w:left="0"/>
      </w:pPr>
      <w:hyperlink w:history="1" w:anchor="sec139">
        <w:r>
          <w:rPr>
            <w:b/>
            <w:bCs/>
            <w:color w:val="2B2520"/>
            <w:sz w:val="22"/>
            <w:szCs w:val="22"/>
          </w:rPr>
          <w:t xml:space="preserve">39. Centro de control</w:t>
        </w:r>
      </w:hyperlink>
    </w:p>
    <w:p>
      <w:pPr>
        <w:tabs>
          <w:tab w:val="right" w:pos="9026" w:leader="dot"/>
        </w:tabs>
        <w:spacing w:after="60"/>
        <w:ind w:left="0"/>
      </w:pPr>
      <w:hyperlink w:history="1" w:anchor="sec140">
        <w:r>
          <w:rPr>
            <w:b/>
            <w:bCs/>
            <w:color w:val="2B2520"/>
            <w:sz w:val="22"/>
            <w:szCs w:val="22"/>
          </w:rPr>
          <w:t xml:space="preserve">40. Neria Academy</w:t>
        </w:r>
      </w:hyperlink>
    </w:p>
    <w:p>
      <w:pPr>
        <w:tabs>
          <w:tab w:val="right" w:pos="9026" w:leader="dot"/>
        </w:tabs>
        <w:spacing w:after="60"/>
        <w:ind w:left="0"/>
      </w:pPr>
      <w:hyperlink w:history="1" w:anchor="sec141">
        <w:r>
          <w:rPr>
            <w:b/>
            <w:bCs/>
            <w:color w:val="2B2520"/>
            <w:sz w:val="22"/>
            <w:szCs w:val="22"/>
          </w:rPr>
          <w:t xml:space="preserve">41. Catálogo de las 117 plantillas de correo electrónico</w:t>
        </w:r>
      </w:hyperlink>
    </w:p>
    <w:p>
      <w:pPr>
        <w:tabs>
          <w:tab w:val="right" w:pos="9026" w:leader="dot"/>
        </w:tabs>
        <w:spacing w:after="20"/>
        <w:ind w:left="340"/>
      </w:pPr>
      <w:hyperlink w:history="1" w:anchor="sec142">
        <w:r>
          <w:rPr>
            <w:b w:val="false"/>
            <w:bCs w:val="false"/>
            <w:color w:val="666666"/>
            <w:sz w:val="20"/>
            <w:szCs w:val="20"/>
          </w:rPr>
          <w:t xml:space="preserve">41.1 Correos transaccionales de PrestaShop (rediseñados)</w:t>
        </w:r>
      </w:hyperlink>
    </w:p>
    <w:p>
      <w:pPr>
        <w:tabs>
          <w:tab w:val="right" w:pos="9026" w:leader="dot"/>
        </w:tabs>
        <w:spacing w:after="20"/>
        <w:ind w:left="340"/>
      </w:pPr>
      <w:hyperlink w:history="1" w:anchor="sec143">
        <w:r>
          <w:rPr>
            <w:b w:val="false"/>
            <w:bCs w:val="false"/>
            <w:color w:val="666666"/>
            <w:sz w:val="20"/>
            <w:szCs w:val="20"/>
          </w:rPr>
          <w:t xml:space="preserve">41.2 Correos de comportamiento</w:t>
        </w:r>
      </w:hyperlink>
    </w:p>
    <w:p>
      <w:pPr>
        <w:tabs>
          <w:tab w:val="right" w:pos="9026" w:leader="dot"/>
        </w:tabs>
        <w:spacing w:after="20"/>
        <w:ind w:left="340"/>
      </w:pPr>
      <w:hyperlink w:history="1" w:anchor="sec144">
        <w:r>
          <w:rPr>
            <w:b w:val="false"/>
            <w:bCs w:val="false"/>
            <w:color w:val="666666"/>
            <w:sz w:val="20"/>
            <w:szCs w:val="20"/>
          </w:rPr>
          <w:t xml:space="preserve">41.3 Correos de lujo y experiencia</w:t>
        </w:r>
      </w:hyperlink>
    </w:p>
    <w:p>
      <w:pPr>
        <w:tabs>
          <w:tab w:val="right" w:pos="9026" w:leader="dot"/>
        </w:tabs>
        <w:spacing w:after="20"/>
        <w:ind w:left="340"/>
      </w:pPr>
      <w:hyperlink w:history="1" w:anchor="sec145">
        <w:r>
          <w:rPr>
            <w:b w:val="false"/>
            <w:bCs w:val="false"/>
            <w:color w:val="666666"/>
            <w:sz w:val="20"/>
            <w:szCs w:val="20"/>
          </w:rPr>
          <w:t xml:space="preserve">41.4 Correos de fidelidad</w:t>
        </w:r>
      </w:hyperlink>
    </w:p>
    <w:p>
      <w:pPr>
        <w:tabs>
          <w:tab w:val="right" w:pos="9026" w:leader="dot"/>
        </w:tabs>
        <w:spacing w:after="20"/>
        <w:ind w:left="340"/>
      </w:pPr>
      <w:hyperlink w:history="1" w:anchor="sec146">
        <w:r>
          <w:rPr>
            <w:b w:val="false"/>
            <w:bCs w:val="false"/>
            <w:color w:val="666666"/>
            <w:sz w:val="20"/>
            <w:szCs w:val="20"/>
          </w:rPr>
          <w:t xml:space="preserve">41.5 Correos de calendario</w:t>
        </w:r>
      </w:hyperlink>
    </w:p>
    <w:p>
      <w:pPr>
        <w:tabs>
          <w:tab w:val="right" w:pos="9026" w:leader="dot"/>
        </w:tabs>
        <w:spacing w:after="20"/>
        <w:ind w:left="340"/>
      </w:pPr>
      <w:hyperlink w:history="1" w:anchor="sec147">
        <w:r>
          <w:rPr>
            <w:b w:val="false"/>
            <w:bCs w:val="false"/>
            <w:color w:val="666666"/>
            <w:sz w:val="20"/>
            <w:szCs w:val="20"/>
          </w:rPr>
          <w:t xml:space="preserve">41.6 Correos B2B</w:t>
        </w:r>
      </w:hyperlink>
    </w:p>
    <w:p>
      <w:pPr>
        <w:tabs>
          <w:tab w:val="right" w:pos="9026" w:leader="dot"/>
        </w:tabs>
        <w:spacing w:after="20"/>
        <w:ind w:left="340"/>
      </w:pPr>
      <w:hyperlink w:history="1" w:anchor="sec148">
        <w:r>
          <w:rPr>
            <w:b w:val="false"/>
            <w:bCs w:val="false"/>
            <w:color w:val="666666"/>
            <w:sz w:val="20"/>
            <w:szCs w:val="20"/>
          </w:rPr>
          <w:t xml:space="preserve">41.7 Correos de sistema Neria</w:t>
        </w:r>
      </w:hyperlink>
    </w:p>
    <w:p>
      <w:pPr>
        <w:tabs>
          <w:tab w:val="right" w:pos="9026" w:leader="dot"/>
        </w:tabs>
        <w:spacing w:after="60"/>
        <w:ind w:left="0"/>
      </w:pPr>
      <w:hyperlink w:history="1" w:anchor="sec149">
        <w:r>
          <w:rPr>
            <w:b/>
            <w:bCs/>
            <w:color w:val="2B2520"/>
            <w:sz w:val="22"/>
            <w:szCs w:val="22"/>
          </w:rPr>
          <w:t xml:space="preserve">42. Preguntas frecuentes</w:t>
        </w:r>
      </w:hyperlink>
    </w:p>
    <w:p>
      <w:pPr>
        <w:tabs>
          <w:tab w:val="right" w:pos="9026" w:leader="dot"/>
        </w:tabs>
        <w:spacing w:after="20"/>
        <w:ind w:left="340"/>
      </w:pPr>
      <w:hyperlink w:history="1" w:anchor="sec150">
        <w:r>
          <w:rPr>
            <w:b w:val="false"/>
            <w:bCs w:val="false"/>
            <w:color w:val="666666"/>
            <w:sz w:val="20"/>
            <w:szCs w:val="20"/>
          </w:rPr>
          <w:t xml:space="preserve">Los correos no se envían — ¿qué debo comprobar?</w:t>
        </w:r>
      </w:hyperlink>
    </w:p>
    <w:p>
      <w:pPr>
        <w:tabs>
          <w:tab w:val="right" w:pos="9026" w:leader="dot"/>
        </w:tabs>
        <w:spacing w:after="20"/>
        <w:ind w:left="340"/>
      </w:pPr>
      <w:hyperlink w:history="1" w:anchor="sec151">
        <w:r>
          <w:rPr>
            <w:b w:val="false"/>
            <w:bCs w:val="false"/>
            <w:color w:val="666666"/>
            <w:sz w:val="20"/>
            <w:szCs w:val="20"/>
          </w:rPr>
          <w:t xml:space="preserve">¿Puedo personalizar el texto de un correo concreto?</w:t>
        </w:r>
      </w:hyperlink>
    </w:p>
    <w:p>
      <w:pPr>
        <w:tabs>
          <w:tab w:val="right" w:pos="9026" w:leader="dot"/>
        </w:tabs>
        <w:spacing w:after="20"/>
        <w:ind w:left="340"/>
      </w:pPr>
      <w:hyperlink w:history="1" w:anchor="sec152">
        <w:r>
          <w:rPr>
            <w:b w:val="false"/>
            <w:bCs w:val="false"/>
            <w:color w:val="666666"/>
            <w:sz w:val="20"/>
            <w:szCs w:val="20"/>
          </w:rPr>
          <w:t xml:space="preserve">Una plantilla no me convence — ¿puedo desactivarla?</w:t>
        </w:r>
      </w:hyperlink>
    </w:p>
    <w:p>
      <w:pPr>
        <w:tabs>
          <w:tab w:val="right" w:pos="9026" w:leader="dot"/>
        </w:tabs>
        <w:spacing w:after="20"/>
        <w:ind w:left="340"/>
      </w:pPr>
      <w:hyperlink w:history="1" w:anchor="sec153">
        <w:r>
          <w:rPr>
            <w:b w:val="false"/>
            <w:bCs w:val="false"/>
            <w:color w:val="666666"/>
            <w:sz w:val="20"/>
            <w:szCs w:val="20"/>
          </w:rPr>
          <w:t xml:space="preserve">¿Cómo ajusto el horario de envío de las automatizaciones?</w:t>
        </w:r>
      </w:hyperlink>
    </w:p>
    <w:p>
      <w:pPr>
        <w:tabs>
          <w:tab w:val="right" w:pos="9026" w:leader="dot"/>
        </w:tabs>
        <w:spacing w:after="20"/>
        <w:ind w:left="340"/>
      </w:pPr>
      <w:hyperlink w:history="1" w:anchor="sec154">
        <w:r>
          <w:rPr>
            <w:b w:val="false"/>
            <w:bCs w:val="false"/>
            <w:color w:val="666666"/>
            <w:sz w:val="20"/>
            <w:szCs w:val="20"/>
          </w:rPr>
          <w:t xml:space="preserve">¿El módulo ralentiza mi tienda?</w:t>
        </w:r>
      </w:hyperlink>
    </w:p>
    <w:p>
      <w:pPr>
        <w:tabs>
          <w:tab w:val="right" w:pos="9026" w:leader="dot"/>
        </w:tabs>
        <w:spacing w:after="20"/>
        <w:ind w:left="340"/>
      </w:pPr>
      <w:hyperlink w:history="1" w:anchor="sec155">
        <w:r>
          <w:rPr>
            <w:b w:val="false"/>
            <w:bCs w:val="false"/>
            <w:color w:val="666666"/>
            <w:sz w:val="20"/>
            <w:szCs w:val="20"/>
          </w:rPr>
          <w:t xml:space="preserve">¿Cómo obtengo ayuda?</w:t>
        </w:r>
      </w:hyperlink>
    </w:p>
    <w:p>
      <w:pPr>
        <w:tabs>
          <w:tab w:val="right" w:pos="9026" w:leader="dot"/>
        </w:tabs>
        <w:spacing w:after="60"/>
        <w:ind w:left="0"/>
      </w:pPr>
      <w:hyperlink w:history="1" w:anchor="sec156">
        <w:r>
          <w:rPr>
            <w:b/>
            <w:bCs/>
            <w:color w:val="2B2520"/>
            <w:sz w:val="22"/>
            <w:szCs w:val="22"/>
          </w:rPr>
          <w:t xml:space="preserve">43. Soporte y Business Care</w:t>
        </w:r>
      </w:hyperlink>
    </w:p>
    <w:p>
      <w:pPr>
        <w:tabs>
          <w:tab w:val="right" w:pos="9026" w:leader="dot"/>
        </w:tabs>
        <w:spacing w:after="20"/>
        <w:ind w:left="340"/>
      </w:pPr>
      <w:hyperlink w:history="1" w:anchor="sec157">
        <w:r>
          <w:rPr>
            <w:b w:val="false"/>
            <w:bCs w:val="false"/>
            <w:color w:val="666666"/>
            <w:sz w:val="20"/>
            <w:szCs w:val="20"/>
          </w:rPr>
          <w:t xml:space="preserve">43.1 Soporte técnico</w:t>
        </w:r>
      </w:hyperlink>
    </w:p>
    <w:p>
      <w:pPr>
        <w:tabs>
          <w:tab w:val="right" w:pos="9026" w:leader="dot"/>
        </w:tabs>
        <w:spacing w:after="20"/>
        <w:ind w:left="340"/>
      </w:pPr>
      <w:hyperlink w:history="1" w:anchor="sec158">
        <w:r>
          <w:rPr>
            <w:b w:val="false"/>
            <w:bCs w:val="false"/>
            <w:color w:val="666666"/>
            <w:sz w:val="20"/>
            <w:szCs w:val="20"/>
          </w:rPr>
          <w:t xml:space="preserve">43.2 Business Care — 12 meses incluidos</w:t>
        </w:r>
      </w:hyperlink>
    </w:p>
    <w:p>
      <w:pPr>
        <w:tabs>
          <w:tab w:val="right" w:pos="9026" w:leader="dot"/>
        </w:tabs>
        <w:spacing w:after="20"/>
        <w:ind w:left="340"/>
      </w:pPr>
      <w:hyperlink w:history="1" w:anchor="sec159">
        <w:r>
          <w:rPr>
            <w:b w:val="false"/>
            <w:bCs w:val="false"/>
            <w:color w:val="666666"/>
            <w:sz w:val="20"/>
            <w:szCs w:val="20"/>
          </w:rPr>
          <w:t xml:space="preserve">43.3 Renovación</w:t>
        </w:r>
      </w:hyperlink>
    </w:p>
    <w:p>
      <w:pPr>
        <w:tabs>
          <w:tab w:val="right" w:pos="9026" w:leader="dot"/>
        </w:tabs>
        <w:spacing w:after="60"/>
        <w:ind w:left="0"/>
      </w:pPr>
      <w:hyperlink w:history="1" w:anchor="sec160">
        <w:r>
          <w:rPr>
            <w:b/>
            <w:bCs/>
            <w:color w:val="2B2520"/>
            <w:sz w:val="22"/>
            <w:szCs w:val="22"/>
          </w:rPr>
          <w:t xml:space="preserve">Apéndice A — Información legal</w:t>
        </w:r>
      </w:hyperlink>
    </w:p>
    <w:p>
      <w:pPr>
        <w:tabs>
          <w:tab w:val="right" w:pos="9026" w:leader="dot"/>
        </w:tabs>
        <w:spacing w:after="20"/>
        <w:ind w:left="340"/>
      </w:pPr>
      <w:hyperlink w:history="1" w:anchor="sec161">
        <w:r>
          <w:rPr>
            <w:b w:val="false"/>
            <w:bCs w:val="false"/>
            <w:color w:val="666666"/>
            <w:sz w:val="20"/>
            <w:szCs w:val="20"/>
          </w:rPr>
          <w:t xml:space="preserve">A.1 Licencia del módulo</w:t>
        </w:r>
      </w:hyperlink>
    </w:p>
    <w:p>
      <w:pPr>
        <w:tabs>
          <w:tab w:val="right" w:pos="9026" w:leader="dot"/>
        </w:tabs>
        <w:spacing w:after="20"/>
        <w:ind w:left="340"/>
      </w:pPr>
      <w:hyperlink w:history="1" w:anchor="sec162">
        <w:r>
          <w:rPr>
            <w:b w:val="false"/>
            <w:bCs w:val="false"/>
            <w:color w:val="666666"/>
            <w:sz w:val="20"/>
            <w:szCs w:val="20"/>
          </w:rPr>
          <w:t xml:space="preserve">A.2 Derechos de autor</w:t>
        </w:r>
      </w:hyperlink>
    </w:p>
    <w:p>
      <w:pPr>
        <w:tabs>
          <w:tab w:val="right" w:pos="9026" w:leader="dot"/>
        </w:tabs>
        <w:spacing w:after="20"/>
        <w:ind w:left="340"/>
      </w:pPr>
      <w:hyperlink w:history="1" w:anchor="sec163">
        <w:r>
          <w:rPr>
            <w:b w:val="false"/>
            <w:bCs w:val="false"/>
            <w:color w:val="666666"/>
            <w:sz w:val="20"/>
            <w:szCs w:val="20"/>
          </w:rPr>
          <w:t xml:space="preserve">A.3 Fuentes de terceros utilizadas</w:t>
        </w:r>
      </w:hyperlink>
    </w:p>
    <w:p>
      <w:pPr>
        <w:tabs>
          <w:tab w:val="right" w:pos="9026" w:leader="dot"/>
        </w:tabs>
        <w:spacing w:after="20"/>
        <w:ind w:left="340"/>
      </w:pPr>
      <w:hyperlink w:history="1" w:anchor="sec164">
        <w:r>
          <w:rPr>
            <w:b w:val="false"/>
            <w:bCs w:val="false"/>
            <w:color w:val="666666"/>
            <w:sz w:val="20"/>
            <w:szCs w:val="20"/>
          </w:rPr>
          <w:t xml:space="preserve">A.4 Bibliotecas de terceros</w:t>
        </w:r>
      </w:hyperlink>
    </w:p>
    <w:p>
      <w:pPr>
        <w:tabs>
          <w:tab w:val="right" w:pos="9026" w:leader="dot"/>
        </w:tabs>
        <w:spacing w:after="20"/>
        <w:ind w:left="340"/>
      </w:pPr>
      <w:hyperlink w:history="1" w:anchor="sec165">
        <w:r>
          <w:rPr>
            <w:b w:val="false"/>
            <w:bCs w:val="false"/>
            <w:color w:val="666666"/>
            <w:sz w:val="20"/>
            <w:szCs w:val="20"/>
          </w:rPr>
          <w:t xml:space="preserve">A.5 Datos personales</w:t>
        </w:r>
      </w:hyperlink>
    </w:p>
    <w:p>
      <w:r>
        <w:br w:type="page"/>
      </w:r>
    </w:p>
    <w:p>
      <w:pPr>
        <w:pStyle w:val="Heading1"/>
        <w:pageBreakBefore/>
        <w:spacing w:after="200" w:before="500"/>
      </w:pPr>
      <w:bookmarkStart w:name="sec1" w:id="1"/>
      <w:r>
        <w:t xml:space="preserve">1. Acerca de Neria</w:t>
      </w:r>
      <w:bookmarkEnd w:id="1"/>
    </w:p>
    <w:p>
      <w:pPr>
        <w:spacing w:after="160"/>
      </w:pPr>
      <w:r>
        <w:t xml:space="preserve">Neria — Luxury Email Suite es un módulo premium para PrestaShop que reemplaza completamente el sistema de correo electrónico nativo de la plataforma por un motor de renderizado unificado, elegante y multilingüe, enriquecido con 88 funcionalidades que van desde las automatizaciones de comportamiento hasta la inteligencia analítica avanzada.</w:t>
      </w:r>
    </w:p>
    <w:p>
      <w:pPr>
        <w:spacing w:after="160"/>
      </w:pPr>
      <w:r>
        <w:t xml:space="preserve">Está orientado a tiendas online de productos de lujo — joyería, marroquinería, moda, artesanía, decoración — para las que cada correo electrónico es un acto de comunicación de marca, no una simple notificación del sistema.</w:t>
      </w:r>
    </w:p>
    <w:p>
      <w:pPr>
        <w:pStyle w:val="Heading2"/>
        <w:spacing w:after="140" w:before="320"/>
      </w:pPr>
      <w:bookmarkStart w:name="sec2" w:id="1"/>
      <w:r>
        <w:t xml:space="preserve">1.1 Compatibilidad</w:t>
      </w:r>
      <w:bookmarkEnd w:id="1"/>
    </w:p>
    <w:p>
      <w:pPr>
        <w:pStyle w:val="ListParagraph"/>
        <w:numPr>
          <w:ilvl w:val="0"/>
          <w:numId w:val="2"/>
        </w:numPr>
        <w:spacing w:after="80"/>
      </w:pPr>
      <w:r>
        <w:t xml:space="preserve">PrestaShop 8.x (probado hasta la versión 8.2) y PrestaShop 9.x (probado hasta la versión 9.0.2 con la nueva interfaz Hummingbird).</w:t>
      </w:r>
    </w:p>
    <w:p>
      <w:pPr>
        <w:pStyle w:val="ListParagraph"/>
        <w:numPr>
          <w:ilvl w:val="0"/>
          <w:numId w:val="2"/>
        </w:numPr>
        <w:spacing w:after="80"/>
      </w:pPr>
      <w:r>
        <w:t xml:space="preserve">PHP 7.4 como mínimo, PHP 8.1+ recomendado. Extensiones requeridas: OpenSSL, cURL, GD o Imagick, mbstring, json.</w:t>
      </w:r>
    </w:p>
    <w:p>
      <w:pPr>
        <w:pStyle w:val="ListParagraph"/>
        <w:numPr>
          <w:ilvl w:val="0"/>
          <w:numId w:val="2"/>
        </w:numPr>
        <w:spacing w:after="80"/>
      </w:pPr>
      <w:r>
        <w:t xml:space="preserve">Compatible con tiendas únicas y multishop. Todas las funcionalidades están aisladas por tienda.</w:t>
      </w:r>
    </w:p>
    <w:p>
      <w:pPr>
        <w:pStyle w:val="ListParagraph"/>
        <w:numPr>
          <w:ilvl w:val="0"/>
          <w:numId w:val="2"/>
        </w:numPr>
        <w:spacing w:after="80"/>
      </w:pPr>
      <w:r>
        <w:t xml:space="preserve">Servidor de correo: cualquier servidor compatible con SMTP (nativo de PrestaShop). Neria no envía por sí mismo — diseña y enriquece.</w:t>
      </w:r>
    </w:p>
    <w:p>
      <w:pPr>
        <w:pStyle w:val="Heading2"/>
        <w:spacing w:after="140" w:before="320"/>
      </w:pPr>
      <w:bookmarkStart w:name="sec3" w:id="1"/>
      <w:r>
        <w:t xml:space="preserve">1.2 Qué hace Neria automáticamente</w:t>
      </w:r>
      <w:bookmarkEnd w:id="1"/>
    </w:p>
    <w:p>
      <w:pPr>
        <w:spacing w:after="160"/>
      </w:pPr>
      <w:r>
        <w:t xml:space="preserve">Una vez activado, Neria intercepta a través del hook actionEmailSendBefore cada correo electrónico enviado por PrestaShop o por cualquier otro módulo instalado. Identifica la plantilla, determina el idioma real del destinatario, aplica la identidad visual de la marca (colores, logotipo, tipografía), inyecta variables de enriquecimiento (seguimiento, A/B, fidelidad, redes sociales…) y redirige el correo enriquecido al mecanismo de envío nativo de PrestaShop. No se requiere ninguna configuración adicional para que los correos transaccionales estándar se beneficien inmediatamente del nuevo diseño.</w:t>
      </w:r>
    </w:p>
    <w:p>
      <w:pPr>
        <w:pStyle w:val="Heading2"/>
        <w:spacing w:after="140" w:before="320"/>
      </w:pPr>
      <w:bookmarkStart w:name="sec4" w:id="1"/>
      <w:r>
        <w:t xml:space="preserve">1.3 Llamadas de red externas</w:t>
      </w:r>
      <w:bookmarkEnd w:id="1"/>
    </w:p>
    <w:p>
      <w:pPr>
        <w:spacing w:after="160"/>
      </w:pPr>
      <w:r>
        <w:t xml:space="preserve">Neria realiza una única llamada de red externa a su propio servidor de licencias (neriasoftware.com), como máximo una vez cada 24 horas, para verificar la validez de la clave. Datos transmitidos: clave de licencia, nombre de dominio, versión del módulo. No se transmiten datos personales de los clientes. En caso de indisponibilidad del servidor, el último estado verificado permanece en caché indefinidamente — una interrupción en el lado del editor nunca puede bloquear el envío de correos electrónicos.</w:t>
      </w:r>
    </w:p>
    <w:p>
      <w:r>
        <w:br w:type="page"/>
      </w:r>
    </w:p>
    <w:p>
      <w:pPr>
        <w:pStyle w:val="Heading1"/>
        <w:pageBreakBefore/>
        <w:spacing w:after="200" w:before="500"/>
      </w:pPr>
      <w:bookmarkStart w:name="sec5" w:id="1"/>
      <w:r>
        <w:t xml:space="preserve">2. Requisitos técnicos</w:t>
      </w:r>
      <w:bookmarkEnd w:id="1"/>
    </w:p>
    <w:p>
      <w:pPr>
        <w:pStyle w:val="Heading2"/>
        <w:spacing w:after="140" w:before="320"/>
      </w:pPr>
      <w:bookmarkStart w:name="sec6" w:id="1"/>
      <w:r>
        <w:t xml:space="preserve">2.1 Entorno del servidor</w:t>
      </w:r>
      <w:bookmarkEnd w:id="1"/>
    </w:p>
    <w:p>
      <w:pPr>
        <w:pStyle w:val="ListParagraph"/>
        <w:numPr>
          <w:ilvl w:val="0"/>
          <w:numId w:val="2"/>
        </w:numPr>
        <w:spacing w:after="80"/>
      </w:pPr>
      <w:r>
        <w:t xml:space="preserve">PHP: 7.4 como mínimo (8.1+ recomendado para el rendimiento JSON)</w:t>
      </w:r>
    </w:p>
    <w:p>
      <w:pPr>
        <w:pStyle w:val="ListParagraph"/>
        <w:numPr>
          <w:ilvl w:val="0"/>
          <w:numId w:val="2"/>
        </w:numPr>
        <w:spacing w:after="80"/>
      </w:pPr>
      <w:r>
        <w:t xml:space="preserve">Extensión OpenSSL: necesaria para el cifrado AES-256-GCM de los datos sensibles en la base de datos</w:t>
      </w:r>
    </w:p>
    <w:p>
      <w:pPr>
        <w:pStyle w:val="ListParagraph"/>
        <w:numPr>
          <w:ilvl w:val="0"/>
          <w:numId w:val="2"/>
        </w:numPr>
        <w:spacing w:after="80"/>
      </w:pPr>
      <w:r>
        <w:t xml:space="preserve">Extensión cURL: necesaria para las llamadas a la API (licencia, Gmail Postmaster, Google Search Console, PageSpeed, DeepL, Semrush, Moz)</w:t>
      </w:r>
    </w:p>
    <w:p>
      <w:pPr>
        <w:pStyle w:val="ListParagraph"/>
        <w:numPr>
          <w:ilvl w:val="0"/>
          <w:numId w:val="2"/>
        </w:numPr>
        <w:spacing w:after="80"/>
      </w:pPr>
      <w:r>
        <w:t xml:space="preserve">Extensión GD o Imagick: necesaria para la generación de firmas manuscritas (SignatureGenerator)</w:t>
      </w:r>
    </w:p>
    <w:p>
      <w:pPr>
        <w:pStyle w:val="ListParagraph"/>
        <w:numPr>
          <w:ilvl w:val="0"/>
          <w:numId w:val="2"/>
        </w:numPr>
        <w:spacing w:after="80"/>
      </w:pPr>
      <w:r>
        <w:t xml:space="preserve">Extensión mbstring: necesaria para el procesamiento de cadenas multilingüe (árabe, japonés, coreano, chino)</w:t>
      </w:r>
    </w:p>
    <w:p>
      <w:pPr>
        <w:pStyle w:val="ListParagraph"/>
        <w:numPr>
          <w:ilvl w:val="0"/>
          <w:numId w:val="2"/>
        </w:numPr>
        <w:spacing w:after="80"/>
      </w:pPr>
      <w:r>
        <w:t xml:space="preserve">Extensión json: estándar, incluida en todas las instalaciones PHP modernas</w:t>
      </w:r>
    </w:p>
    <w:p>
      <w:pPr>
        <w:pStyle w:val="ListParagraph"/>
        <w:numPr>
          <w:ilvl w:val="0"/>
          <w:numId w:val="2"/>
        </w:numPr>
        <w:spacing w:after="80"/>
      </w:pPr>
      <w:r>
        <w:t xml:space="preserve">MySQL 5.7+ o MariaDB 10.3+: 38 tablas creadas en la instalación (prefijo neria_)</w:t>
      </w:r>
    </w:p>
    <w:p>
      <w:pPr>
        <w:pStyle w:val="Heading2"/>
        <w:spacing w:after="140" w:before="320"/>
      </w:pPr>
      <w:bookmarkStart w:name="sec7" w:id="1"/>
      <w:r>
        <w:t xml:space="preserve">2.2 Hooks de PrestaShop utilizados</w:t>
      </w:r>
      <w:bookmarkEnd w:id="1"/>
    </w:p>
    <w:p>
      <w:pPr>
        <w:pStyle w:val="ListParagraph"/>
        <w:numPr>
          <w:ilvl w:val="0"/>
          <w:numId w:val="2"/>
        </w:numPr>
        <w:spacing w:after="80"/>
      </w:pPr>
      <w:r>
        <w:t xml:space="preserve">actionEmailSendBefore — interceptación de todos los correos salientes</w:t>
      </w:r>
    </w:p>
    <w:p>
      <w:pPr>
        <w:pStyle w:val="ListParagraph"/>
        <w:numPr>
          <w:ilvl w:val="0"/>
          <w:numId w:val="2"/>
        </w:numPr>
        <w:spacing w:after="80"/>
      </w:pPr>
      <w:r>
        <w:t xml:space="preserve">actionMailAlterMessageBeforeSend — adición de la cabecera List-Unsubscribe RFC 8058</w:t>
      </w:r>
    </w:p>
    <w:p>
      <w:pPr>
        <w:pStyle w:val="ListParagraph"/>
        <w:numPr>
          <w:ilvl w:val="0"/>
          <w:numId w:val="2"/>
        </w:numPr>
        <w:spacing w:after="80"/>
      </w:pPr>
      <w:r>
        <w:t xml:space="preserve">actionObjectOrderAddAfter — disparadores post-pedido (atribución, fidelidad, hitos)</w:t>
      </w:r>
    </w:p>
    <w:p>
      <w:pPr>
        <w:pStyle w:val="ListParagraph"/>
        <w:numPr>
          <w:ilvl w:val="0"/>
          <w:numId w:val="2"/>
        </w:numPr>
        <w:spacing w:after="80"/>
      </w:pPr>
      <w:r>
        <w:t xml:space="preserve">actionOrderStatusPostUpdate — seguimiento del estado del pedido (enviado, entregado, reembolsado, devuelto)</w:t>
      </w:r>
    </w:p>
    <w:p>
      <w:pPr>
        <w:pStyle w:val="ListParagraph"/>
        <w:numPr>
          <w:ilvl w:val="0"/>
          <w:numId w:val="2"/>
        </w:numPr>
        <w:spacing w:after="80"/>
      </w:pPr>
      <w:r>
        <w:t xml:space="preserve">actionObjectOrderSlipAddAfter — disparador de reembolso</w:t>
      </w:r>
    </w:p>
    <w:p>
      <w:pPr>
        <w:pStyle w:val="ListParagraph"/>
        <w:numPr>
          <w:ilvl w:val="0"/>
          <w:numId w:val="2"/>
        </w:numPr>
        <w:spacing w:after="80"/>
      </w:pPr>
      <w:r>
        <w:t xml:space="preserve">actionObjectOrderReturnAddAfter — disparador de devolución de mercancía</w:t>
      </w:r>
    </w:p>
    <w:p>
      <w:pPr>
        <w:pStyle w:val="ListParagraph"/>
        <w:numPr>
          <w:ilvl w:val="0"/>
          <w:numId w:val="2"/>
        </w:numPr>
        <w:spacing w:after="80"/>
      </w:pPr>
      <w:r>
        <w:t xml:space="preserve">actionUpdateQuantity — detección de reposición de stock (lista de espera)</w:t>
      </w:r>
    </w:p>
    <w:p>
      <w:pPr>
        <w:pStyle w:val="ListParagraph"/>
        <w:numPr>
          <w:ilvl w:val="0"/>
          <w:numId w:val="2"/>
        </w:numPr>
        <w:spacing w:after="80"/>
      </w:pPr>
      <w:r>
        <w:t xml:space="preserve">actionDeleteGDPRCustomer — eliminación de datos del cliente por solicitud RGPD</w:t>
      </w:r>
    </w:p>
    <w:p>
      <w:pPr>
        <w:pStyle w:val="ListParagraph"/>
        <w:numPr>
          <w:ilvl w:val="0"/>
          <w:numId w:val="2"/>
        </w:numPr>
        <w:spacing w:after="80"/>
      </w:pPr>
      <w:r>
        <w:t xml:space="preserve">displayAdminOrderMainBottom — bloque de certificado en la página de detalle del pedido</w:t>
      </w:r>
    </w:p>
    <w:p>
      <w:pPr>
        <w:pStyle w:val="ListParagraph"/>
        <w:numPr>
          <w:ilvl w:val="0"/>
          <w:numId w:val="2"/>
        </w:numPr>
        <w:spacing w:after="80"/>
      </w:pPr>
      <w:r>
        <w:t xml:space="preserve">displayCustomerAccount — historial de correos en el perfil del cliente</w:t>
      </w:r>
    </w:p>
    <w:p>
      <w:pPr>
        <w:pStyle w:val="ListParagraph"/>
        <w:numPr>
          <w:ilvl w:val="0"/>
          <w:numId w:val="2"/>
        </w:numPr>
        <w:spacing w:after="80"/>
      </w:pPr>
      <w:r>
        <w:t xml:space="preserve">displayHeader — cron de comportamiento alternativo si no hay cron de servidor configurado</w:t>
      </w:r>
    </w:p>
    <w:p>
      <w:pPr>
        <w:pStyle w:val="Heading2"/>
        <w:spacing w:after="140" w:before="320"/>
      </w:pPr>
      <w:bookmarkStart w:name="sec8" w:id="1"/>
      <w:r>
        <w:t xml:space="preserve">2.3 Tablas SQL creadas</w:t>
      </w:r>
      <w:bookmarkEnd w:id="1"/>
    </w:p>
    <w:p>
      <w:pPr>
        <w:spacing w:after="160"/>
      </w:pPr>
      <w:r>
        <w:t xml:space="preserve">En la instalación se crean 38 tablas, todas precedidas por el prefijo de la tienda seguido de neria_:</w:t>
      </w:r>
    </w:p>
    <w:p>
      <w:pPr>
        <w:pStyle w:val="ListParagraph"/>
        <w:numPr>
          <w:ilvl w:val="0"/>
          <w:numId w:val="2"/>
        </w:numPr>
        <w:spacing w:after="80"/>
      </w:pPr>
      <w:r>
        <w:t xml:space="preserve">neria_stat: eventos de seguimiento (envíos, aperturas, clics, conversiones)</w:t>
      </w:r>
    </w:p>
    <w:p>
      <w:pPr>
        <w:pStyle w:val="ListParagraph"/>
        <w:numPr>
          <w:ilvl w:val="0"/>
          <w:numId w:val="2"/>
        </w:numPr>
        <w:spacing w:after="80"/>
      </w:pPr>
      <w:r>
        <w:t xml:space="preserve">neria_translation / neria_translation_history: textos localizados de las plantillas (19 idiomas) e historial de cambios</w:t>
      </w:r>
    </w:p>
    <w:p>
      <w:pPr>
        <w:pStyle w:val="ListParagraph"/>
        <w:numPr>
          <w:ilvl w:val="0"/>
          <w:numId w:val="2"/>
        </w:numPr>
        <w:spacing w:after="80"/>
      </w:pPr>
      <w:r>
        <w:t xml:space="preserve">neria_abtest / neria_abtest_translation / neria_abtest_history: definición, variantes de texto e historial de las pruebas A/B finalizadas</w:t>
      </w:r>
    </w:p>
    <w:p>
      <w:pPr>
        <w:pStyle w:val="ListParagraph"/>
        <w:numPr>
          <w:ilvl w:val="0"/>
          <w:numId w:val="2"/>
        </w:numPr>
        <w:spacing w:after="80"/>
      </w:pPr>
      <w:r>
        <w:t xml:space="preserve">neria_loyalty_points / neria_loyalty_rewards: acumulación de puntos y recompensas del programa de fidelidad</w:t>
      </w:r>
    </w:p>
    <w:p>
      <w:pPr>
        <w:pStyle w:val="ListParagraph"/>
        <w:numPr>
          <w:ilvl w:val="0"/>
          <w:numId w:val="2"/>
        </w:numPr>
        <w:spacing w:after="80"/>
      </w:pPr>
      <w:r>
        <w:t xml:space="preserve">neria_waitlist: inscripciones en la lista de espera por producto</w:t>
      </w:r>
    </w:p>
    <w:p>
      <w:pPr>
        <w:pStyle w:val="ListParagraph"/>
        <w:numPr>
          <w:ilvl w:val="0"/>
          <w:numId w:val="2"/>
        </w:numPr>
        <w:spacing w:after="80"/>
      </w:pPr>
      <w:r>
        <w:t xml:space="preserve">neria_customer_segment: segmentación de comportamiento por cliente</w:t>
      </w:r>
    </w:p>
    <w:p>
      <w:pPr>
        <w:pStyle w:val="ListParagraph"/>
        <w:numPr>
          <w:ilvl w:val="0"/>
          <w:numId w:val="2"/>
        </w:numPr>
        <w:spacing w:after="80"/>
      </w:pPr>
      <w:r>
        <w:t xml:space="preserve">neria_churn_score: puntuación de riesgo de abandono por cliente</w:t>
      </w:r>
    </w:p>
    <w:p>
      <w:pPr>
        <w:pStyle w:val="ListParagraph"/>
        <w:numPr>
          <w:ilvl w:val="0"/>
          <w:numId w:val="2"/>
        </w:numPr>
        <w:spacing w:after="80"/>
      </w:pPr>
      <w:r>
        <w:t xml:space="preserve">neria_propensity_score: puntuación de propensión a la compra</w:t>
      </w:r>
    </w:p>
    <w:p>
      <w:pPr>
        <w:pStyle w:val="ListParagraph"/>
        <w:numPr>
          <w:ilvl w:val="0"/>
          <w:numId w:val="2"/>
        </w:numPr>
        <w:spacing w:after="80"/>
      </w:pPr>
      <w:r>
        <w:t xml:space="preserve">neria_attribution: seguimiento last-click 24h para la atribución de ingresos</w:t>
      </w:r>
    </w:p>
    <w:p>
      <w:pPr>
        <w:pStyle w:val="ListParagraph"/>
        <w:numPr>
          <w:ilvl w:val="0"/>
          <w:numId w:val="2"/>
        </w:numPr>
        <w:spacing w:after="80"/>
      </w:pPr>
      <w:r>
        <w:t xml:space="preserve">neria_upsell: sugerencias de upsell post-compra enviadas</w:t>
      </w:r>
    </w:p>
    <w:p>
      <w:pPr>
        <w:pStyle w:val="ListParagraph"/>
        <w:numPr>
          <w:ilvl w:val="0"/>
          <w:numId w:val="2"/>
        </w:numPr>
        <w:spacing w:after="80"/>
      </w:pPr>
      <w:r>
        <w:t xml:space="preserve">neria_webhook_queue: cola de webhooks salientes</w:t>
      </w:r>
    </w:p>
    <w:p>
      <w:pPr>
        <w:pStyle w:val="ListParagraph"/>
        <w:numPr>
          <w:ilvl w:val="0"/>
          <w:numId w:val="2"/>
        </w:numPr>
        <w:spacing w:after="80"/>
      </w:pPr>
      <w:r>
        <w:t xml:space="preserve">neria_bounces: direcciones de correo electrónico no válidas (hard bounce / soft bounce)</w:t>
      </w:r>
    </w:p>
    <w:p>
      <w:pPr>
        <w:pStyle w:val="ListParagraph"/>
        <w:numPr>
          <w:ilvl w:val="0"/>
          <w:numId w:val="2"/>
        </w:numPr>
        <w:spacing w:after="80"/>
      </w:pPr>
      <w:r>
        <w:t xml:space="preserve">neria_log: registro interno del Watchdog (eventos INFO/WARNING/ERROR)</w:t>
      </w:r>
    </w:p>
    <w:p>
      <w:pPr>
        <w:pStyle w:val="ListParagraph"/>
        <w:numPr>
          <w:ilvl w:val="0"/>
          <w:numId w:val="2"/>
        </w:numPr>
        <w:spacing w:after="80"/>
      </w:pPr>
      <w:r>
        <w:t xml:space="preserve">neria_collection / neria_collection_sent: reglas y deduplicación de los envíos de completado de colección</w:t>
      </w:r>
    </w:p>
    <w:p>
      <w:pPr>
        <w:pStyle w:val="ListParagraph"/>
        <w:numPr>
          <w:ilvl w:val="0"/>
          <w:numId w:val="2"/>
        </w:numPr>
        <w:spacing w:after="80"/>
      </w:pPr>
      <w:r>
        <w:t xml:space="preserve">neria_look_rule / neria_look_sent: reglas y deduplicación de los envíos «Completa tu look»</w:t>
      </w:r>
    </w:p>
    <w:p>
      <w:pPr>
        <w:pStyle w:val="ListParagraph"/>
        <w:numPr>
          <w:ilvl w:val="0"/>
          <w:numId w:val="2"/>
        </w:numPr>
        <w:spacing w:after="80"/>
      </w:pPr>
      <w:r>
        <w:t xml:space="preserve">neria_seasonal_campaign: campañas estacionales recurrentes</w:t>
      </w:r>
    </w:p>
    <w:p>
      <w:pPr>
        <w:pStyle w:val="ListParagraph"/>
        <w:numPr>
          <w:ilvl w:val="0"/>
          <w:numId w:val="2"/>
        </w:numPr>
        <w:spacing w:after="80"/>
      </w:pPr>
      <w:r>
        <w:t xml:space="preserve">neria_queue: cola de envío diferido a la hora preferida</w:t>
      </w:r>
    </w:p>
    <w:p>
      <w:pPr>
        <w:pStyle w:val="ListParagraph"/>
        <w:numPr>
          <w:ilvl w:val="0"/>
          <w:numId w:val="2"/>
        </w:numPr>
        <w:spacing w:after="80"/>
      </w:pPr>
      <w:r>
        <w:t xml:space="preserve">neria_certificate: registro de certificados de autenticidad emitidos</w:t>
      </w:r>
    </w:p>
    <w:p>
      <w:pPr>
        <w:pStyle w:val="ListParagraph"/>
        <w:numPr>
          <w:ilvl w:val="0"/>
          <w:numId w:val="2"/>
        </w:numPr>
        <w:spacing w:after="80"/>
      </w:pPr>
      <w:r>
        <w:t xml:space="preserve">neria_quote: recordatorios de presupuestos B2B</w:t>
      </w:r>
    </w:p>
    <w:p>
      <w:pPr>
        <w:pStyle w:val="ListParagraph"/>
        <w:numPr>
          <w:ilvl w:val="0"/>
          <w:numId w:val="2"/>
        </w:numPr>
        <w:spacing w:after="80"/>
      </w:pPr>
      <w:r>
        <w:t xml:space="preserve">neria_reconciliation: reconciliación de reembolsos parciales/multi-etapa</w:t>
      </w:r>
    </w:p>
    <w:p>
      <w:pPr>
        <w:pStyle w:val="ListParagraph"/>
        <w:numPr>
          <w:ilvl w:val="0"/>
          <w:numId w:val="2"/>
        </w:numPr>
        <w:spacing w:after="80"/>
      </w:pPr>
      <w:r>
        <w:t xml:space="preserve">neria_product_lifespan: recordatorios de vida útil del producto</w:t>
      </w:r>
    </w:p>
    <w:p>
      <w:pPr>
        <w:pStyle w:val="ListParagraph"/>
        <w:numPr>
          <w:ilvl w:val="0"/>
          <w:numId w:val="2"/>
        </w:numPr>
        <w:spacing w:after="80"/>
      </w:pPr>
      <w:r>
        <w:t xml:space="preserve">neria_preferences: centro de preferencias del cliente (opt-in/out por categoría)</w:t>
      </w:r>
    </w:p>
    <w:p>
      <w:pPr>
        <w:pStyle w:val="ListParagraph"/>
        <w:numPr>
          <w:ilvl w:val="0"/>
          <w:numId w:val="2"/>
        </w:numPr>
        <w:spacing w:after="80"/>
      </w:pPr>
      <w:r>
        <w:t xml:space="preserve">neria_voice_profile: huella vocal (palabras prohibidas/preferidas, notas de tono)</w:t>
      </w:r>
    </w:p>
    <w:p>
      <w:pPr>
        <w:pStyle w:val="ListParagraph"/>
        <w:numPr>
          <w:ilvl w:val="0"/>
          <w:numId w:val="2"/>
        </w:numPr>
        <w:spacing w:after="80"/>
      </w:pPr>
      <w:r>
        <w:t xml:space="preserve">neria_birthday_voucher / neria_milestone_voucher: cupones de descuento de cumpleaños e hitos de pedidos</w:t>
      </w:r>
    </w:p>
    <w:p>
      <w:pPr>
        <w:pStyle w:val="ListParagraph"/>
        <w:numPr>
          <w:ilvl w:val="0"/>
          <w:numId w:val="2"/>
        </w:numPr>
        <w:spacing w:after="80"/>
      </w:pPr>
      <w:r>
        <w:t xml:space="preserve">neria_behavioral_sent: deduplicación de los correos de comportamiento ya enviados</w:t>
      </w:r>
    </w:p>
    <w:p>
      <w:pPr>
        <w:pStyle w:val="ListParagraph"/>
        <w:numPr>
          <w:ilvl w:val="0"/>
          <w:numId w:val="2"/>
        </w:numPr>
        <w:spacing w:after="80"/>
      </w:pPr>
      <w:r>
        <w:t xml:space="preserve">neria_blacklist: plantillas desactivadas (renderizado nativo de PrestaShop restablecido)</w:t>
      </w:r>
    </w:p>
    <w:p>
      <w:pPr>
        <w:pStyle w:val="ListParagraph"/>
        <w:numPr>
          <w:ilvl w:val="0"/>
          <w:numId w:val="2"/>
        </w:numPr>
        <w:spacing w:after="80"/>
      </w:pPr>
      <w:r>
        <w:t xml:space="preserve">neria_config / neria_custom_variable / neria_signature / neria_cron_health / neria_calendar_event: configuración, variables personalizadas, firma manuscrita, seguimiento de crons y fechas de calendario</w:t>
      </w:r>
    </w:p>
    <w:p>
      <w:r>
        <w:br w:type="page"/>
      </w:r>
    </w:p>
    <w:p>
      <w:pPr>
        <w:pStyle w:val="Heading1"/>
        <w:pageBreakBefore/>
        <w:spacing w:after="200" w:before="500"/>
      </w:pPr>
      <w:bookmarkStart w:name="sec9" w:id="1"/>
      <w:r>
        <w:t xml:space="preserve">3. Instalación</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A través de PrestaShop Addons (recomendado)</w:t>
      </w:r>
      <w:bookmarkEnd w:id="1"/>
    </w:p>
    <w:p>
      <w:pPr>
        <w:spacing w:after="120"/>
        <w:ind w:left="200"/>
      </w:pPr>
      <w:r>
        <w:rPr>
          <w:b/>
          <w:bCs/>
          <w:color w:val="B38B59"/>
        </w:rPr>
        <w:t xml:space="preserve">1. </w:t>
      </w:r>
      <w:r>
        <w:t xml:space="preserve">En el back office de PrestaShop, ir a Módulos → Catálogo de módulos.</w:t>
      </w:r>
    </w:p>
    <w:p>
      <w:pPr>
        <w:spacing w:after="120"/>
        <w:ind w:left="200"/>
      </w:pPr>
      <w:r>
        <w:rPr>
          <w:b/>
          <w:bCs/>
          <w:color w:val="B38B59"/>
        </w:rPr>
        <w:t xml:space="preserve">2. </w:t>
      </w:r>
      <w:r>
        <w:t xml:space="preserve">Buscar «Neria» en la barra de búsqueda.</w:t>
      </w:r>
    </w:p>
    <w:p>
      <w:pPr>
        <w:spacing w:after="120"/>
        <w:ind w:left="200"/>
      </w:pPr>
      <w:r>
        <w:rPr>
          <w:b/>
          <w:bCs/>
          <w:color w:val="B38B59"/>
        </w:rPr>
        <w:t xml:space="preserve">3. </w:t>
      </w:r>
      <w:r>
        <w:t xml:space="preserve">Hacer clic en Comprar y, tras la confirmación de la compra, en Instalar. La instalación se realiza automáticamente.</w:t>
      </w:r>
    </w:p>
    <w:p>
      <w:pPr>
        <w:spacing w:after="120"/>
        <w:ind w:left="200"/>
      </w:pPr>
      <w:r>
        <w:rPr>
          <w:b/>
          <w:bCs/>
          <w:color w:val="B38B59"/>
        </w:rPr>
        <w:t xml:space="preserve">4. </w:t>
      </w:r>
      <w:r>
        <w:t xml:space="preserve">Al finalizar, el módulo Neria aparece en el menú lateral izquierdo.</w:t>
      </w:r>
    </w:p>
    <w:p>
      <w:pPr>
        <w:pStyle w:val="Heading2"/>
        <w:spacing w:after="140" w:before="320"/>
      </w:pPr>
      <w:bookmarkStart w:name="sec11" w:id="1"/>
      <w:r>
        <w:t xml:space="preserve">3.2 Instalación manual (archivo zip)</w:t>
      </w:r>
      <w:bookmarkEnd w:id="1"/>
    </w:p>
    <w:p>
      <w:pPr>
        <w:spacing w:after="120"/>
        <w:ind w:left="200"/>
      </w:pPr>
      <w:r>
        <w:rPr>
          <w:b/>
          <w:bCs/>
          <w:color w:val="B38B59"/>
        </w:rPr>
        <w:t xml:space="preserve">1. </w:t>
      </w:r>
      <w:r>
        <w:t xml:space="preserve">Descargar el archivo neria-X.Y.Z.zip desde el área de clientes o el correo de confirmación de compra y guardarlo en el escritorio.</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En Módulos → Catálogo de módulos, hacer clic en Subir un módulo en la parte superior derecha.</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Se abre la ventana de carga. Hacer clic en Seleccionar archivo o arrastrar directamente el archivo zip al área de carga.</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En el explorador de archivos, seleccionar el archivo neria-X.Y.Z.zip y hacer clic en Abrir.</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importa e instala el módulo. Aparece el mensaje de confirmación «¡Módulo instalado!».</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El menú Neria aparece inmediatamente en la barra lateral izquierda del back 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Qué crea la instalación</w:t>
      </w:r>
      <w:bookmarkEnd w:id="1"/>
    </w:p>
    <w:p>
      <w:pPr>
        <w:spacing w:after="160"/>
      </w:pPr>
      <w:r>
        <w:t xml:space="preserve">La instalación no modifica ningún dato existente. Solo crea:</w:t>
      </w:r>
    </w:p>
    <w:p>
      <w:pPr>
        <w:pStyle w:val="ListParagraph"/>
        <w:numPr>
          <w:ilvl w:val="0"/>
          <w:numId w:val="2"/>
        </w:numPr>
        <w:spacing w:after="80"/>
      </w:pPr>
      <w:r>
        <w:t xml:space="preserve">38 tablas dedicadas (prefijo neria_) para estadísticas, fidelidad, certificados, etc.</w:t>
      </w:r>
    </w:p>
    <w:p>
      <w:pPr>
        <w:pStyle w:val="ListParagraph"/>
        <w:numPr>
          <w:ilvl w:val="0"/>
          <w:numId w:val="2"/>
        </w:numPr>
        <w:spacing w:after="80"/>
      </w:pPr>
      <w:r>
        <w:t xml:space="preserve">Traducciones para las 117 plantillas en 19 idiomas, cargadas en la base de datos.</w:t>
      </w:r>
    </w:p>
    <w:p>
      <w:pPr>
        <w:pStyle w:val="ListParagraph"/>
        <w:numPr>
          <w:ilvl w:val="0"/>
          <w:numId w:val="2"/>
        </w:numPr>
        <w:spacing w:after="80"/>
      </w:pPr>
      <w:r>
        <w:t xml:space="preserve">Ajustes predeterminados para todas las funcionalidades — todas activas, excepto las pruebas A/B y el nivel de fidelidad con cupón, desactivados por precaución.</w:t>
      </w:r>
    </w:p>
    <w:p>
      <w:pPr>
        <w:spacing w:after="180" w:before="120"/>
        <w:ind w:left="360"/>
      </w:pPr>
      <w:r>
        <w:rPr>
          <w:b/>
          <w:bCs/>
          <w:color w:val="B38B59"/>
        </w:rPr>
        <w:t xml:space="preserve">ℹ️  Nota — </w:t>
      </w:r>
      <w:r>
        <w:t xml:space="preserve">Desde el momento de la instalación, todos los correos electrónicos estándar de PrestaShop (confirmación de pedido, restablecimiento de contraseña, boletín…) se diseñarán automáticamente con el diseño predeterminado de Neria. No se requiere ninguna configuración para este renderizado inicial.</w:t>
      </w:r>
    </w:p>
    <w:p>
      <w:r>
        <w:br w:type="page"/>
      </w:r>
    </w:p>
    <w:p>
      <w:pPr>
        <w:pStyle w:val="Heading1"/>
        <w:pageBreakBefore/>
        <w:spacing w:after="200" w:before="500"/>
      </w:pPr>
      <w:bookmarkStart w:name="sec13" w:id="1"/>
      <w:r>
        <w:t xml:space="preserve">4. Activación de la licencia</w:t>
      </w:r>
      <w:bookmarkEnd w:id="1"/>
    </w:p>
    <w:p>
      <w:pPr>
        <w:spacing w:after="160"/>
      </w:pPr>
      <w:r>
        <w:t xml:space="preserve">Neria requiere una clave de licencia válida, asociada al nombre de dominio de la tienda, para funcionar más allá del período de cortesía de 30 días tras la instalación.</w:t>
      </w:r>
    </w:p>
    <w:p>
      <w:pPr>
        <w:pStyle w:val="Heading2"/>
        <w:spacing w:after="140" w:before="320"/>
      </w:pPr>
      <w:bookmarkStart w:name="sec14" w:id="1"/>
      <w:r>
        <w:t xml:space="preserve">4.1 Activar la clave</w:t>
      </w:r>
      <w:bookmarkEnd w:id="1"/>
    </w:p>
    <w:p>
      <w:pPr>
        <w:spacing w:after="120"/>
        <w:ind w:left="200"/>
      </w:pPr>
      <w:r>
        <w:rPr>
          <w:b/>
          <w:bCs/>
          <w:color w:val="B38B59"/>
        </w:rPr>
        <w:t xml:space="preserve">1. </w:t>
      </w:r>
      <w:r>
        <w:t xml:space="preserve">Abrir el menú Neria → cualquier pestaña. Si no hay ninguna licencia activa, aparece un banner naranja en la parte superior de la pantalla.</w:t>
      </w:r>
    </w:p>
    <w:p>
      <w:pPr>
        <w:spacing w:after="120"/>
        <w:ind w:left="200"/>
      </w:pPr>
      <w:r>
        <w:rPr>
          <w:b/>
          <w:bCs/>
          <w:color w:val="B38B59"/>
        </w:rPr>
        <w:t xml:space="preserve">2. </w:t>
      </w:r>
      <w:r>
        <w:t xml:space="preserve">Introducir la clave de licencia en formato NERIA-XXXX-XXXX-XXXX, comunicada por correo electrónico en el momento de la compra en PrestaShop Addons.</w:t>
      </w:r>
    </w:p>
    <w:p>
      <w:pPr>
        <w:spacing w:after="120"/>
        <w:ind w:left="200"/>
      </w:pPr>
      <w:r>
        <w:rPr>
          <w:b/>
          <w:bCs/>
          <w:color w:val="B38B59"/>
        </w:rPr>
        <w:t xml:space="preserve">3. </w:t>
      </w:r>
      <w:r>
        <w:t xml:space="preserve">Hacer clic en Activar. La clave se verifica en línea y se asocia al dominio.</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Cambio de dominio</w:t>
      </w:r>
      <w:bookmarkEnd w:id="1"/>
    </w:p>
    <w:p>
      <w:pPr>
        <w:spacing w:after="160"/>
      </w:pPr>
      <w:r>
        <w:t xml:space="preserve">En caso de migración a un nuevo nombre de dominio, utilizar la misma clave. Neria detecta el cambio y envía un correo electrónico de confirmación a la dirección de compra. El enlace de confirmación transfiere la licencia al nuevo dominio. Este mecanismo está limitado a dos transferencias al año.</w:t>
      </w:r>
    </w:p>
    <w:p>
      <w:pPr>
        <w:pStyle w:val="Heading2"/>
        <w:spacing w:after="140" w:before="320"/>
      </w:pPr>
      <w:bookmarkStart w:name="sec16" w:id="1"/>
      <w:r>
        <w:t xml:space="preserve">4.3 Tolerancia a fallos</w:t>
      </w:r>
      <w:bookmarkEnd w:id="1"/>
    </w:p>
    <w:p>
      <w:pPr>
        <w:spacing w:after="160"/>
      </w:pPr>
      <w:r>
        <w:t xml:space="preserve">Si el servidor de verificación de licencias no está disponible temporalmente, el módulo mantiene el último estado conocido en caché y sigue enviando correos electrónicos con normalidad. Ninguna interrupción del servicio puede producirse por un fallo en el lado del editor.</w:t>
      </w:r>
    </w:p>
    <w:p>
      <w:r>
        <w:br w:type="page"/>
      </w:r>
    </w:p>
    <w:p>
      <w:pPr>
        <w:pStyle w:val="Heading1"/>
        <w:pageBreakBefore/>
        <w:spacing w:after="200" w:before="500"/>
      </w:pPr>
      <w:bookmarkStart w:name="sec17" w:id="1"/>
      <w:r>
        <w:t xml:space="preserve">5. Visión general del back office</w:t>
      </w:r>
      <w:bookmarkEnd w:id="1"/>
    </w:p>
    <w:p>
      <w:pPr>
        <w:spacing w:after="160"/>
      </w:pPr>
      <w:r>
        <w:t xml:space="preserve">El menú Neria agrupa todas las funcionalidades en una navegación lateral estructurada. A continuación, una breve descripción de cada pestaña disponible.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Lista de pestañas</w:t>
      </w:r>
      <w:bookmarkEnd w:id="1"/>
    </w:p>
    <w:p>
      <w:pPr>
        <w:pStyle w:val="ListParagraph"/>
        <w:numPr>
          <w:ilvl w:val="0"/>
          <w:numId w:val="2"/>
        </w:numPr>
        <w:spacing w:after="80"/>
      </w:pPr>
      <w:r>
        <w:t xml:space="preserve">Inicio — panel de control, KPI a 30 días, próximas fechas del calendario, configuración general</w:t>
      </w:r>
    </w:p>
    <w:p>
      <w:pPr>
        <w:pStyle w:val="ListParagraph"/>
        <w:numPr>
          <w:ilvl w:val="0"/>
          <w:numId w:val="2"/>
        </w:numPr>
        <w:spacing w:after="80"/>
      </w:pPr>
      <w:r>
        <w:t xml:space="preserve">Diseño — colores, logotipo, modo oscuro, ancho del contenedor, estilos rápidos, vista previa en vivo</w:t>
      </w:r>
    </w:p>
    <w:p>
      <w:pPr>
        <w:pStyle w:val="ListParagraph"/>
        <w:numPr>
          <w:ilvl w:val="0"/>
          <w:numId w:val="2"/>
        </w:numPr>
        <w:spacing w:after="80"/>
      </w:pPr>
      <w:r>
        <w:t xml:space="preserve">Tipografía — fuentes por idioma y familia de escritura (latino, árabe, japonés, coreano, chino)</w:t>
      </w:r>
    </w:p>
    <w:p>
      <w:pPr>
        <w:pStyle w:val="ListParagraph"/>
        <w:numPr>
          <w:ilvl w:val="0"/>
          <w:numId w:val="2"/>
        </w:numPr>
        <w:spacing w:after="80"/>
      </w:pPr>
      <w:r>
        <w:t xml:space="preserve">Traducciones — editar el texto de todas las plantillas en 19 idiomas, DeepL, exportación/importación CSV</w:t>
      </w:r>
    </w:p>
    <w:p>
      <w:pPr>
        <w:pStyle w:val="ListParagraph"/>
        <w:numPr>
          <w:ilvl w:val="0"/>
          <w:numId w:val="2"/>
        </w:numPr>
        <w:spacing w:after="80"/>
      </w:pPr>
      <w:r>
        <w:t xml:space="preserve">Redes sociales — configuración de los enlaces sociales incrustados en el pie de cada correo electrónico</w:t>
      </w:r>
    </w:p>
    <w:p>
      <w:pPr>
        <w:pStyle w:val="ListParagraph"/>
        <w:numPr>
          <w:ilvl w:val="0"/>
          <w:numId w:val="2"/>
        </w:numPr>
        <w:spacing w:after="80"/>
      </w:pPr>
      <w:r>
        <w:t xml:space="preserve">Estadísticas — KPI, seguimiento, atribución, segmentación, churn score, CLV, entregabilidad</w:t>
      </w:r>
    </w:p>
    <w:p>
      <w:pPr>
        <w:pStyle w:val="ListParagraph"/>
        <w:numPr>
          <w:ilvl w:val="0"/>
          <w:numId w:val="2"/>
        </w:numPr>
        <w:spacing w:after="80"/>
      </w:pPr>
      <w:r>
        <w:t xml:space="preserve">Pruebas A/B — crear y supervisar pruebas de plantillas</w:t>
      </w:r>
    </w:p>
    <w:p>
      <w:pPr>
        <w:pStyle w:val="ListParagraph"/>
        <w:numPr>
          <w:ilvl w:val="0"/>
          <w:numId w:val="2"/>
        </w:numPr>
        <w:spacing w:after="80"/>
      </w:pPr>
      <w:r>
        <w:t xml:space="preserve">Envío manual — envío bajo demanda a un cliente, entrega programada</w:t>
      </w:r>
    </w:p>
    <w:p>
      <w:pPr>
        <w:pStyle w:val="ListParagraph"/>
        <w:numPr>
          <w:ilvl w:val="0"/>
          <w:numId w:val="2"/>
        </w:numPr>
        <w:spacing w:after="80"/>
      </w:pPr>
      <w:r>
        <w:t xml:space="preserve">Vista previa multicliente — simular el renderizado en Gmail, Outlook, Apple Mail, Orange, Yahoo</w:t>
      </w:r>
    </w:p>
    <w:p>
      <w:pPr>
        <w:pStyle w:val="ListParagraph"/>
        <w:numPr>
          <w:ilvl w:val="0"/>
          <w:numId w:val="2"/>
        </w:numPr>
        <w:spacing w:after="80"/>
      </w:pPr>
      <w:r>
        <w:t xml:space="preserve">Historial de clientes — correos recibidos por cliente, cronología, alertas, exportación CSV</w:t>
      </w:r>
    </w:p>
    <w:p>
      <w:pPr>
        <w:pStyle w:val="ListParagraph"/>
        <w:numPr>
          <w:ilvl w:val="0"/>
          <w:numId w:val="2"/>
        </w:numPr>
        <w:spacing w:after="80"/>
      </w:pPr>
      <w:r>
        <w:t xml:space="preserve">Calendario — fechas calendario automáticas (25 ocasiones, 19 idiomas)</w:t>
      </w:r>
    </w:p>
    <w:p>
      <w:pPr>
        <w:pStyle w:val="ListParagraph"/>
        <w:numPr>
          <w:ilvl w:val="0"/>
          <w:numId w:val="2"/>
        </w:numPr>
        <w:spacing w:after="80"/>
      </w:pPr>
      <w:r>
        <w:t xml:space="preserve">Webhooks — notificaciones salientes a CRM, Zapier, Make</w:t>
      </w:r>
    </w:p>
    <w:p>
      <w:pPr>
        <w:pStyle w:val="ListParagraph"/>
        <w:numPr>
          <w:ilvl w:val="0"/>
          <w:numId w:val="2"/>
        </w:numPr>
        <w:spacing w:after="80"/>
      </w:pPr>
      <w:r>
        <w:t xml:space="preserve">Segmentos — panel de los 5 segmentos de comportamiento de clientes</w:t>
      </w:r>
    </w:p>
    <w:p>
      <w:pPr>
        <w:pStyle w:val="ListParagraph"/>
        <w:numPr>
          <w:ilvl w:val="0"/>
          <w:numId w:val="2"/>
        </w:numPr>
        <w:spacing w:after="80"/>
      </w:pPr>
      <w:r>
        <w:t xml:space="preserve">Campañas estacionales — campañas recurrentes personalizadas</w:t>
      </w:r>
    </w:p>
    <w:p>
      <w:pPr>
        <w:pStyle w:val="ListParagraph"/>
        <w:numPr>
          <w:ilvl w:val="0"/>
          <w:numId w:val="2"/>
        </w:numPr>
        <w:spacing w:after="80"/>
      </w:pPr>
      <w:r>
        <w:t xml:space="preserve">Rebotes — gestión de direcciones de correo electrónico no válidas (IMAP + webhook ESP)</w:t>
      </w:r>
    </w:p>
    <w:p>
      <w:pPr>
        <w:pStyle w:val="ListParagraph"/>
        <w:numPr>
          <w:ilvl w:val="0"/>
          <w:numId w:val="2"/>
        </w:numPr>
        <w:spacing w:after="80"/>
      </w:pPr>
      <w:r>
        <w:t xml:space="preserve">RGPD — auditoría de cumplimiento y eliminación de datos personales</w:t>
      </w:r>
    </w:p>
    <w:p>
      <w:pPr>
        <w:pStyle w:val="ListParagraph"/>
        <w:numPr>
          <w:ilvl w:val="0"/>
          <w:numId w:val="2"/>
        </w:numPr>
        <w:spacing w:after="80"/>
      </w:pPr>
      <w:r>
        <w:t xml:space="preserve">Academy — tutoriales y guías integrados directamente en el back office</w:t>
      </w:r>
    </w:p>
    <w:p>
      <w:pPr>
        <w:pStyle w:val="ListParagraph"/>
        <w:numPr>
          <w:ilvl w:val="0"/>
          <w:numId w:val="2"/>
        </w:numPr>
        <w:spacing w:after="80"/>
      </w:pPr>
      <w:r>
        <w:t xml:space="preserve">Certificados — configuración y emisión de certificados de autenticidad en PDF</w:t>
      </w:r>
    </w:p>
    <w:p>
      <w:pPr>
        <w:pStyle w:val="ListParagraph"/>
        <w:numPr>
          <w:ilvl w:val="0"/>
          <w:numId w:val="2"/>
        </w:numPr>
        <w:spacing w:after="80"/>
      </w:pPr>
      <w:r>
        <w:t xml:space="preserve">Centro de control — visibilidad de las funcionalidades en el menú</w:t>
      </w:r>
    </w:p>
    <w:p>
      <w:pPr>
        <w:pStyle w:val="ListParagraph"/>
        <w:numPr>
          <w:ilvl w:val="0"/>
          <w:numId w:val="2"/>
        </w:numPr>
        <w:spacing w:after="80"/>
      </w:pPr>
      <w:r>
        <w:t xml:space="preserve">Ayuda — registro del Watchdog, diagnóstico completo, token de cron</w:t>
      </w:r>
    </w:p>
    <w:p>
      <w:r>
        <w:br w:type="page"/>
      </w:r>
    </w:p>
    <w:p>
      <w:pPr>
        <w:pStyle w:val="Heading1"/>
        <w:pageBreakBefore/>
        <w:spacing w:after="200" w:before="500"/>
      </w:pPr>
      <w:bookmarkStart w:name="sec19" w:id="1"/>
      <w:r>
        <w:t xml:space="preserve">6. Pestaña Inicio — Configuración general</w:t>
      </w:r>
      <w:bookmarkEnd w:id="1"/>
    </w:p>
    <w:p>
      <w:pPr>
        <w:spacing w:after="160"/>
      </w:pPr>
      <w:r>
        <w:t xml:space="preserve">La pestaña Inicio es el panel de control principal de Neria. Reúne los KPI a 30 días, las próximas fechas del calendario y los ajustes generales del módulo.</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KPI a 30 días</w:t>
      </w:r>
      <w:bookmarkEnd w:id="1"/>
    </w:p>
    <w:p>
      <w:pPr>
        <w:spacing w:after="160"/>
      </w:pPr>
      <w:r>
        <w:t xml:space="preserve">En la parte superior de la pestaña se muestran cuatro indicadores clave: correos electrónicos enviados, tasa de apertura, tasa de clics e idiomas activos sobre 19. Estos datos ofrecen una visión rápida del estado general de los envíos.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Detección automática del idioma</w:t>
      </w:r>
      <w:bookmarkEnd w:id="1"/>
    </w:p>
    <w:p>
      <w:pPr>
        <w:spacing w:after="160"/>
      </w:pPr>
      <w:r>
        <w:t xml:space="preserve">Neria elige el idioma de cada correo electrónico en función del cliente: su elección explícita si ha seleccionado un idioma, o en su defecto el país de su dirección de entrega. Un cliente extranjero recibirá, por tanto, el correo en su propio idioma, incluso si la tienda está configurada en un solo idioma.</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Smart Salutation — Hora local</w:t>
      </w:r>
      <w:bookmarkEnd w:id="1"/>
    </w:p>
    <w:p>
      <w:pPr>
        <w:spacing w:after="160"/>
      </w:pPr>
      <w:r>
        <w:t xml:space="preserve">Neria inyecta automáticamente el saludo correcto en función de la hora local del cliente (deducida de su dirección de entrega). No es necesario modificar ninguna plantilla — basta con personalizar los saludos por idioma y franja horaria en la sección de abajo.</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Ajustes generales</w:t>
      </w:r>
      <w:bookmarkEnd w:id="1"/>
    </w:p>
    <w:p>
      <w:pPr>
        <w:pStyle w:val="ListParagraph"/>
        <w:numPr>
          <w:ilvl w:val="0"/>
          <w:numId w:val="2"/>
        </w:numPr>
        <w:spacing w:after="80"/>
      </w:pPr>
      <w:r>
        <w:t xml:space="preserve">Variables personalizadas: el comerciante puede definir sus propias variables ({shop_instagram}, {shop_hashtag}, etc.) que se inyectan en todas las plantillas.</w:t>
      </w:r>
    </w:p>
    <w:p>
      <w:pPr>
        <w:pStyle w:val="ListParagraph"/>
        <w:numPr>
          <w:ilvl w:val="0"/>
          <w:numId w:val="2"/>
        </w:numPr>
        <w:spacing w:after="80"/>
      </w:pPr>
      <w:r>
        <w:t xml:space="preserve">Multi-remitente: configurar pares nombre/correo electrónico del remitente diferentes por idioma o por plantilla.</w:t>
      </w:r>
    </w:p>
    <w:p>
      <w:pPr>
        <w:pStyle w:val="ListParagraph"/>
        <w:numPr>
          <w:ilvl w:val="0"/>
          <w:numId w:val="2"/>
        </w:numPr>
        <w:spacing w:after="80"/>
      </w:pPr>
      <w:r>
        <w:t xml:space="preserve">Testigo silencioso (CCO): envía una copia oculta de cada correo electrónico a una dirección de archivo.</w:t>
      </w:r>
    </w:p>
    <w:p>
      <w:pPr>
        <w:pStyle w:val="ListParagraph"/>
        <w:numPr>
          <w:ilvl w:val="0"/>
          <w:numId w:val="2"/>
        </w:numPr>
        <w:spacing w:after="80"/>
      </w:pPr>
      <w:r>
        <w:t xml:space="preserve">Huella de CO₂: muestra un aviso en el pie de los correos electrónicos con un enlace a la página de compensación.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Pestaña Diseño — Identidad visual</w:t>
      </w:r>
      <w:bookmarkEnd w:id="1"/>
    </w:p>
    <w:p>
      <w:pPr>
        <w:spacing w:after="160"/>
      </w:pPr>
      <w:r>
        <w:t xml:space="preserve">La pestaña Diseño configura el aspecto visual de todos los correos electrónicos enviados por la tienda. Cada cambio se propaga inmediatamente a todas las plantillas a través de la vista previa en vivo.</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Colores</w:t>
      </w:r>
      <w:bookmarkEnd w:id="1"/>
    </w:p>
    <w:p>
      <w:pPr>
        <w:pStyle w:val="ListParagraph"/>
        <w:numPr>
          <w:ilvl w:val="0"/>
          <w:numId w:val="2"/>
        </w:numPr>
        <w:spacing w:after="80"/>
      </w:pPr>
      <w:r>
        <w:t xml:space="preserve">Color de acento: usado para los botones CTA, los enlaces, los importes destacados, los códigos promocionales.</w:t>
      </w:r>
    </w:p>
    <w:p>
      <w:pPr>
        <w:pStyle w:val="ListParagraph"/>
        <w:numPr>
          <w:ilvl w:val="0"/>
          <w:numId w:val="2"/>
        </w:numPr>
        <w:spacing w:after="80"/>
      </w:pPr>
      <w:r>
        <w:t xml:space="preserve">Color de fondo: fondo general del correo electrónico (excepto la tarjeta central, siempre blanca para facilitar la lectura).</w:t>
      </w:r>
    </w:p>
    <w:p>
      <w:pPr>
        <w:pStyle w:val="ListParagraph"/>
        <w:numPr>
          <w:ilvl w:val="0"/>
          <w:numId w:val="2"/>
        </w:numPr>
        <w:spacing w:after="80"/>
      </w:pPr>
      <w:r>
        <w:t xml:space="preserve">Color de texto primario y secundario.</w:t>
      </w:r>
    </w:p>
    <w:p>
      <w:pPr>
        <w:spacing w:after="120"/>
        <w:ind w:left="200"/>
      </w:pPr>
      <w:r>
        <w:rPr>
          <w:b/>
          <w:bCs/>
          <w:color w:val="B38B59"/>
        </w:rPr>
        <w:t xml:space="preserve">1. </w:t>
      </w:r>
      <w:r>
        <w:t xml:space="preserve">Hacer clic en el selector de color deseado.</w:t>
      </w:r>
    </w:p>
    <w:p>
      <w:pPr>
        <w:spacing w:after="120"/>
        <w:ind w:left="200"/>
      </w:pPr>
      <w:r>
        <w:rPr>
          <w:b/>
          <w:bCs/>
          <w:color w:val="B38B59"/>
        </w:rPr>
        <w:t xml:space="preserve">2. </w:t>
      </w:r>
      <w:r>
        <w:t xml:space="preserve">Elegir desde la paleta gráfica o introducir el código hexadecimal (#B38B59 para el bronce, por ejemplo).</w:t>
      </w:r>
    </w:p>
    <w:p>
      <w:pPr>
        <w:spacing w:after="120"/>
        <w:ind w:left="200"/>
      </w:pPr>
      <w:r>
        <w:rPr>
          <w:b/>
          <w:bCs/>
          <w:color w:val="B38B59"/>
        </w:rPr>
        <w:t xml:space="preserve">3. </w:t>
      </w:r>
      <w:r>
        <w:t xml:space="preserve">La vista previa en vivo se actualiza de inmediato. Hacer clic en Guardar.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Logotipo</w:t>
      </w:r>
      <w:bookmarkEnd w:id="1"/>
    </w:p>
    <w:p>
      <w:pPr>
        <w:spacing w:after="120"/>
        <w:ind w:left="200"/>
      </w:pPr>
      <w:r>
        <w:rPr>
          <w:b/>
          <w:bCs/>
          <w:color w:val="B38B59"/>
        </w:rPr>
        <w:t xml:space="preserve">1. </w:t>
      </w:r>
      <w:r>
        <w:t xml:space="preserve">Hacer clic en el botón de carga del logotipo.</w:t>
      </w:r>
    </w:p>
    <w:p>
      <w:pPr>
        <w:spacing w:after="120"/>
        <w:ind w:left="200"/>
      </w:pPr>
      <w:r>
        <w:rPr>
          <w:b/>
          <w:bCs/>
          <w:color w:val="B38B59"/>
        </w:rPr>
        <w:t xml:space="preserve">2. </w:t>
      </w:r>
      <w:r>
        <w:t xml:space="preserve">Seleccionar el archivo de logotipo (PNG transparente recomendado, mínimo 300×100 px).</w:t>
      </w:r>
    </w:p>
    <w:p>
      <w:pPr>
        <w:spacing w:after="120"/>
        <w:ind w:left="200"/>
      </w:pPr>
      <w:r>
        <w:rPr>
          <w:b/>
          <w:bCs/>
          <w:color w:val="B38B59"/>
        </w:rPr>
        <w:t xml:space="preserve">3. </w:t>
      </w:r>
      <w:r>
        <w:t xml:space="preserve">El logotipo aparece en la vista previa en la parte superior de cada correo electrónico. Ajustar el ancho de visualización si es necesario.</w:t>
      </w:r>
    </w:p>
    <w:p>
      <w:pPr>
        <w:pStyle w:val="Heading2"/>
        <w:spacing w:after="140" w:before="320"/>
      </w:pPr>
      <w:bookmarkStart w:name="sec27" w:id="1"/>
      <w:r>
        <w:t xml:space="preserve">7.3 Modo oscuro</w:t>
      </w:r>
      <w:bookmarkEnd w:id="1"/>
    </w:p>
    <w:p>
      <w:pPr>
        <w:spacing w:after="160"/>
      </w:pPr>
      <w:r>
        <w:t xml:space="preserve">El modo oscuro bloquea el renderizado en el tema claro, incluso si el cliente de correo del destinatario aplica automáticamente un tema oscuro (meta-color-scheme forzado en «light»). Recomendado para tiendas con un logotipo o colores de marca sensibles a las inversiones de color.</w:t>
      </w:r>
    </w:p>
    <w:p>
      <w:pPr>
        <w:pStyle w:val="Heading2"/>
        <w:spacing w:after="140" w:before="320"/>
      </w:pPr>
      <w:bookmarkStart w:name="sec28" w:id="1"/>
      <w:r>
        <w:t xml:space="preserve">7.4 Ancho del contenedor</w:t>
      </w:r>
      <w:bookmarkEnd w:id="1"/>
    </w:p>
    <w:p>
      <w:pPr>
        <w:spacing w:after="160"/>
      </w:pPr>
      <w:r>
        <w:t xml:space="preserve">El ancho de la tarjeta central del correo electrónico es ajustable entre 480 px y 700 px. Valor recomendado: 600 px (estándar del sector del correo electrónico).</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Estilos rápidos — Preajustes con un clic</w:t>
      </w:r>
      <w:bookmarkEnd w:id="1"/>
    </w:p>
    <w:p>
      <w:pPr>
        <w:spacing w:after="160"/>
      </w:pPr>
      <w:r>
        <w:t xml:space="preserve">Seis preajustes aplican inmediatamente una combinación coherente de colores y fuentes:</w:t>
      </w:r>
    </w:p>
    <w:p>
      <w:pPr>
        <w:pStyle w:val="ListParagraph"/>
        <w:numPr>
          <w:ilvl w:val="0"/>
          <w:numId w:val="2"/>
        </w:numPr>
        <w:spacing w:after="80"/>
      </w:pPr>
      <w:r>
        <w:t xml:space="preserve">Elegancia dorada — tonos oro/crema, fuente serif discreta</w:t>
      </w:r>
    </w:p>
    <w:p>
      <w:pPr>
        <w:pStyle w:val="ListParagraph"/>
        <w:numPr>
          <w:ilvl w:val="0"/>
          <w:numId w:val="2"/>
        </w:numPr>
        <w:spacing w:after="80"/>
      </w:pPr>
      <w:r>
        <w:t xml:space="preserve">Minimalismo en blanco y negro — sans-serif moderno</w:t>
      </w:r>
    </w:p>
    <w:p>
      <w:pPr>
        <w:pStyle w:val="ListParagraph"/>
        <w:numPr>
          <w:ilvl w:val="0"/>
          <w:numId w:val="2"/>
        </w:numPr>
        <w:spacing w:after="80"/>
      </w:pPr>
      <w:r>
        <w:t xml:space="preserve">Azul marino y oro — estilo náutico premium</w:t>
      </w:r>
    </w:p>
    <w:p>
      <w:pPr>
        <w:pStyle w:val="ListParagraph"/>
        <w:numPr>
          <w:ilvl w:val="0"/>
          <w:numId w:val="2"/>
        </w:numPr>
        <w:spacing w:after="80"/>
      </w:pPr>
      <w:r>
        <w:t xml:space="preserve">Burdeos y marfil — estilo bodega, marroquinería</w:t>
      </w:r>
    </w:p>
    <w:p>
      <w:pPr>
        <w:pStyle w:val="ListParagraph"/>
        <w:numPr>
          <w:ilvl w:val="0"/>
          <w:numId w:val="2"/>
        </w:numPr>
        <w:spacing w:after="80"/>
      </w:pPr>
      <w:r>
        <w:t xml:space="preserve">Verde bosque y bronce — artesanía natural</w:t>
      </w:r>
    </w:p>
    <w:p>
      <w:pPr>
        <w:pStyle w:val="ListParagraph"/>
        <w:numPr>
          <w:ilvl w:val="0"/>
          <w:numId w:val="2"/>
        </w:numPr>
        <w:spacing w:after="80"/>
      </w:pPr>
      <w:r>
        <w:t xml:space="preserve">Rosa polvos y gris — moda femenina</w:t>
      </w:r>
    </w:p>
    <w:p>
      <w:pPr>
        <w:spacing w:after="120"/>
        <w:ind w:left="200"/>
      </w:pPr>
      <w:r>
        <w:rPr>
          <w:b/>
          <w:bCs/>
          <w:color w:val="B38B59"/>
        </w:rPr>
        <w:t xml:space="preserve">1. </w:t>
      </w:r>
      <w:r>
        <w:t xml:space="preserve">Hacer clic en uno de los 6 estilos de la sección Estilos rápidos.</w:t>
      </w:r>
    </w:p>
    <w:p>
      <w:pPr>
        <w:spacing w:after="120"/>
        <w:ind w:left="200"/>
      </w:pPr>
      <w:r>
        <w:rPr>
          <w:b/>
          <w:bCs/>
          <w:color w:val="B38B59"/>
        </w:rPr>
        <w:t xml:space="preserve">2. </w:t>
      </w:r>
      <w:r>
        <w:t xml:space="preserve">La vista previa en vivo se actualiza de inmediato.</w:t>
      </w:r>
    </w:p>
    <w:p>
      <w:pPr>
        <w:spacing w:after="120"/>
        <w:ind w:left="200"/>
      </w:pPr>
      <w:r>
        <w:rPr>
          <w:b/>
          <w:bCs/>
          <w:color w:val="B38B59"/>
        </w:rPr>
        <w:t xml:space="preserve">3. </w:t>
      </w:r>
      <w:r>
        <w:t xml:space="preserve">Hacer clic en Aplicar este estilo para confirmar, o elegir otro estilo.</w:t>
      </w:r>
    </w:p>
    <w:p>
      <w:pPr>
        <w:spacing w:after="120"/>
        <w:ind w:left="200"/>
      </w:pPr>
      <w:r>
        <w:rPr>
          <w:b/>
          <w:bCs/>
          <w:color w:val="B38B59"/>
        </w:rPr>
        <w:t xml:space="preserve">4. </w:t>
      </w:r>
      <w:r>
        <w:t xml:space="preserve">El botón Restablecer fábrica restaura los valores originales en cualquier momento.</w:t>
      </w:r>
    </w:p>
    <w:p>
      <w:pPr>
        <w:pStyle w:val="Heading2"/>
        <w:spacing w:after="140" w:before="320"/>
      </w:pPr>
      <w:bookmarkStart w:name="sec30" w:id="1"/>
      <w:r>
        <w:t xml:space="preserve">7.6 Firma manuscrita</w:t>
      </w:r>
      <w:bookmarkEnd w:id="1"/>
    </w:p>
    <w:p>
      <w:pPr>
        <w:spacing w:after="160"/>
      </w:pPr>
      <w:r>
        <w:t xml:space="preserve">Neria puede generar una imagen caligráfica de la firma a partir del nombre introducido, usando la librería GD y fuentes manuscritas (Dancing Script, Great Vibes, Sacramento, Pinyon Script). Esta firma se inserta en el pie de cada correo electrónico, bajo la fórmula de cierre.</w:t>
      </w:r>
    </w:p>
    <w:p>
      <w:pPr>
        <w:spacing w:after="120"/>
        <w:ind w:left="200"/>
      </w:pPr>
      <w:r>
        <w:rPr>
          <w:b/>
          <w:bCs/>
          <w:color w:val="B38B59"/>
        </w:rPr>
        <w:t xml:space="preserve">1. </w:t>
      </w:r>
      <w:r>
        <w:t xml:space="preserve">Introducir el nombre a caligrafiar en el campo Nombre de firma.</w:t>
      </w:r>
    </w:p>
    <w:p>
      <w:pPr>
        <w:spacing w:after="120"/>
        <w:ind w:left="200"/>
      </w:pPr>
      <w:r>
        <w:rPr>
          <w:b/>
          <w:bCs/>
          <w:color w:val="B38B59"/>
        </w:rPr>
        <w:t xml:space="preserve">2. </w:t>
      </w:r>
      <w:r>
        <w:t xml:space="preserve">Elegir la fuente entre las 4 opciones disponibles.</w:t>
      </w:r>
    </w:p>
    <w:p>
      <w:pPr>
        <w:spacing w:after="120"/>
        <w:ind w:left="200"/>
      </w:pPr>
      <w:r>
        <w:rPr>
          <w:b/>
          <w:bCs/>
          <w:color w:val="B38B59"/>
        </w:rPr>
        <w:t xml:space="preserve">3. </w:t>
      </w:r>
      <w:r>
        <w:t xml:space="preserve">Ajustar el tamaño y el color.</w:t>
      </w:r>
    </w:p>
    <w:p>
      <w:pPr>
        <w:spacing w:after="120"/>
        <w:ind w:left="200"/>
      </w:pPr>
      <w:r>
        <w:rPr>
          <w:b/>
          <w:bCs/>
          <w:color w:val="B38B59"/>
        </w:rPr>
        <w:t xml:space="preserve">4. </w:t>
      </w:r>
      <w:r>
        <w:t xml:space="preserve">Hacer clic en Generar vista previa, luego en Guardar.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Pestaña Tipografía</w:t>
      </w:r>
      <w:bookmarkEnd w:id="1"/>
    </w:p>
    <w:p>
      <w:pPr>
        <w:spacing w:after="160"/>
      </w:pPr>
      <w:r>
        <w:t xml:space="preserve">La pestaña Tipografía configura las fuentes utilizadas en los correos electrónicos por familia de escritura. Neria gestiona 5 familias: latino, árabe (RTL), japonés, coreano y chino simplificado/tradicional.</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Configuración de fuentes</w:t>
      </w:r>
      <w:bookmarkEnd w:id="1"/>
    </w:p>
    <w:p>
      <w:pPr>
        <w:spacing w:after="120"/>
        <w:ind w:left="200"/>
      </w:pPr>
      <w:r>
        <w:rPr>
          <w:b/>
          <w:bCs/>
          <w:color w:val="B38B59"/>
        </w:rPr>
        <w:t xml:space="preserve">1. </w:t>
      </w:r>
      <w:r>
        <w:t xml:space="preserve">Seleccionar la familia de escritura a configurar (Latino, Árabe, Japonés, Coreano, Chino).</w:t>
      </w:r>
    </w:p>
    <w:p>
      <w:pPr>
        <w:spacing w:after="120"/>
        <w:ind w:left="200"/>
      </w:pPr>
      <w:r>
        <w:rPr>
          <w:b/>
          <w:bCs/>
          <w:color w:val="B38B59"/>
        </w:rPr>
        <w:t xml:space="preserve">2. </w:t>
      </w:r>
      <w:r>
        <w:t xml:space="preserve">Elegir la fuente para los títulos en el menú desplegable (p. ej. Cormorant Garamond, EB Garamond…).</w:t>
      </w:r>
    </w:p>
    <w:p>
      <w:pPr>
        <w:spacing w:after="120"/>
        <w:ind w:left="200"/>
      </w:pPr>
      <w:r>
        <w:rPr>
          <w:b/>
          <w:bCs/>
          <w:color w:val="B38B59"/>
        </w:rPr>
        <w:t xml:space="preserve">3. </w:t>
      </w:r>
      <w:r>
        <w:t xml:space="preserve">Elegir la fuente para el cuerpo del texto (p. ej. Lato, Open Sans…).</w:t>
      </w:r>
    </w:p>
    <w:p>
      <w:pPr>
        <w:spacing w:after="120"/>
        <w:ind w:left="200"/>
      </w:pPr>
      <w:r>
        <w:rPr>
          <w:b/>
          <w:bCs/>
          <w:color w:val="B38B59"/>
        </w:rPr>
        <w:t xml:space="preserve">4. </w:t>
      </w:r>
      <w:r>
        <w:t xml:space="preserve">La vista previa muestra el renderizado en un extracto del correo. Hacer clic en Guardar.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Nota — </w:t>
      </w:r>
      <w:r>
        <w:t xml:space="preserve">Neria genera automáticamente las declaraciones @font-face y las pilas de respaldo para garantizar un renderizado elegante incluso en Outlook, que no admite fuentes web.</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Pestaña Redes sociales</w:t>
      </w:r>
      <w:bookmarkEnd w:id="1"/>
    </w:p>
    <w:p>
      <w:pPr>
        <w:spacing w:after="160"/>
      </w:pPr>
      <w:r>
        <w:t xml:space="preserve">Esta pestaña configura los iconos y enlaces sociales que se insertan automáticamente en el pie de cada correo electrónico. Hasta 9 plataformas disponibles: Instagram, Facebook, Pinterest, TikTok, YouTube, LinkedIn, X/Twitter, Snapchat, 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Introducir la URL completa del perfil para cada red deseada (dejar vacío para ocultar la red).</w:t>
      </w:r>
    </w:p>
    <w:p>
      <w:pPr>
        <w:spacing w:after="120"/>
        <w:ind w:left="200"/>
      </w:pPr>
      <w:r>
        <w:rPr>
          <w:b/>
          <w:bCs/>
          <w:color w:val="B38B59"/>
        </w:rPr>
        <w:t xml:space="preserve">2. </w:t>
      </w:r>
      <w:r>
        <w:t xml:space="preserve">Reordenar los iconos mediante arrastrar y soltar si es necesario.</w:t>
      </w:r>
    </w:p>
    <w:p>
      <w:pPr>
        <w:spacing w:after="120"/>
        <w:ind w:left="200"/>
      </w:pPr>
      <w:r>
        <w:rPr>
          <w:b/>
          <w:bCs/>
          <w:color w:val="B38B59"/>
        </w:rPr>
        <w:t xml:space="preserve">3. </w:t>
      </w:r>
      <w:r>
        <w:t xml:space="preserve">Hacer clic en Guardar y enviarse un correo de prueba para ver cómo se muestran los iconos en el pie de página (la vista previa en pantalla de la pestaña Vista previa no muestra las redes sociales).</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Pestaña Traducciones — 19 idiomas</w:t>
      </w:r>
      <w:bookmarkEnd w:id="1"/>
    </w:p>
    <w:p>
      <w:pPr>
        <w:spacing w:after="160"/>
      </w:pPr>
      <w:r>
        <w:t xml:space="preserve">La pestaña Traducciones permite editar el texto de cada una de las 117 plantillas de correo electrónico en cada uno de los 19 idiomas disponibles (fr, en, de, it, es, pt, br, gb, ar, ja, ko, zh, tw, ru, tr, sv, no, da, nl), con vista previa en vivo antes de guardar.</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Editar una plantilla</w:t>
      </w:r>
      <w:bookmarkEnd w:id="1"/>
    </w:p>
    <w:p>
      <w:pPr>
        <w:spacing w:after="120"/>
        <w:ind w:left="200"/>
      </w:pPr>
      <w:r>
        <w:rPr>
          <w:b/>
          <w:bCs/>
          <w:color w:val="B38B59"/>
        </w:rPr>
        <w:t xml:space="preserve">1. </w:t>
      </w:r>
      <w:r>
        <w:t xml:space="preserve">Seleccionar el idioma en el menú desplegable superior.</w:t>
      </w:r>
    </w:p>
    <w:p>
      <w:pPr>
        <w:spacing w:after="120"/>
        <w:ind w:left="200"/>
      </w:pPr>
      <w:r>
        <w:rPr>
          <w:b/>
          <w:bCs/>
          <w:color w:val="B38B59"/>
        </w:rPr>
        <w:t xml:space="preserve">2. </w:t>
      </w:r>
      <w:r>
        <w:t xml:space="preserve">Seleccionar la plantilla a editar de la lista (o usar la búsqueda global).</w:t>
      </w:r>
    </w:p>
    <w:p>
      <w:pPr>
        <w:spacing w:after="120"/>
        <w:ind w:left="200"/>
      </w:pPr>
      <w:r>
        <w:rPr>
          <w:b/>
          <w:bCs/>
          <w:color w:val="B38B59"/>
        </w:rPr>
        <w:t xml:space="preserve">3. </w:t>
      </w:r>
      <w:r>
        <w:t xml:space="preserve">Hacer clic en Editar. El editor se abre con los campos: asunto, cuerpo HTML, cuerpo en texto plano.</w:t>
      </w:r>
    </w:p>
    <w:p>
      <w:pPr>
        <w:spacing w:after="120"/>
        <w:ind w:left="200"/>
      </w:pPr>
      <w:r>
        <w:rPr>
          <w:b/>
          <w:bCs/>
          <w:color w:val="B38B59"/>
        </w:rPr>
        <w:t xml:space="preserve">4. </w:t>
      </w:r>
      <w:r>
        <w:t xml:space="preserve">Editar el texto. Las variables disponibles ({firstname}, {order_reference}…) se listan a la derecha.</w:t>
      </w:r>
    </w:p>
    <w:p>
      <w:pPr>
        <w:spacing w:after="120"/>
        <w:ind w:left="200"/>
      </w:pPr>
      <w:r>
        <w:rPr>
          <w:b/>
          <w:bCs/>
          <w:color w:val="B38B59"/>
        </w:rPr>
        <w:t xml:space="preserve">5. </w:t>
      </w:r>
      <w:r>
        <w:t xml:space="preserve">La vista previa en vivo se actualiza con cada pulsación de tecla. Hacer clic en Guardar.</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Traducción automática con DeepL</w:t>
      </w:r>
      <w:bookmarkEnd w:id="1"/>
    </w:p>
    <w:p>
      <w:pPr>
        <w:spacing w:after="120"/>
        <w:ind w:left="200"/>
      </w:pPr>
      <w:r>
        <w:rPr>
          <w:b/>
          <w:bCs/>
          <w:color w:val="B38B59"/>
        </w:rPr>
        <w:t xml:space="preserve">1. </w:t>
      </w:r>
      <w:r>
        <w:t xml:space="preserve">Hacer clic en el botón Traducir con DeepL en el editor.</w:t>
      </w:r>
    </w:p>
    <w:p>
      <w:pPr>
        <w:spacing w:after="120"/>
        <w:ind w:left="200"/>
      </w:pPr>
      <w:r>
        <w:rPr>
          <w:b/>
          <w:bCs/>
          <w:color w:val="B38B59"/>
        </w:rPr>
        <w:t xml:space="preserve">2. </w:t>
      </w:r>
      <w:r>
        <w:t xml:space="preserve">Neria envía el texto fuente a la API de DeepL y rellena automáticamente el campo de destino.</w:t>
      </w:r>
    </w:p>
    <w:p>
      <w:pPr>
        <w:spacing w:after="120"/>
        <w:ind w:left="200"/>
      </w:pPr>
      <w:r>
        <w:rPr>
          <w:b/>
          <w:bCs/>
          <w:color w:val="B38B59"/>
        </w:rPr>
        <w:t xml:space="preserve">3. </w:t>
      </w:r>
      <w:r>
        <w:t xml:space="preserve">Revisar y adaptar si es necesario antes de guardar.</w:t>
      </w:r>
    </w:p>
    <w:p>
      <w:pPr>
        <w:spacing w:after="180" w:before="120"/>
        <w:ind w:left="360"/>
      </w:pPr>
      <w:r>
        <w:rPr>
          <w:b/>
          <w:bCs/>
          <w:color w:val="B38B59"/>
        </w:rPr>
        <w:t xml:space="preserve">ℹ️  Nota — </w:t>
      </w:r>
      <w:r>
        <w:t xml:space="preserve">Es necesario configurar una clave de API DeepL Free (500.000 caracteres/mes gratuitos) en la pestaña Inicio → Ajustes generales → Clave API DeepL.</w:t>
      </w:r>
    </w:p>
    <w:p>
      <w:pPr>
        <w:pStyle w:val="Heading2"/>
        <w:spacing w:after="140" w:before="320"/>
      </w:pPr>
      <w:bookmarkStart w:name="sec37" w:id="1"/>
      <w:r>
        <w:t xml:space="preserve">10.3 Exportación e importación CSV</w:t>
      </w:r>
      <w:bookmarkEnd w:id="1"/>
    </w:p>
    <w:p>
      <w:pPr>
        <w:spacing w:after="120"/>
        <w:ind w:left="200"/>
      </w:pPr>
      <w:r>
        <w:rPr>
          <w:b/>
          <w:bCs/>
          <w:color w:val="B38B59"/>
        </w:rPr>
        <w:t xml:space="preserve">1. </w:t>
      </w:r>
      <w:r>
        <w:t xml:space="preserve">Hacer clic en Exportar CSV para descargar todas las traducciones de un idioma.</w:t>
      </w:r>
    </w:p>
    <w:p>
      <w:pPr>
        <w:spacing w:after="120"/>
        <w:ind w:left="200"/>
      </w:pPr>
      <w:r>
        <w:rPr>
          <w:b/>
          <w:bCs/>
          <w:color w:val="B38B59"/>
        </w:rPr>
        <w:t xml:space="preserve">2. </w:t>
      </w:r>
      <w:r>
        <w:t xml:space="preserve">Editar el archivo CSV en Excel o Google Sheets (columna A: clave, columna B: traducción).</w:t>
      </w:r>
    </w:p>
    <w:p>
      <w:pPr>
        <w:spacing w:after="120"/>
        <w:ind w:left="200"/>
      </w:pPr>
      <w:r>
        <w:rPr>
          <w:b/>
          <w:bCs/>
          <w:color w:val="B38B59"/>
        </w:rPr>
        <w:t xml:space="preserve">3. </w:t>
      </w:r>
      <w:r>
        <w:t xml:space="preserve">Hacer clic en Importar CSV y seleccionar el archivo modificado. Las traducciones se actualizan masivamente.</w:t>
      </w:r>
    </w:p>
    <w:p>
      <w:pPr>
        <w:pStyle w:val="Heading2"/>
        <w:spacing w:after="140" w:before="320"/>
      </w:pPr>
      <w:bookmarkStart w:name="sec38" w:id="1"/>
      <w:r>
        <w:t xml:space="preserve">10.4 Poner una plantilla en la lista negra</w:t>
      </w:r>
      <w:bookmarkEnd w:id="1"/>
    </w:p>
    <w:p>
      <w:pPr>
        <w:spacing w:after="160"/>
      </w:pPr>
      <w:r>
        <w:t xml:space="preserve">Si se desea que una plantilla concreta sea gestionada por el sistema nativo de PrestaShop en lugar de por Neria (globalmente o para un idioma específico), ir a Inicio → Lista negra de plantillas:</w:t>
      </w:r>
    </w:p>
    <w:p>
      <w:pPr>
        <w:spacing w:after="120"/>
        <w:ind w:left="200"/>
      </w:pPr>
      <w:r>
        <w:rPr>
          <w:b/>
          <w:bCs/>
          <w:color w:val="B38B59"/>
        </w:rPr>
        <w:t xml:space="preserve">1. </w:t>
      </w:r>
      <w:r>
        <w:t xml:space="preserve">Seleccionar la plantilla en el menú desplegable.</w:t>
      </w:r>
    </w:p>
    <w:p>
      <w:pPr>
        <w:spacing w:after="120"/>
        <w:ind w:left="200"/>
      </w:pPr>
      <w:r>
        <w:rPr>
          <w:b/>
          <w:bCs/>
          <w:color w:val="B38B59"/>
        </w:rPr>
        <w:t xml:space="preserve">2. </w:t>
      </w:r>
      <w:r>
        <w:t xml:space="preserve">Elegir un idioma concreto, o dejar «Todos los idiomas» para un bloqueo global.</w:t>
      </w:r>
    </w:p>
    <w:p>
      <w:pPr>
        <w:spacing w:after="120"/>
        <w:ind w:left="200"/>
      </w:pPr>
      <w:r>
        <w:rPr>
          <w:b/>
          <w:bCs/>
          <w:color w:val="B38B59"/>
        </w:rPr>
        <w:t xml:space="preserve">3. </w:t>
      </w:r>
      <w:r>
        <w:t xml:space="preserve">Hacer clic en Añadir. PrestaShop gestionará entonces ese correo de forma nativa en lugar de Neria.</w:t>
      </w:r>
    </w:p>
    <w:p>
      <w:pPr>
        <w:spacing w:after="120"/>
        <w:ind w:left="200"/>
      </w:pPr>
      <w:r>
        <w:rPr>
          <w:b/>
          <w:bCs/>
          <w:color w:val="B38B59"/>
        </w:rPr>
        <w:t xml:space="preserve">4. </w:t>
      </w:r>
      <w:r>
        <w:t xml:space="preserve">Para reactivarla, eliminar la regla de la tabla de reglas activas.</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Historial de traducciones</w:t>
      </w:r>
      <w:bookmarkEnd w:id="1"/>
    </w:p>
    <w:p>
      <w:pPr>
        <w:spacing w:after="160"/>
      </w:pPr>
      <w:r>
        <w:t xml:space="preserve">Cada cambio en una traducción se registra con una marca de tiempo. El historial es accesible a través del botón Historial en el editor de plantillas.</w:t>
      </w:r>
    </w:p>
    <w:p>
      <w:r>
        <w:br w:type="page"/>
      </w:r>
    </w:p>
    <w:p>
      <w:pPr>
        <w:pStyle w:val="Heading1"/>
        <w:pageBreakBefore/>
        <w:spacing w:after="200" w:before="500"/>
      </w:pPr>
      <w:bookmarkStart w:name="sec40" w:id="1"/>
      <w:r>
        <w:t xml:space="preserve">11. Huella vocal de la marca</w:t>
      </w:r>
      <w:bookmarkEnd w:id="1"/>
    </w:p>
    <w:p>
      <w:pPr>
        <w:spacing w:after="160"/>
      </w:pPr>
      <w:r>
        <w:t xml:space="preserve">La huella vocal permite definir palabras prohibidas, palabras preferidas y notas de tono editorial por idioma. Neria analiza automáticamente las traducciones existentes y señala las inconsistencias, sin recurrir a ninguna IA externa.</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En la sección Huella vocal, seleccionar el idioma.</w:t>
      </w:r>
    </w:p>
    <w:p>
      <w:pPr>
        <w:spacing w:after="120"/>
        <w:ind w:left="200"/>
      </w:pPr>
      <w:r>
        <w:rPr>
          <w:b/>
          <w:bCs/>
          <w:color w:val="B38B59"/>
        </w:rPr>
        <w:t xml:space="preserve">2. </w:t>
      </w:r>
      <w:r>
        <w:t xml:space="preserve">Introducir las Palabras prohibidas (p. ej. «barato», «descuento», «liquidación»), separadas por comas.</w:t>
      </w:r>
    </w:p>
    <w:p>
      <w:pPr>
        <w:spacing w:after="120"/>
        <w:ind w:left="200"/>
      </w:pPr>
      <w:r>
        <w:rPr>
          <w:b/>
          <w:bCs/>
          <w:color w:val="B38B59"/>
        </w:rPr>
        <w:t xml:space="preserve">3. </w:t>
      </w:r>
      <w:r>
        <w:t xml:space="preserve">Introducir las Palabras preferidas (p. ej. «exclusivo», «artesanal», «a medida»).</w:t>
      </w:r>
    </w:p>
    <w:p>
      <w:pPr>
        <w:spacing w:after="120"/>
        <w:ind w:left="200"/>
      </w:pPr>
      <w:r>
        <w:rPr>
          <w:b/>
          <w:bCs/>
          <w:color w:val="B38B59"/>
        </w:rPr>
        <w:t xml:space="preserve">4. </w:t>
      </w:r>
      <w:r>
        <w:t xml:space="preserve">Añadir Notas de tono (p. ej. «tratamiento de usted sistemático», «sin signos de exclamación»).</w:t>
      </w:r>
    </w:p>
    <w:p>
      <w:pPr>
        <w:spacing w:after="120"/>
        <w:ind w:left="200"/>
      </w:pPr>
      <w:r>
        <w:rPr>
          <w:b/>
          <w:bCs/>
          <w:color w:val="B38B59"/>
        </w:rPr>
        <w:t xml:space="preserve">5. </w:t>
      </w:r>
      <w:r>
        <w:t xml:space="preserve">Hacer clic en Iniciar auditoría retroactiva para analizar todas las plantillas existentes en ese idioma.</w:t>
      </w:r>
    </w:p>
    <w:p>
      <w:pPr>
        <w:spacing w:after="120"/>
        <w:ind w:left="200"/>
      </w:pPr>
      <w:r>
        <w:rPr>
          <w:b/>
          <w:bCs/>
          <w:color w:val="B38B59"/>
        </w:rPr>
        <w:t xml:space="preserve">6. </w:t>
      </w:r>
      <w:r>
        <w:t xml:space="preserve">Neria muestra la lista de plantillas que contienen palabras prohibidas, con el contexto circundante.</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Pestaña Envío manual</w:t>
      </w:r>
      <w:bookmarkEnd w:id="1"/>
    </w:p>
    <w:p>
      <w:pPr>
        <w:spacing w:after="160"/>
      </w:pPr>
      <w:r>
        <w:t xml:space="preserve">La pestaña Envío manual permite enviar cualquier plantilla de correo electrónico a cualquier cliente, de forma inmediata o programada, desde el back 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En el campo Cliente, comenzar a escribir el nombre o el correo del destinatario. El autocompletado sugiere los clientes que coinciden.</w:t>
      </w:r>
    </w:p>
    <w:p>
      <w:pPr>
        <w:spacing w:after="120"/>
        <w:ind w:left="200"/>
      </w:pPr>
      <w:r>
        <w:rPr>
          <w:b/>
          <w:bCs/>
          <w:color w:val="B38B59"/>
        </w:rPr>
        <w:t xml:space="preserve">2. </w:t>
      </w:r>
      <w:r>
        <w:t xml:space="preserve">Seleccionar la plantilla a enviar en la lista desplegable.</w:t>
      </w:r>
    </w:p>
    <w:p>
      <w:pPr>
        <w:spacing w:after="120"/>
        <w:ind w:left="200"/>
      </w:pPr>
      <w:r>
        <w:rPr>
          <w:b/>
          <w:bCs/>
          <w:color w:val="B38B59"/>
        </w:rPr>
        <w:t xml:space="preserve">3. </w:t>
      </w:r>
      <w:r>
        <w:t xml:space="preserve">Si la plantilla requiere variables específicas (número de pedido, importe…), rellenar los campos que aparecen.</w:t>
      </w:r>
    </w:p>
    <w:p>
      <w:pPr>
        <w:spacing w:after="120"/>
        <w:ind w:left="200"/>
      </w:pPr>
      <w:r>
        <w:rPr>
          <w:b/>
          <w:bCs/>
          <w:color w:val="B38B59"/>
        </w:rPr>
        <w:t xml:space="preserve">4. </w:t>
      </w:r>
      <w:r>
        <w:t xml:space="preserve">Elegir el idioma de envío (predeterminado: idioma preferido del cliente).</w:t>
      </w:r>
    </w:p>
    <w:p>
      <w:pPr>
        <w:spacing w:after="120"/>
        <w:ind w:left="200"/>
      </w:pPr>
      <w:r>
        <w:rPr>
          <w:b/>
          <w:bCs/>
          <w:color w:val="B38B59"/>
        </w:rPr>
        <w:t xml:space="preserve">5. </w:t>
      </w:r>
      <w:r>
        <w:t xml:space="preserve">Opcionalmente: activar Programar para definir una fecha y hora de envío diferido.</w:t>
      </w:r>
    </w:p>
    <w:p>
      <w:pPr>
        <w:spacing w:after="120"/>
        <w:ind w:left="200"/>
      </w:pPr>
      <w:r>
        <w:rPr>
          <w:b/>
          <w:bCs/>
          <w:color w:val="B38B59"/>
        </w:rPr>
        <w:t xml:space="preserve">6. </w:t>
      </w:r>
      <w:r>
        <w:t xml:space="preserve">Hacer clic en Vista previa para verificar el renderizado, luego en Enviar.</w:t>
      </w:r>
    </w:p>
    <w:p>
      <w:pPr>
        <w:spacing w:after="180" w:before="120"/>
        <w:ind w:left="360"/>
      </w:pPr>
      <w:r>
        <w:rPr>
          <w:b/>
          <w:bCs/>
          <w:color w:val="B38B59"/>
        </w:rPr>
        <w:t xml:space="preserve">ℹ️  Nota — </w:t>
      </w:r>
      <w:r>
        <w:t xml:space="preserve">Neria detecta si un correo electrónico idéntico se ha enviado recientemente al mismo cliente y muestra una advertencia de posible duplicación antes del envío.</w:t>
      </w:r>
    </w:p>
    <w:p>
      <w:r>
        <w:br w:type="page"/>
      </w:r>
    </w:p>
    <w:p>
      <w:pPr>
        <w:pStyle w:val="Heading1"/>
        <w:pageBreakBefore/>
        <w:spacing w:after="200" w:before="500"/>
      </w:pPr>
      <w:bookmarkStart w:name="sec42" w:id="1"/>
      <w:r>
        <w:t xml:space="preserve">13. Pestaña Vista previa multicliente</w:t>
      </w:r>
      <w:bookmarkEnd w:id="1"/>
    </w:p>
    <w:p>
      <w:pPr>
        <w:spacing w:after="160"/>
      </w:pPr>
      <w:r>
        <w:t xml:space="preserve">Esta pestaña simula el renderizado de cualquier plantilla en 10 clientes de correo electrónico diferentes: Apple Mail, Gmail, Outlook Desktop, Orange Mail, Yahoo Mail, Outlook Web (Hotmail/Live/MSN), QQ Mail, Mail.ru, Samsung Email, GMX/Web.de. El CSS se incrusta en línea en el servidor para cada cliente simulado — no se envían datos al exterior.</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Seleccionar la plantilla a previsualizar en la lista desplegable.</w:t>
      </w:r>
    </w:p>
    <w:p>
      <w:pPr>
        <w:spacing w:after="120"/>
        <w:ind w:left="200"/>
      </w:pPr>
      <w:r>
        <w:rPr>
          <w:b/>
          <w:bCs/>
          <w:color w:val="B38B59"/>
        </w:rPr>
        <w:t xml:space="preserve">2. </w:t>
      </w:r>
      <w:r>
        <w:t xml:space="preserve">Elegir el idioma.</w:t>
      </w:r>
    </w:p>
    <w:p>
      <w:pPr>
        <w:spacing w:after="120"/>
        <w:ind w:left="200"/>
      </w:pPr>
      <w:r>
        <w:rPr>
          <w:b/>
          <w:bCs/>
          <w:color w:val="B38B59"/>
        </w:rPr>
        <w:t xml:space="preserve">3. </w:t>
      </w:r>
      <w:r>
        <w:t xml:space="preserve">Hacer clic en Vista previa. Los 10 renderizados aparecen en una cuadrícula.</w:t>
      </w:r>
    </w:p>
    <w:p>
      <w:pPr>
        <w:spacing w:after="120"/>
        <w:ind w:left="200"/>
      </w:pPr>
      <w:r>
        <w:rPr>
          <w:b/>
          <w:bCs/>
          <w:color w:val="B38B59"/>
        </w:rPr>
        <w:t xml:space="preserve">4. </w:t>
      </w:r>
      <w:r>
        <w:t xml:space="preserve">Hacer clic en un renderizado para ampliarlo y desplazarse por el correo completo.</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Simular el modo oscuro</w:t>
      </w:r>
      <w:bookmarkEnd w:id="1"/>
    </w:p>
    <w:p>
      <w:pPr>
        <w:spacing w:after="160"/>
      </w:pPr>
      <w:r>
        <w:t xml:space="preserve">El botón Simular modo oscuro (todos los clientes) cambia la visualización al tema oscuro, para comprobar que el renderizado sigue siendo legible y que los colores de la marca no se invierten de forma no deseada.</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Automatizaciones de comportamiento</w:t>
      </w:r>
      <w:bookmarkEnd w:id="1"/>
    </w:p>
    <w:p>
      <w:pPr>
        <w:spacing w:after="160"/>
      </w:pPr>
      <w:r>
        <w:t xml:space="preserve">La pestaña ⚙ Automatizaciones agrupa las 21 tareas diarias activadas por el cron de comportamiento de Neria. Cada automatización dispone de su propio interruptor ON/OFF, un contador de correos enviados hoy y en total, y un indicador de disparador.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Nota — </w:t>
      </w:r>
      <w:r>
        <w:t xml:space="preserve">El botón «Forzar ejecución inmediata» activa inmediatamente todos los crons activos para la tienda actual. Las últimas 3 filas (Propensity Score, Segmentación, Churn Score) no envían correos: recalculan las puntuaciones internas en la base de datos y muestran «⚙ Cálculo» en lugar del botón de envío.</w:t>
      </w:r>
    </w:p>
    <w:p>
      <w:pPr>
        <w:pStyle w:val="Heading2"/>
        <w:spacing w:after="140" w:before="320"/>
      </w:pPr>
      <w:bookmarkStart w:name="sec45" w:id="1"/>
      <w:r>
        <w:t xml:space="preserve">14.1 Configuración del cron del servidor</w:t>
      </w:r>
      <w:bookmarkEnd w:id="1"/>
    </w:p>
    <w:p>
      <w:pPr>
        <w:spacing w:after="160"/>
      </w:pPr>
      <w:r>
        <w:t xml:space="preserve">Para garantizar la ejecución diaria, configurar una tarea cron en el servidor. El token de autenticación está disponible en la pestaña Ayuda → Configuración cron.</w:t>
      </w:r>
    </w:p>
    <w:p>
      <w:pPr>
        <w:spacing w:after="180" w:before="120"/>
        <w:ind w:left="360"/>
      </w:pPr>
      <w:r>
        <w:rPr>
          <w:b/>
          <w:bCs/>
          <w:color w:val="B38B59"/>
        </w:rPr>
        <w:t xml:space="preserve">ℹ️  Nota — </w:t>
      </w:r>
      <w:r>
        <w:t xml:space="preserve">En O2switch, añadir la tarea mediante cPanel → Tareas cron. Frecuencia recomendada: una vez al día a las 8:00.</w:t>
      </w:r>
    </w:p>
    <w:p>
      <w:pPr>
        <w:pStyle w:val="Heading2"/>
        <w:spacing w:after="140" w:before="320"/>
      </w:pPr>
      <w:bookmarkStart w:name="sec46" w:id="1"/>
      <w:r>
        <w:t xml:space="preserve">14.2 Aniversarios de clientes</w:t>
      </w:r>
      <w:bookmarkEnd w:id="1"/>
    </w:p>
    <w:p>
      <w:pPr>
        <w:spacing w:after="160"/>
      </w:pPr>
      <w:r>
        <w:t xml:space="preserve">Hay tres correos de cumpleaños disponibles, cada uno con su propio interruptor:</w:t>
      </w:r>
    </w:p>
    <w:p>
      <w:pPr>
        <w:pStyle w:val="ListParagraph"/>
        <w:numPr>
          <w:ilvl w:val="0"/>
          <w:numId w:val="2"/>
        </w:numPr>
        <w:spacing w:after="80"/>
      </w:pPr>
      <w:r>
        <w:t xml:space="preserve">Cumpleaños del cliente (birthday): enviado el día del cumpleaños del cliente, con cupón de descuento configurable.</w:t>
      </w:r>
    </w:p>
    <w:p>
      <w:pPr>
        <w:pStyle w:val="ListParagraph"/>
        <w:numPr>
          <w:ilvl w:val="0"/>
          <w:numId w:val="2"/>
        </w:numPr>
        <w:spacing w:after="80"/>
      </w:pPr>
      <w:r>
        <w:t xml:space="preserve">Primer aniversario del pedido (first_anniversary): enviado exactamente 1 año después del primer pedido.</w:t>
      </w:r>
    </w:p>
    <w:p>
      <w:pPr>
        <w:pStyle w:val="ListParagraph"/>
        <w:numPr>
          <w:ilvl w:val="0"/>
          <w:numId w:val="2"/>
        </w:numPr>
        <w:spacing w:after="80"/>
      </w:pPr>
      <w:r>
        <w:t xml:space="preserve">Aniversario de relación (relationship_anniversary): enviado cada año en la fecha de la primera compra (2 años, 3 años…).</w:t>
      </w:r>
    </w:p>
    <w:p>
      <w:pPr>
        <w:pStyle w:val="Heading2"/>
        <w:spacing w:after="140" w:before="320"/>
      </w:pPr>
      <w:bookmarkStart w:name="sec47" w:id="1"/>
      <w:r>
        <w:t xml:space="preserve">14.3 Carrito abandonado — 3 oleadas</w:t>
      </w:r>
      <w:bookmarkEnd w:id="1"/>
    </w:p>
    <w:p>
      <w:pPr>
        <w:spacing w:after="160"/>
      </w:pPr>
      <w:r>
        <w:t xml:space="preserve">Se envían automáticamente tres correos de seguimiento tras un abandono del carrito, con deduplicación estricta (un cliente nunca recibe dos seguimientos para el mismo carrito):</w:t>
      </w:r>
    </w:p>
    <w:p>
      <w:pPr>
        <w:pStyle w:val="ListParagraph"/>
        <w:numPr>
          <w:ilvl w:val="0"/>
          <w:numId w:val="2"/>
        </w:numPr>
        <w:spacing w:after="80"/>
      </w:pPr>
      <w:r>
        <w:t xml:space="preserve">Oleada 1 — abandoned_cart_1: 1 hora después del abandono (recordatorio suave).</w:t>
      </w:r>
    </w:p>
    <w:p>
      <w:pPr>
        <w:pStyle w:val="ListParagraph"/>
        <w:numPr>
          <w:ilvl w:val="0"/>
          <w:numId w:val="2"/>
        </w:numPr>
        <w:spacing w:after="80"/>
      </w:pPr>
      <w:r>
        <w:t xml:space="preserve">Oleada 2 — abandoned_cart_2: 24 horas después del abandono (seguimiento con incentivo opcional).</w:t>
      </w:r>
    </w:p>
    <w:p>
      <w:pPr>
        <w:pStyle w:val="ListParagraph"/>
        <w:numPr>
          <w:ilvl w:val="0"/>
          <w:numId w:val="2"/>
        </w:numPr>
        <w:spacing w:after="80"/>
      </w:pPr>
      <w:r>
        <w:t xml:space="preserve">Oleada 3 — abandoned_cart_3: 72 horas después del abandono (último aviso).</w:t>
      </w:r>
    </w:p>
    <w:p>
      <w:pPr>
        <w:spacing w:after="180" w:before="120"/>
        <w:ind w:left="360"/>
      </w:pPr>
      <w:r>
        <w:rPr>
          <w:b/>
          <w:bCs/>
          <w:color w:val="B38B59"/>
        </w:rPr>
        <w:t xml:space="preserve">ℹ️  Nota — </w:t>
      </w:r>
      <w:r>
        <w:t xml:space="preserve">Si el cliente completa su compra entre una oleada y la siguiente, las oleadas posteriores se cancelan automáticamente.</w:t>
      </w:r>
    </w:p>
    <w:p>
      <w:pPr>
        <w:pStyle w:val="Heading2"/>
        <w:spacing w:after="140" w:before="320"/>
      </w:pPr>
      <w:bookmarkStart w:name="sec48" w:id="1"/>
      <w:r>
        <w:t xml:space="preserve">14.4 Abandono del proceso de pago</w:t>
      </w:r>
      <w:bookmarkEnd w:id="1"/>
    </w:p>
    <w:p>
      <w:pPr>
        <w:spacing w:after="160"/>
      </w:pPr>
      <w:r>
        <w:t xml:space="preserve">El correo checkout_abandonment se activa 1 hora después de que un cliente haya seleccionado una dirección y un transportista sin proceder al pago. Una señal más temprana que el clásico carrito abandonado.</w:t>
      </w:r>
    </w:p>
    <w:p>
      <w:pPr>
        <w:pStyle w:val="Heading2"/>
        <w:spacing w:after="140" w:before="320"/>
      </w:pPr>
      <w:bookmarkStart w:name="sec49" w:id="1"/>
      <w:r>
        <w:t xml:space="preserve">14.5 Acompañamiento post-compra</w:t>
      </w:r>
      <w:bookmarkEnd w:id="1"/>
    </w:p>
    <w:p>
      <w:pPr>
        <w:pStyle w:val="ListParagraph"/>
        <w:numPr>
          <w:ilvl w:val="0"/>
          <w:numId w:val="2"/>
        </w:numPr>
        <w:spacing w:after="80"/>
      </w:pPr>
      <w:r>
        <w:t xml:space="preserve">Cuidado del producto (post_purchase_care): enviado 7 días después de la entrega confirmada. Un correo con consejos de cuidado y mantenimiento.</w:t>
      </w:r>
    </w:p>
    <w:p>
      <w:pPr>
        <w:pStyle w:val="ListParagraph"/>
        <w:numPr>
          <w:ilvl w:val="0"/>
          <w:numId w:val="2"/>
        </w:numPr>
        <w:spacing w:after="80"/>
      </w:pPr>
      <w:r>
        <w:t xml:space="preserve">Solicitud de reseña (post_purchase_review): enviado 14 días después de la entrega. Un correo de solicitud de opinión con enlace directo a la página del producto.</w:t>
      </w:r>
    </w:p>
    <w:p>
      <w:pPr>
        <w:pStyle w:val="Heading2"/>
        <w:spacing w:after="140" w:before="320"/>
      </w:pPr>
      <w:bookmarkStart w:name="sec50" w:id="1"/>
      <w:r>
        <w:t xml:space="preserve">14.6 Recordatorio de recompra</w:t>
      </w:r>
      <w:bookmarkEnd w:id="1"/>
    </w:p>
    <w:p>
      <w:pPr>
        <w:spacing w:after="160"/>
      </w:pPr>
      <w:r>
        <w:t xml:space="preserve">El correo reorder_reminder se envía 30 días después del último pedido para productos de consumo recurrente (cosméticos, alimentos, consumibles). Filtrable por categoría de producto.</w:t>
      </w:r>
    </w:p>
    <w:p>
      <w:pPr>
        <w:pStyle w:val="Heading2"/>
        <w:spacing w:after="140" w:before="320"/>
      </w:pPr>
      <w:bookmarkStart w:name="sec51" w:id="1"/>
      <w:r>
        <w:t xml:space="preserve">14.7 Recuperación (win-back)</w:t>
      </w:r>
      <w:bookmarkEnd w:id="1"/>
    </w:p>
    <w:p>
      <w:pPr>
        <w:spacing w:after="160"/>
      </w:pPr>
      <w:r>
        <w:t xml:space="preserve">El correo win_back se envía a los clientes inactivos 90 días después del último pedido. Opcionalmente con un cupón de descuento de recuperación.</w:t>
      </w:r>
    </w:p>
    <w:p>
      <w:pPr>
        <w:pStyle w:val="Heading2"/>
        <w:spacing w:after="140" w:before="320"/>
      </w:pPr>
      <w:bookmarkStart w:name="sec52" w:id="1"/>
      <w:r>
        <w:t xml:space="preserve">14.8 Retraso en la entrega</w:t>
      </w:r>
      <w:bookmarkEnd w:id="1"/>
    </w:p>
    <w:p>
      <w:pPr>
        <w:spacing w:after="160"/>
      </w:pPr>
      <w:r>
        <w:t xml:space="preserve">El correo order_shipped_delay se envía cuando un pedido marcado como Enviado no ha recibido confirmación de entrega 7 días después del envío. Un correo proactivo que informa al cliente y sugiere contactar con el transportista.</w:t>
      </w:r>
    </w:p>
    <w:p>
      <w:pPr>
        <w:pStyle w:val="Heading2"/>
        <w:spacing w:after="140" w:before="320"/>
      </w:pPr>
      <w:bookmarkStart w:name="sec53" w:id="1"/>
      <w:r>
        <w:t xml:space="preserve">14.9 Catálogo fantasma</w:t>
      </w:r>
      <w:bookmarkEnd w:id="1"/>
    </w:p>
    <w:p>
      <w:pPr>
        <w:spacing w:after="160"/>
      </w:pPr>
      <w:r>
        <w:t xml:space="preserve">El correo ghost_cart se dirige a los carritos creados hace más de N días (configurable) sin haber generado un pedido y no cubiertos por un seguimiento de carrito abandonado. Un seguimiento silencioso para los clientes que crearon un carrito pero no estaban activos en el momento del cron estándar.</w:t>
      </w:r>
    </w:p>
    <w:p>
      <w:r>
        <w:br w:type="page"/>
      </w:r>
    </w:p>
    <w:p>
      <w:pPr>
        <w:pStyle w:val="Heading1"/>
        <w:pageBreakBefore/>
        <w:spacing w:after="200" w:before="500"/>
      </w:pPr>
      <w:bookmarkStart w:name="sec54" w:id="1"/>
      <w:r>
        <w:t xml:space="preserve">15. Disparadores de pedido</w:t>
      </w:r>
      <w:bookmarkEnd w:id="1"/>
    </w:p>
    <w:p>
      <w:pPr>
        <w:spacing w:after="160"/>
      </w:pPr>
      <w:r>
        <w:t xml:space="preserve">Los disparadores de pedido son correos electrónicos enviados automáticamente en segundo plano, sin necesidad de ninguna configuración en el back office. Se activan a través de hooks de PrestaShop en cuanto el evento correspondiente ocurre en la tienda.</w:t>
      </w:r>
    </w:p>
    <w:p>
      <w:pPr>
        <w:pStyle w:val="Heading2"/>
        <w:spacing w:after="140" w:before="320"/>
      </w:pPr>
      <w:bookmarkStart w:name="sec55" w:id="1"/>
      <w:r>
        <w:t xml:space="preserve">15.1 Hito de pedido (milestone_order)</w:t>
      </w:r>
      <w:bookmarkEnd w:id="1"/>
    </w:p>
    <w:p>
      <w:pPr>
        <w:spacing w:after="160"/>
      </w:pPr>
      <w:r>
        <w:t xml:space="preserve">Un correo de felicitación enviado al cliente cuando alcanza un hito simbólico: su 5.°, 10.°, 25.°, 50.° o 100.° pedido. El mensaje pone en valor la fidelidad del cliente y puede incluir un cupón de descuento.</w:t>
      </w:r>
    </w:p>
    <w:p>
      <w:pPr>
        <w:pStyle w:val="Heading2"/>
        <w:spacing w:after="140" w:before="320"/>
      </w:pPr>
      <w:bookmarkStart w:name="sec56" w:id="1"/>
      <w:r>
        <w:t xml:space="preserve">15.2 Pedido en espera</w:t>
      </w:r>
      <w:bookmarkEnd w:id="1"/>
    </w:p>
    <w:p>
      <w:pPr>
        <w:spacing w:after="160"/>
      </w:pPr>
      <w:r>
        <w:t xml:space="preserve">Un correo informativo enviado automáticamente cuando un pedido pasa a un estado configurado como «bloqueante» (p. ej., en espera de pago complementario, problema aduanero).</w:t>
      </w:r>
    </w:p>
    <w:p>
      <w:pPr>
        <w:pStyle w:val="Heading2"/>
        <w:spacing w:after="140" w:before="320"/>
      </w:pPr>
      <w:bookmarkStart w:name="sec57" w:id="1"/>
      <w:r>
        <w:t xml:space="preserve">15.3 Envío parcial</w:t>
      </w:r>
      <w:bookmarkEnd w:id="1"/>
    </w:p>
    <w:p>
      <w:pPr>
        <w:spacing w:after="160"/>
      </w:pPr>
      <w:r>
        <w:t xml:space="preserve">Cuando un pedido se envía en varios paquetes, el correo order_partial_shipped informa al cliente de lo que está incluido en el paquete actual y lo que queda en preparación.</w:t>
      </w:r>
    </w:p>
    <w:p>
      <w:pPr>
        <w:pStyle w:val="Heading2"/>
        <w:spacing w:after="140" w:before="320"/>
      </w:pPr>
      <w:bookmarkStart w:name="sec58" w:id="1"/>
      <w:r>
        <w:t xml:space="preserve">15.4 Reembolso procesado</w:t>
      </w:r>
      <w:bookmarkEnd w:id="1"/>
    </w:p>
    <w:p>
      <w:pPr>
        <w:spacing w:after="160"/>
      </w:pPr>
      <w:r>
        <w:t xml:space="preserve">El correo refund_processed se envía automáticamente al crear un abono. Tres correos de seguimiento post-reembolso (refund_reconciliation_1/2/3) se envían en T+1, T+3, T+7 para mantener el vínculo con el cliente a pesar del incidente.</w:t>
      </w:r>
    </w:p>
    <w:p>
      <w:pPr>
        <w:pStyle w:val="Heading2"/>
        <w:spacing w:after="140" w:before="320"/>
      </w:pPr>
      <w:bookmarkStart w:name="sec59" w:id="1"/>
      <w:r>
        <w:t xml:space="preserve">15.5 Devolución recibida</w:t>
      </w:r>
      <w:bookmarkEnd w:id="1"/>
    </w:p>
    <w:p>
      <w:pPr>
        <w:spacing w:after="160"/>
      </w:pPr>
      <w:r>
        <w:t xml:space="preserve">El correo return_received se envía automáticamente al recibir físicamente la mercancía devuelta, confirmando que la devolución ha sido correctamente registrada. No se requiere ninguna acción por parte del comerciante: el hook de PrestaShop activa el envío en el momento en que la devolución se crea en la base de datos.</w:t>
      </w:r>
    </w:p>
    <w:p>
      <w:pPr>
        <w:spacing w:after="180" w:before="120"/>
        <w:ind w:left="360"/>
      </w:pPr>
      <w:r>
        <w:rPr>
          <w:b/>
          <w:bCs/>
          <w:color w:val="B38B59"/>
        </w:rPr>
        <w:t xml:space="preserve">ℹ️  Nota — </w:t>
      </w:r>
      <w:r>
        <w:t xml:space="preserve">Estos disparadores no tienen interfaz de configuración propia. Para verificar que un envío se ha producido, consultar el historial de correos del cliente en cuestión en la pestaña Historial de clientes.</w:t>
      </w:r>
    </w:p>
    <w:p>
      <w:r>
        <w:br w:type="page"/>
      </w:r>
    </w:p>
    <w:p>
      <w:pPr>
        <w:pStyle w:val="Heading1"/>
        <w:pageBreakBefore/>
        <w:spacing w:after="200" w:before="500"/>
      </w:pPr>
      <w:bookmarkStart w:name="sec60" w:id="1"/>
      <w:r>
        <w:t xml:space="preserve">16. Pestaña Calendario — Fechas recurrentes</w:t>
      </w:r>
      <w:bookmarkEnd w:id="1"/>
    </w:p>
    <w:p>
      <w:pPr>
        <w:spacing w:after="160"/>
      </w:pPr>
      <w:r>
        <w:t xml:space="preserve">Neria envía automáticamente correos para 25 fechas recurrentes del calendario en el idioma preferido de cada cliente, con resolución inteligente de fechas en 4 niveles (anulación del comerciante, algoritmo hijri/lunar, fechas precalculadas 2025–2035, fechas fijas).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Fechas disponibles: Navidad, Año Nuevo, San Valentín, Día de la Madre, Día del Padre, Día de los Abuelos, Halloween, Black Friday, Eid al-Fitr, Eid al-Adha, Ramadán (inicio), Diwali, Año Nuevo Chino/Lunar, Hanukkah, Semana Santa, Día del Trabajo, Día Internacional de la Mujer y otras.</w:t>
      </w:r>
    </w:p>
    <w:p>
      <w:pPr>
        <w:pStyle w:val="Heading2"/>
        <w:spacing w:after="140" w:before="320"/>
      </w:pPr>
      <w:bookmarkStart w:name="sec61" w:id="1"/>
      <w:r>
        <w:t xml:space="preserve">16.1 Activar / desactivar una fecha</w:t>
      </w:r>
      <w:bookmarkEnd w:id="1"/>
    </w:p>
    <w:p>
      <w:pPr>
        <w:spacing w:after="120"/>
        <w:ind w:left="200"/>
      </w:pPr>
      <w:r>
        <w:rPr>
          <w:b/>
          <w:bCs/>
          <w:color w:val="B38B59"/>
        </w:rPr>
        <w:t xml:space="preserve">1. </w:t>
      </w:r>
      <w:r>
        <w:t xml:space="preserve">Encontrar la fecha en la lista.</w:t>
      </w:r>
    </w:p>
    <w:p>
      <w:pPr>
        <w:spacing w:after="120"/>
        <w:ind w:left="200"/>
      </w:pPr>
      <w:r>
        <w:rPr>
          <w:b/>
          <w:bCs/>
          <w:color w:val="B38B59"/>
        </w:rPr>
        <w:t xml:space="preserve">2. </w:t>
      </w:r>
      <w:r>
        <w:t xml:space="preserve">Hacer clic en el interruptor Activo/Inactivo. La fecha se enviará (o no) en la próxima ejecución del cron.</w:t>
      </w:r>
    </w:p>
    <w:p>
      <w:pPr>
        <w:pStyle w:val="Heading2"/>
        <w:spacing w:after="140" w:before="320"/>
      </w:pPr>
      <w:bookmarkStart w:name="sec62" w:id="1"/>
      <w:r>
        <w:t xml:space="preserve">16.2 Personalizar la fecha</w:t>
      </w:r>
      <w:bookmarkEnd w:id="1"/>
    </w:p>
    <w:p>
      <w:pPr>
        <w:spacing w:after="120"/>
        <w:ind w:left="200"/>
      </w:pPr>
      <w:r>
        <w:rPr>
          <w:b/>
          <w:bCs/>
          <w:color w:val="B38B59"/>
        </w:rPr>
        <w:t xml:space="preserve">1. </w:t>
      </w:r>
      <w:r>
        <w:t xml:space="preserve">Hacer clic en el icono de edición de la fecha.</w:t>
      </w:r>
    </w:p>
    <w:p>
      <w:pPr>
        <w:spacing w:after="120"/>
        <w:ind w:left="200"/>
      </w:pPr>
      <w:r>
        <w:rPr>
          <w:b/>
          <w:bCs/>
          <w:color w:val="B38B59"/>
        </w:rPr>
        <w:t xml:space="preserve">2. </w:t>
      </w:r>
      <w:r>
        <w:t xml:space="preserve">Activar Anular fecha e introducir la fecha deseada (formato DD/MM).</w:t>
      </w:r>
    </w:p>
    <w:p>
      <w:pPr>
        <w:spacing w:after="120"/>
        <w:ind w:left="200"/>
      </w:pPr>
      <w:r>
        <w:rPr>
          <w:b/>
          <w:bCs/>
          <w:color w:val="B38B59"/>
        </w:rPr>
        <w:t xml:space="preserve">3. </w:t>
      </w:r>
      <w:r>
        <w:t xml:space="preserve">Hacer clic en Guardar. La fecha personalizada tiene prioridad sobre el cálculo automático.</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Pestaña Campañas estacionales</w:t>
      </w:r>
      <w:bookmarkEnd w:id="1"/>
    </w:p>
    <w:p>
      <w:pPr>
        <w:spacing w:after="160"/>
      </w:pPr>
      <w:r>
        <w:t xml:space="preserve">Las campañas estacionales permiten al comerciante crear envíos recurrentes personalizados — específicos de su negocio — que se activan automáticamente cada año en la misma fecha.</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Crear una campaña</w:t>
      </w:r>
      <w:bookmarkEnd w:id="1"/>
    </w:p>
    <w:p>
      <w:pPr>
        <w:spacing w:after="120"/>
        <w:ind w:left="200"/>
      </w:pPr>
      <w:r>
        <w:rPr>
          <w:b/>
          <w:bCs/>
          <w:color w:val="B38B59"/>
        </w:rPr>
        <w:t xml:space="preserve">1. </w:t>
      </w:r>
      <w:r>
        <w:t xml:space="preserve">Hacer clic en Nueva campaña.</w:t>
      </w:r>
    </w:p>
    <w:p>
      <w:pPr>
        <w:spacing w:after="120"/>
        <w:ind w:left="200"/>
      </w:pPr>
      <w:r>
        <w:rPr>
          <w:b/>
          <w:bCs/>
          <w:color w:val="B38B59"/>
        </w:rPr>
        <w:t xml:space="preserve">2. </w:t>
      </w:r>
      <w:r>
        <w:t xml:space="preserve">Introducir el nombre de la campaña (solo para uso interno).</w:t>
      </w:r>
    </w:p>
    <w:p>
      <w:pPr>
        <w:spacing w:after="120"/>
        <w:ind w:left="200"/>
      </w:pPr>
      <w:r>
        <w:rPr>
          <w:b/>
          <w:bCs/>
          <w:color w:val="B38B59"/>
        </w:rPr>
        <w:t xml:space="preserve">3. </w:t>
      </w:r>
      <w:r>
        <w:t xml:space="preserve">Elegir la plantilla de correo electrónico a enviar.</w:t>
      </w:r>
    </w:p>
    <w:p>
      <w:pPr>
        <w:spacing w:after="120"/>
        <w:ind w:left="200"/>
      </w:pPr>
      <w:r>
        <w:rPr>
          <w:b/>
          <w:bCs/>
          <w:color w:val="B38B59"/>
        </w:rPr>
        <w:t xml:space="preserve">4. </w:t>
      </w:r>
      <w:r>
        <w:t xml:space="preserve">Definir la fecha de activación anual (formato DD/MM).</w:t>
      </w:r>
    </w:p>
    <w:p>
      <w:pPr>
        <w:spacing w:after="120"/>
        <w:ind w:left="200"/>
      </w:pPr>
      <w:r>
        <w:rPr>
          <w:b/>
          <w:bCs/>
          <w:color w:val="B38B59"/>
        </w:rPr>
        <w:t xml:space="preserve">5. </w:t>
      </w:r>
      <w:r>
        <w:t xml:space="preserve">Configurar el público: segmento de clientes, idioma, país, género, franja de edad (todos los campos son opcionales).</w:t>
      </w:r>
    </w:p>
    <w:p>
      <w:pPr>
        <w:spacing w:after="120"/>
        <w:ind w:left="200"/>
      </w:pPr>
      <w:r>
        <w:rPr>
          <w:b/>
          <w:bCs/>
          <w:color w:val="B38B59"/>
        </w:rPr>
        <w:t xml:space="preserve">6. </w:t>
      </w:r>
      <w:r>
        <w:t xml:space="preserve">Activar la campaña y hacer clic en Guardar.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Nota — </w:t>
      </w:r>
      <w:r>
        <w:t xml:space="preserve">Una campaña estacional puede enviarse al mismo cliente como máximo una vez al año, aunque el cron se ejecute varias veces el mismo día.</w:t>
      </w:r>
    </w:p>
    <w:p>
      <w:r>
        <w:br w:type="page"/>
      </w:r>
    </w:p>
    <w:p>
      <w:pPr>
        <w:pStyle w:val="Heading1"/>
        <w:pageBreakBefore/>
        <w:spacing w:after="200" w:before="500"/>
      </w:pPr>
      <w:bookmarkStart w:name="sec65" w:id="1"/>
      <w:r>
        <w:t xml:space="preserve">18. Programa de fidelidad</w:t>
      </w:r>
      <w:bookmarkEnd w:id="1"/>
    </w:p>
    <w:p>
      <w:pPr>
        <w:spacing w:after="160"/>
      </w:pPr>
      <w:r>
        <w:t xml:space="preserve">Neria incluye un programa completo de fidelidad por correo electrónico: los puntos se acumulan en cada interacción, los niveles se recompensan y se envían automáticamente resúmenes mensuales.</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Asignación de puntos</w:t>
      </w:r>
      <w:bookmarkEnd w:id="1"/>
    </w:p>
    <w:p>
      <w:pPr>
        <w:pStyle w:val="ListParagraph"/>
        <w:numPr>
          <w:ilvl w:val="0"/>
          <w:numId w:val="2"/>
        </w:numPr>
        <w:spacing w:after="80"/>
      </w:pPr>
      <w:r>
        <w:t xml:space="preserve">Apertura de correo: +1 punto</w:t>
      </w:r>
    </w:p>
    <w:p>
      <w:pPr>
        <w:pStyle w:val="ListParagraph"/>
        <w:numPr>
          <w:ilvl w:val="0"/>
          <w:numId w:val="2"/>
        </w:numPr>
        <w:spacing w:after="80"/>
      </w:pPr>
      <w:r>
        <w:t xml:space="preserve">Clic en un correo: +3 puntos</w:t>
      </w:r>
    </w:p>
    <w:p>
      <w:pPr>
        <w:pStyle w:val="ListParagraph"/>
        <w:numPr>
          <w:ilvl w:val="0"/>
          <w:numId w:val="2"/>
        </w:numPr>
        <w:spacing w:after="80"/>
      </w:pPr>
      <w:r>
        <w:t xml:space="preserve">Compra validada: +10 puntos (configurable)</w:t>
      </w:r>
    </w:p>
    <w:p>
      <w:pPr>
        <w:spacing w:after="160"/>
      </w:pPr>
      <w:r>
        <w:t xml:space="preserve">Las métricas en tiempo real (clientes activos, puntos distribuidos, cupones enviados, aperturas, clics, compras detectadas) son visibles en la parte superior de la sección.</w:t>
      </w:r>
    </w:p>
    <w:p>
      <w:pPr>
        <w:pStyle w:val="Heading2"/>
        <w:spacing w:after="140" w:before="320"/>
      </w:pPr>
      <w:bookmarkStart w:name="sec67" w:id="1"/>
      <w:r>
        <w:t xml:space="preserve">18.2 Niveles del programa de fidelidad</w:t>
      </w:r>
      <w:bookmarkEnd w:id="1"/>
    </w:p>
    <w:p>
      <w:pPr>
        <w:spacing w:after="160"/>
      </w:pPr>
      <w:r>
        <w:t xml:space="preserve">Tres niveles son configurables (umbral de puntos, recompensa como importe fijo o porcentaje):</w:t>
      </w:r>
    </w:p>
    <w:p>
      <w:pPr>
        <w:pStyle w:val="ListParagraph"/>
        <w:numPr>
          <w:ilvl w:val="0"/>
          <w:numId w:val="2"/>
        </w:numPr>
        <w:spacing w:after="80"/>
      </w:pPr>
      <w:r>
        <w:t xml:space="preserve">Bronce: 50 puntos — cupón de 5 € (predeterminado)</w:t>
      </w:r>
    </w:p>
    <w:p>
      <w:pPr>
        <w:pStyle w:val="ListParagraph"/>
        <w:numPr>
          <w:ilvl w:val="0"/>
          <w:numId w:val="2"/>
        </w:numPr>
        <w:spacing w:after="80"/>
      </w:pPr>
      <w:r>
        <w:t xml:space="preserve">Plata: 150 puntos — cupón de 10 € (predeterminado)</w:t>
      </w:r>
    </w:p>
    <w:p>
      <w:pPr>
        <w:pStyle w:val="ListParagraph"/>
        <w:numPr>
          <w:ilvl w:val="0"/>
          <w:numId w:val="2"/>
        </w:numPr>
        <w:spacing w:after="80"/>
      </w:pPr>
      <w:r>
        <w:t xml:space="preserve">Oro: 300 puntos — cupón de 20 € (predeterminado)</w:t>
      </w:r>
    </w:p>
    <w:p>
      <w:pPr>
        <w:spacing w:after="120"/>
        <w:ind w:left="200"/>
      </w:pPr>
      <w:r>
        <w:rPr>
          <w:b/>
          <w:bCs/>
          <w:color w:val="B38B59"/>
        </w:rPr>
        <w:t xml:space="preserve">1. </w:t>
      </w:r>
      <w:r>
        <w:t xml:space="preserve">Editar el umbral y el importe de la recompensa para cada nivel.</w:t>
      </w:r>
    </w:p>
    <w:p>
      <w:pPr>
        <w:spacing w:after="120"/>
        <w:ind w:left="200"/>
      </w:pPr>
      <w:r>
        <w:rPr>
          <w:b/>
          <w:bCs/>
          <w:color w:val="B38B59"/>
        </w:rPr>
        <w:t xml:space="preserve">2. </w:t>
      </w:r>
      <w:r>
        <w:t xml:space="preserve">Activar «Descuento porcentual» si se prefiere un porcentaje en lugar de un importe fijo.</w:t>
      </w:r>
    </w:p>
    <w:p>
      <w:pPr>
        <w:spacing w:after="120"/>
        <w:ind w:left="200"/>
      </w:pPr>
      <w:r>
        <w:rPr>
          <w:b/>
          <w:bCs/>
          <w:color w:val="B38B59"/>
        </w:rPr>
        <w:t xml:space="preserve">3. </w:t>
      </w:r>
      <w:r>
        <w:t xml:space="preserve">Hacer clic en Guardar niveles.</w:t>
      </w:r>
    </w:p>
    <w:p>
      <w:pPr>
        <w:pStyle w:val="Heading2"/>
        <w:spacing w:after="140" w:before="320"/>
      </w:pPr>
      <w:bookmarkStart w:name="sec68" w:id="1"/>
      <w:r>
        <w:t xml:space="preserve">18.3 Correos de fidelidad</w:t>
      </w:r>
      <w:bookmarkEnd w:id="1"/>
    </w:p>
    <w:p>
      <w:pPr>
        <w:pStyle w:val="ListParagraph"/>
        <w:numPr>
          <w:ilvl w:val="0"/>
          <w:numId w:val="2"/>
        </w:numPr>
        <w:spacing w:after="80"/>
      </w:pPr>
      <w:r>
        <w:t xml:space="preserve">loyalty_tier_upgrade: correo automático cuando un cliente alcanza un nivel, con su cupón de recompensa.</w:t>
      </w:r>
    </w:p>
    <w:p>
      <w:pPr>
        <w:pStyle w:val="ListParagraph"/>
        <w:numPr>
          <w:ilvl w:val="0"/>
          <w:numId w:val="2"/>
        </w:numPr>
        <w:spacing w:after="80"/>
      </w:pPr>
      <w:r>
        <w:t xml:space="preserve">loyalty_recap: resumen mensual de los puntos del cliente.</w:t>
      </w:r>
    </w:p>
    <w:p>
      <w:pPr>
        <w:pStyle w:val="ListParagraph"/>
        <w:numPr>
          <w:ilvl w:val="0"/>
          <w:numId w:val="2"/>
        </w:numPr>
        <w:spacing w:after="80"/>
      </w:pPr>
      <w:r>
        <w:t xml:space="preserve">loyalty_reward_expiry: aviso 7 días antes de la expiración de un cupón de recompensa.</w:t>
      </w:r>
    </w:p>
    <w:p>
      <w:pPr>
        <w:pStyle w:val="Heading2"/>
        <w:spacing w:after="140" w:before="320"/>
      </w:pPr>
      <w:bookmarkStart w:name="sec69" w:id="1"/>
      <w:r>
        <w:t xml:space="preserve">18.4 Acumulación multi-tienda</w:t>
      </w:r>
      <w:bookmarkEnd w:id="1"/>
    </w:p>
    <w:p>
      <w:pPr>
        <w:spacing w:after="160"/>
      </w:pPr>
      <w:r>
        <w:t xml:space="preserve">En una instalación multishop, el interruptor «Acumulación entre tiendas» permite elegir si los puntos se acumulan en todas las tiendas o permanecen aislados por tienda. Predeterminado: acumulados en todas las tiendas.</w:t>
      </w:r>
    </w:p>
    <w:p>
      <w:r>
        <w:br w:type="page"/>
      </w:r>
    </w:p>
    <w:p>
      <w:pPr>
        <w:pStyle w:val="Heading1"/>
        <w:pageBreakBefore/>
        <w:spacing w:after="200" w:before="500"/>
      </w:pPr>
      <w:bookmarkStart w:name="sec70" w:id="1"/>
      <w:r>
        <w:t xml:space="preserve">19. Pestaña Segmentos — Segmentación de comportamiento</w:t>
      </w:r>
      <w:bookmarkEnd w:id="1"/>
    </w:p>
    <w:p>
      <w:pPr>
        <w:spacing w:after="160"/>
      </w:pPr>
      <w:r>
        <w:t xml:space="preserve">Neria clasifica automáticamente a cada cliente en uno de los 5 segmentos de comportamiento, recalculados cada día a partir del historial de correos y compras.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Los 5 segmentos</w:t>
      </w:r>
      <w:bookmarkEnd w:id="1"/>
    </w:p>
    <w:p>
      <w:pPr>
        <w:pStyle w:val="ListParagraph"/>
        <w:numPr>
          <w:ilvl w:val="0"/>
          <w:numId w:val="2"/>
        </w:numPr>
        <w:spacing w:after="80"/>
      </w:pPr>
      <w:r>
        <w:t xml:space="preserve">Ambassador: abre sistemáticamente los correos, ha convertido al menos dos veces. Los clientes más comprometidos.</w:t>
      </w:r>
    </w:p>
    <w:p>
      <w:pPr>
        <w:pStyle w:val="ListParagraph"/>
        <w:numPr>
          <w:ilvl w:val="0"/>
          <w:numId w:val="2"/>
        </w:numPr>
        <w:spacing w:after="80"/>
      </w:pPr>
      <w:r>
        <w:t xml:space="preserve">Loyal: abre regularmente, al menos 1 conversión. Clientes fieles.</w:t>
      </w:r>
    </w:p>
    <w:p>
      <w:pPr>
        <w:pStyle w:val="ListParagraph"/>
        <w:numPr>
          <w:ilvl w:val="0"/>
          <w:numId w:val="2"/>
        </w:numPr>
        <w:spacing w:after="80"/>
      </w:pPr>
      <w:r>
        <w:t xml:space="preserve">Warm: abre ocasionalmente, último correo abierto hace menos de 90 días.</w:t>
      </w:r>
    </w:p>
    <w:p>
      <w:pPr>
        <w:pStyle w:val="ListParagraph"/>
        <w:numPr>
          <w:ilvl w:val="0"/>
          <w:numId w:val="2"/>
        </w:numPr>
        <w:spacing w:after="80"/>
      </w:pPr>
      <w:r>
        <w:t xml:space="preserve">Dormant: último correo abierto hace más de 90 días. Riesgo de desconexión.</w:t>
      </w:r>
    </w:p>
    <w:p>
      <w:pPr>
        <w:pStyle w:val="ListParagraph"/>
        <w:numPr>
          <w:ilvl w:val="0"/>
          <w:numId w:val="2"/>
        </w:numPr>
        <w:spacing w:after="80"/>
      </w:pPr>
      <w:r>
        <w:t xml:space="preserve">Ghost: nunca ha abierto un correo de Neria. Puede indicar un problema de entregabilidad o un desinterés real.</w:t>
      </w:r>
    </w:p>
    <w:p>
      <w:pPr>
        <w:pStyle w:val="Heading2"/>
        <w:spacing w:after="140" w:before="320"/>
      </w:pPr>
      <w:bookmarkStart w:name="sec72" w:id="1"/>
      <w:r>
        <w:t xml:space="preserve">19.2 Usar los segmentos en campañas</w:t>
      </w:r>
      <w:bookmarkEnd w:id="1"/>
    </w:p>
    <w:p>
      <w:pPr>
        <w:spacing w:after="160"/>
      </w:pPr>
      <w:r>
        <w:t xml:space="preserve">En las campañas estacionales y los filtros de envío manual, el campo Segmento permite seleccionar como destinatarios exclusivamente a los clientes de uno o varios segmentos (p. ej. enviar una oferta de recuperación solo a los clientes Dormant y Ghost).</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Golden Hour — Horario de envío óptimo</w:t>
      </w:r>
      <w:bookmarkEnd w:id="1"/>
    </w:p>
    <w:p>
      <w:pPr>
        <w:spacing w:after="160"/>
      </w:pPr>
      <w:r>
        <w:t xml:space="preserve">La función Golden Hour analiza las aperturas de correo por día de la semana y hora, por idioma, para determinar la franja horaria en la que los clientes tienen más probabilidades de abrir un correo.</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Las celdas más oscuras muestran las franjas horarias con más aperturas. La leyenda Menos → Más aperturas en la parte inferior del mapa de calor ayuda en la interpretación. Un indicador de fiabilidad basado en el volumen de datos recopilados indica la confiabilidad de la recomendación.</w:t>
      </w:r>
    </w:p>
    <w:p>
      <w:pPr>
        <w:spacing w:after="180" w:before="120"/>
        <w:ind w:left="360"/>
      </w:pPr>
      <w:r>
        <w:rPr>
          <w:b/>
          <w:bCs/>
          <w:color w:val="B38B59"/>
        </w:rPr>
        <w:t xml:space="preserve">ℹ️  Nota — </w:t>
      </w:r>
      <w:r>
        <w:t xml:space="preserve">Golden Hour es informativa: no modifica automáticamente el horario de envío de los crons de comportamiento. Usar estos datos para configurar manualmente el horario del cron del servidor.</w:t>
      </w:r>
    </w:p>
    <w:p>
      <w:r>
        <w:br w:type="page"/>
      </w:r>
    </w:p>
    <w:p>
      <w:pPr>
        <w:pStyle w:val="Heading1"/>
        <w:pageBreakBefore/>
        <w:spacing w:after="200" w:before="500"/>
      </w:pPr>
      <w:bookmarkStart w:name="sec74" w:id="1"/>
      <w:r>
        <w:t xml:space="preserve">21. Ventana de compra individual</w:t>
      </w:r>
      <w:bookmarkEnd w:id="1"/>
    </w:p>
    <w:p>
      <w:pPr>
        <w:spacing w:after="160"/>
      </w:pPr>
      <w:r>
        <w:t xml:space="preserve">La ventana de compra individual detecta el horario de compra preferido de cada cliente a partir del historial de sus pedidos. Los correos de comportamiento se ponen en cola y se entregan en ese horario óptimo — no un horario global, sino un horario individual por cliente.</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El panel muestra en tiempo real: correos en cola, correos enviados en 30 días, retraso medio, porcentaje de clientes con ventana detectada y horario de pico global.</w:t>
      </w:r>
    </w:p>
    <w:p>
      <w:pPr>
        <w:pStyle w:val="Heading2"/>
        <w:spacing w:after="140" w:before="320"/>
      </w:pPr>
      <w:bookmarkStart w:name="sec75" w:id="1"/>
      <w:r>
        <w:t xml:space="preserve">21.1 Activar la cola</w:t>
      </w:r>
      <w:bookmarkEnd w:id="1"/>
    </w:p>
    <w:p>
      <w:pPr>
        <w:spacing w:after="120"/>
        <w:ind w:left="200"/>
      </w:pPr>
      <w:r>
        <w:rPr>
          <w:b/>
          <w:bCs/>
          <w:color w:val="B38B59"/>
        </w:rPr>
        <w:t xml:space="preserve">1. </w:t>
      </w:r>
      <w:r>
        <w:t xml:space="preserve">En la pestaña Inicio → Ajustes generales, activar el interruptor Enviar a la hora preferida del cliente.</w:t>
      </w:r>
    </w:p>
    <w:p>
      <w:pPr>
        <w:spacing w:after="120"/>
        <w:ind w:left="200"/>
      </w:pPr>
      <w:r>
        <w:rPr>
          <w:b/>
          <w:bCs/>
          <w:color w:val="B38B59"/>
        </w:rPr>
        <w:t xml:space="preserve">2. </w:t>
      </w:r>
      <w:r>
        <w:t xml:space="preserve">Los correos de comportamiento se pondrán en cola y se enviarán al horario de compra histórico de cada destinatario.</w:t>
      </w:r>
    </w:p>
    <w:p>
      <w:pPr>
        <w:spacing w:after="180" w:before="120"/>
        <w:ind w:left="360"/>
      </w:pPr>
      <w:r>
        <w:rPr>
          <w:b/>
          <w:bCs/>
          <w:color w:val="B38B59"/>
        </w:rPr>
        <w:t xml:space="preserve">ℹ️  Nota — </w:t>
      </w:r>
      <w:r>
        <w:t xml:space="preserve">Con 2 compras confirmadas a la misma hora, el patrón se considera fiable. Los clientes sin ventana detectada reciben sus correos inmediatamente, sin demora.</w:t>
      </w:r>
    </w:p>
    <w:p>
      <w:r>
        <w:br w:type="page"/>
      </w:r>
    </w:p>
    <w:p>
      <w:pPr>
        <w:pStyle w:val="Heading1"/>
        <w:pageBreakBefore/>
        <w:spacing w:after="200" w:before="500"/>
      </w:pPr>
      <w:bookmarkStart w:name="sec76" w:id="1"/>
      <w:r>
        <w:t xml:space="preserve">22. Upsell y completado de colección</w:t>
      </w:r>
      <w:bookmarkEnd w:id="1"/>
    </w:p>
    <w:p>
      <w:pPr>
        <w:pStyle w:val="Heading2"/>
        <w:spacing w:after="140" w:before="320"/>
      </w:pPr>
      <w:bookmarkStart w:name="sec77" w:id="1"/>
      <w:r>
        <w:t xml:space="preserve">22.1 Upsell inteligente</w:t>
      </w:r>
      <w:bookmarkEnd w:id="1"/>
    </w:p>
    <w:p>
      <w:pPr>
        <w:spacing w:after="160"/>
      </w:pPr>
      <w:r>
        <w:t xml:space="preserve">El motor de upsell selecciona automáticamente un producto a sugerir en los correos post-compra (T+14 desde la entrega) según 3 niveles de prioridad:</w:t>
      </w:r>
    </w:p>
    <w:p>
      <w:pPr>
        <w:pStyle w:val="ListParagraph"/>
        <w:numPr>
          <w:ilvl w:val="0"/>
          <w:numId w:val="2"/>
        </w:numPr>
        <w:spacing w:after="80"/>
      </w:pPr>
      <w:r>
        <w:t xml:space="preserve">Nivel 1 — Accesorios: producto vinculado manualmente en la página del producto de PrestaShop.</w:t>
      </w:r>
    </w:p>
    <w:p>
      <w:pPr>
        <w:pStyle w:val="ListParagraph"/>
        <w:numPr>
          <w:ilvl w:val="0"/>
          <w:numId w:val="2"/>
        </w:numPr>
        <w:spacing w:after="80"/>
      </w:pPr>
      <w:r>
        <w:t xml:space="preserve">Nivel 2 — Co-compra: producto estadísticamente pedido junto por otros clientes.</w:t>
      </w:r>
    </w:p>
    <w:p>
      <w:pPr>
        <w:pStyle w:val="ListParagraph"/>
        <w:numPr>
          <w:ilvl w:val="0"/>
          <w:numId w:val="2"/>
        </w:numPr>
        <w:spacing w:after="80"/>
      </w:pPr>
      <w:r>
        <w:t xml:space="preserve">Nivel 3 — Más vendidos: producto más vendido en la misma categoría (respaldo garantizado).</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El panel muestra sugerencias, clics, conversiones, ingresos generados y ticket medio. La sección Vista previa permite simular el bloque de upsell para cualquier pedido entregado, sin enviar un correo real.</w:t>
      </w:r>
    </w:p>
    <w:p>
      <w:pPr>
        <w:spacing w:after="180" w:before="120"/>
        <w:ind w:left="360"/>
      </w:pPr>
      <w:r>
        <w:rPr>
          <w:b/>
          <w:bCs/>
          <w:color w:val="B38B59"/>
        </w:rPr>
        <w:t xml:space="preserve">ℹ️  Nota — </w:t>
      </w:r>
      <w:r>
        <w:t xml:space="preserve">Los productos ya comprados por el cliente y los artículos sin stock se excluyen automáticamente de la sugerencia.</w:t>
      </w:r>
    </w:p>
    <w:p>
      <w:pPr>
        <w:pStyle w:val="Heading2"/>
        <w:spacing w:after="140" w:before="320"/>
      </w:pPr>
      <w:bookmarkStart w:name="sec78" w:id="1"/>
      <w:r>
        <w:t xml:space="preserve">22.2 Completa tu look</w:t>
      </w:r>
      <w:bookmarkEnd w:id="1"/>
    </w:p>
    <w:p>
      <w:pPr>
        <w:spacing w:after="160"/>
      </w:pPr>
      <w:r>
        <w:t xml:space="preserve">48 horas después de la entrega confirmada, el correo look_completion sugiere 2 o 3 productos complementarios según las reglas de correspondencia categoría-producto definidas en el back office.</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Seleccionar una categoría disparadora en el menú desplegable.</w:t>
      </w:r>
    </w:p>
    <w:p>
      <w:pPr>
        <w:spacing w:after="120"/>
        <w:ind w:left="200"/>
      </w:pPr>
      <w:r>
        <w:rPr>
          <w:b/>
          <w:bCs/>
          <w:color w:val="B38B59"/>
        </w:rPr>
        <w:t xml:space="preserve">2. </w:t>
      </w:r>
      <w:r>
        <w:t xml:space="preserve">Introducir los ID de producto a sugerir (de 2 a 3, separados por comas).</w:t>
      </w:r>
    </w:p>
    <w:p>
      <w:pPr>
        <w:spacing w:after="120"/>
        <w:ind w:left="200"/>
      </w:pPr>
      <w:r>
        <w:rPr>
          <w:b/>
          <w:bCs/>
          <w:color w:val="B38B59"/>
        </w:rPr>
        <w:t xml:space="preserve">3. </w:t>
      </w:r>
      <w:r>
        <w:t xml:space="preserve">Hacer clic en Añadir. La regla está activa de inmediato.</w:t>
      </w:r>
    </w:p>
    <w:p>
      <w:pPr>
        <w:spacing w:after="180" w:before="120"/>
        <w:ind w:left="360"/>
      </w:pPr>
      <w:r>
        <w:rPr>
          <w:b/>
          <w:bCs/>
          <w:color w:val="B38B59"/>
        </w:rPr>
        <w:t xml:space="preserve">ℹ️  Nota — </w:t>
      </w:r>
      <w:r>
        <w:t xml:space="preserve">Un correo por pedido — deduplicación automática. El correo llega cuando el cliente tiene el producto en las manos, en el mejor momento para una sugerencia complementaria.</w:t>
      </w:r>
    </w:p>
    <w:p>
      <w:pPr>
        <w:pStyle w:val="Heading2"/>
        <w:spacing w:after="140" w:before="320"/>
      </w:pPr>
      <w:bookmarkStart w:name="sec79" w:id="1"/>
      <w:r>
        <w:t xml:space="preserve">22.3 Completado de colección</w:t>
      </w:r>
      <w:bookmarkEnd w:id="1"/>
    </w:p>
    <w:p>
      <w:pPr>
        <w:spacing w:after="160"/>
      </w:pPr>
      <w:r>
        <w:t xml:space="preserve">Neria identifica a los clientes a quienes les falta solo una pieza para completar una colección y les envía automáticamente un correo con el producto que falta.</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Introducir el nombre de la colección (p. ej. Trío de cuidado facial).</w:t>
      </w:r>
    </w:p>
    <w:p>
      <w:pPr>
        <w:spacing w:after="120"/>
        <w:ind w:left="200"/>
      </w:pPr>
      <w:r>
        <w:rPr>
          <w:b/>
          <w:bCs/>
          <w:color w:val="B38B59"/>
        </w:rPr>
        <w:t xml:space="preserve">2. </w:t>
      </w:r>
      <w:r>
        <w:t xml:space="preserve">Introducir los ID de producto de la colección, separados por comas.</w:t>
      </w:r>
    </w:p>
    <w:p>
      <w:pPr>
        <w:spacing w:after="120"/>
        <w:ind w:left="200"/>
      </w:pPr>
      <w:r>
        <w:rPr>
          <w:b/>
          <w:bCs/>
          <w:color w:val="B38B59"/>
        </w:rPr>
        <w:t xml:space="preserve">3. </w:t>
      </w:r>
      <w:r>
        <w:t xml:space="preserve">Hacer clic en Añadir. Neria supervisará los pedidos a partir del día siguiente.</w:t>
      </w:r>
    </w:p>
    <w:p>
      <w:pPr>
        <w:spacing w:after="180" w:before="120"/>
        <w:ind w:left="360"/>
      </w:pPr>
      <w:r>
        <w:rPr>
          <w:b/>
          <w:bCs/>
          <w:color w:val="B38B59"/>
        </w:rPr>
        <w:t xml:space="preserve">ℹ️  Nota — </w:t>
      </w:r>
      <w:r>
        <w:t xml:space="preserve">Un correo por cliente y por colección, aunque el cliente compre posteriormente otras piezas de la colección.</w:t>
      </w:r>
    </w:p>
    <w:p>
      <w:r>
        <w:br w:type="page"/>
      </w:r>
    </w:p>
    <w:p>
      <w:pPr>
        <w:pStyle w:val="Heading1"/>
        <w:pageBreakBefore/>
        <w:spacing w:after="200" w:before="500"/>
      </w:pPr>
      <w:bookmarkStart w:name="sec80" w:id="1"/>
      <w:r>
        <w:t xml:space="preserve">23. Lista de espera de productos</w:t>
      </w:r>
      <w:bookmarkEnd w:id="1"/>
    </w:p>
    <w:p>
      <w:pPr>
        <w:spacing w:after="160"/>
      </w:pPr>
      <w:r>
        <w:t xml:space="preserve">Cuando un producto está agotado, Neria muestra en la página del producto un botón «Notificarme cuando esté disponible». En cuanto se reponga el stock, se envía al cliente un correo único con una reserva por tiempo limitado.</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Configuración</w:t>
      </w:r>
      <w:bookmarkEnd w:id="1"/>
    </w:p>
    <w:p>
      <w:pPr>
        <w:spacing w:after="120"/>
        <w:ind w:left="200"/>
      </w:pPr>
      <w:r>
        <w:rPr>
          <w:b/>
          <w:bCs/>
          <w:color w:val="B38B59"/>
        </w:rPr>
        <w:t xml:space="preserve">1. </w:t>
      </w:r>
      <w:r>
        <w:t xml:space="preserve">En la pestaña Inicio → Lista de espera, activar la función.</w:t>
      </w:r>
    </w:p>
    <w:p>
      <w:pPr>
        <w:spacing w:after="120"/>
        <w:ind w:left="200"/>
      </w:pPr>
      <w:r>
        <w:rPr>
          <w:b/>
          <w:bCs/>
          <w:color w:val="B38B59"/>
        </w:rPr>
        <w:t xml:space="preserve">2. </w:t>
      </w:r>
      <w:r>
        <w:t xml:space="preserve">Configurar la duración de la reserva (el tiempo durante el que el producto está «reservado» para el cliente antes de volver a estar disponible para el público).</w:t>
      </w:r>
    </w:p>
    <w:p>
      <w:pPr>
        <w:spacing w:after="120"/>
        <w:ind w:left="200"/>
      </w:pPr>
      <w:r>
        <w:rPr>
          <w:b/>
          <w:bCs/>
          <w:color w:val="B38B59"/>
        </w:rPr>
        <w:t xml:space="preserve">3. </w:t>
      </w:r>
      <w:r>
        <w:t xml:space="preserve">Personalizar el texto del botón (por idioma) en la pestaña Traducciones.</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Gestionar las inscripciones</w:t>
      </w:r>
      <w:bookmarkEnd w:id="1"/>
    </w:p>
    <w:p>
      <w:pPr>
        <w:spacing w:after="160"/>
      </w:pPr>
      <w:r>
        <w:t xml:space="preserve">La página de Lista de espera muestra estadísticas globales (clientes en espera, productos supervisados, notificados) y una tabla por producto con el número de inscripciones y el tiempo de espera máximo.</w:t>
      </w:r>
    </w:p>
    <w:p>
      <w:r>
        <w:br w:type="page"/>
      </w:r>
    </w:p>
    <w:p>
      <w:pPr>
        <w:pStyle w:val="Heading1"/>
        <w:pageBreakBefore/>
        <w:spacing w:after="200" w:before="500"/>
      </w:pPr>
      <w:bookmarkStart w:name="sec83" w:id="1"/>
      <w:r>
        <w:t xml:space="preserve">24. Pestaña Pruebas A/B</w:t>
      </w:r>
      <w:bookmarkEnd w:id="1"/>
    </w:p>
    <w:p>
      <w:pPr>
        <w:spacing w:after="160"/>
      </w:pPr>
      <w:r>
        <w:t xml:space="preserve">Neria permite probar dos variantes del mismo correo electrónico — asunto, contenido o diseño — en una selección de destinatarios y determinar automáticamente la variante ganadora.</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Crear una prueba</w:t>
      </w:r>
      <w:bookmarkEnd w:id="1"/>
    </w:p>
    <w:p>
      <w:pPr>
        <w:spacing w:after="120"/>
        <w:ind w:left="200"/>
      </w:pPr>
      <w:r>
        <w:rPr>
          <w:b/>
          <w:bCs/>
          <w:color w:val="B38B59"/>
        </w:rPr>
        <w:t xml:space="preserve">1. </w:t>
      </w:r>
      <w:r>
        <w:t xml:space="preserve">Hacer clic en Nueva prueba A/B.</w:t>
      </w:r>
    </w:p>
    <w:p>
      <w:pPr>
        <w:spacing w:after="120"/>
        <w:ind w:left="200"/>
      </w:pPr>
      <w:r>
        <w:rPr>
          <w:b/>
          <w:bCs/>
          <w:color w:val="B38B59"/>
        </w:rPr>
        <w:t xml:space="preserve">2. </w:t>
      </w:r>
      <w:r>
        <w:t xml:space="preserve">Seleccionar la plantilla a probar.</w:t>
      </w:r>
    </w:p>
    <w:p>
      <w:pPr>
        <w:spacing w:after="120"/>
        <w:ind w:left="200"/>
      </w:pPr>
      <w:r>
        <w:rPr>
          <w:b/>
          <w:bCs/>
          <w:color w:val="B38B59"/>
        </w:rPr>
        <w:t xml:space="preserve">3. </w:t>
      </w:r>
      <w:r>
        <w:t xml:space="preserve">Introducir el asunto y/o el texto de la variante B (la variante A es la plantilla original).</w:t>
      </w:r>
    </w:p>
    <w:p>
      <w:pPr>
        <w:spacing w:after="120"/>
        <w:ind w:left="200"/>
      </w:pPr>
      <w:r>
        <w:rPr>
          <w:b/>
          <w:bCs/>
          <w:color w:val="B38B59"/>
        </w:rPr>
        <w:t xml:space="preserve">4. </w:t>
      </w:r>
      <w:r>
        <w:t xml:space="preserve">Definir la división (p. ej. 50 % A / 50 % B o 70 % / 30 %).</w:t>
      </w:r>
    </w:p>
    <w:p>
      <w:pPr>
        <w:spacing w:after="120"/>
        <w:ind w:left="200"/>
      </w:pPr>
      <w:r>
        <w:rPr>
          <w:b/>
          <w:bCs/>
          <w:color w:val="B38B59"/>
        </w:rPr>
        <w:t xml:space="preserve">5. </w:t>
      </w:r>
      <w:r>
        <w:t xml:space="preserve">Hacer clic en Iniciar prueba. La asignación A/B se hace a cada cliente mediante hash consistente — sin tabla adicional, el mismo cliente siempre recibe la misma variante.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Monitorear los resultados</w:t>
      </w:r>
      <w:bookmarkEnd w:id="1"/>
    </w:p>
    <w:p>
      <w:pPr>
        <w:spacing w:after="160"/>
      </w:pPr>
      <w:r>
        <w:t xml:space="preserve">El panel de la prueba muestra en tiempo real las tasas de apertura, clic y conversión para cada variante con el intervalo de confianza estadístico.</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Determinar el ganador</w:t>
      </w:r>
      <w:bookmarkEnd w:id="1"/>
    </w:p>
    <w:p>
      <w:pPr>
        <w:spacing w:after="120"/>
        <w:ind w:left="200"/>
      </w:pPr>
      <w:r>
        <w:rPr>
          <w:b/>
          <w:bCs/>
          <w:color w:val="B38B59"/>
        </w:rPr>
        <w:t xml:space="preserve">1. </w:t>
      </w:r>
      <w:r>
        <w:t xml:space="preserve">Una vez alcanzado el volumen suficiente (significación estadística &gt; 95 %), hacer clic en Determinar ganador.</w:t>
      </w:r>
    </w:p>
    <w:p>
      <w:pPr>
        <w:spacing w:after="120"/>
        <w:ind w:left="200"/>
      </w:pPr>
      <w:r>
        <w:rPr>
          <w:b/>
          <w:bCs/>
          <w:color w:val="B38B59"/>
        </w:rPr>
        <w:t xml:space="preserve">2. </w:t>
      </w:r>
      <w:r>
        <w:t xml:space="preserve">Elegir la variante A o B. Se convertirá en la plantilla estándar para todos los envíos posteriores.</w:t>
      </w:r>
    </w:p>
    <w:p>
      <w:pPr>
        <w:spacing w:after="120"/>
        <w:ind w:left="200"/>
      </w:pPr>
      <w:r>
        <w:rPr>
          <w:b/>
          <w:bCs/>
          <w:color w:val="B38B59"/>
        </w:rPr>
        <w:t xml:space="preserve">3. </w:t>
      </w:r>
      <w:r>
        <w:t xml:space="preserve">La prueba pasa al estado Completado. La variante perdedora se archiva.</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Pestaña Estadísticas</w:t>
      </w:r>
      <w:bookmarkEnd w:id="1"/>
    </w:p>
    <w:p>
      <w:pPr>
        <w:spacing w:after="160"/>
      </w:pPr>
      <w:r>
        <w:t xml:space="preserve">La pestaña Estadísticas agrupa todos los datos analíticos de Neria: seguimiento, atribución, entregabilidad, puntuación de clientes y reputación del dominio.</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Panel de KPI</w:t>
      </w:r>
      <w:bookmarkEnd w:id="1"/>
    </w:p>
    <w:p>
      <w:pPr>
        <w:pStyle w:val="ListParagraph"/>
        <w:numPr>
          <w:ilvl w:val="0"/>
          <w:numId w:val="2"/>
        </w:numPr>
        <w:spacing w:after="80"/>
      </w:pPr>
      <w:r>
        <w:t xml:space="preserve">Correos enviados, abiertos, con clic, convertidos en el período seleccionado.</w:t>
      </w:r>
    </w:p>
    <w:p>
      <w:pPr>
        <w:pStyle w:val="ListParagraph"/>
        <w:numPr>
          <w:ilvl w:val="0"/>
          <w:numId w:val="2"/>
        </w:numPr>
        <w:spacing w:after="80"/>
      </w:pPr>
      <w:r>
        <w:t xml:space="preserve">Tasa de apertura, tasa de clics, tasa de conversión y tasa de bajas.</w:t>
      </w:r>
    </w:p>
    <w:p>
      <w:pPr>
        <w:pStyle w:val="ListParagraph"/>
        <w:numPr>
          <w:ilvl w:val="0"/>
          <w:numId w:val="2"/>
        </w:numPr>
        <w:spacing w:after="80"/>
      </w:pPr>
      <w:r>
        <w:t xml:space="preserve">Comparación con el período anterior (flechas de tendencia).</w:t>
      </w:r>
    </w:p>
    <w:p>
      <w:pPr>
        <w:pStyle w:val="ListParagraph"/>
        <w:numPr>
          <w:ilvl w:val="0"/>
          <w:numId w:val="2"/>
        </w:numPr>
        <w:spacing w:after="80"/>
      </w:pPr>
      <w:r>
        <w:t xml:space="preserve">Top 5 de las plantillas con mejor rendimiento.</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Seguimiento de aperturas y clics</w:t>
      </w:r>
      <w:bookmarkEnd w:id="1"/>
    </w:p>
    <w:p>
      <w:pPr>
        <w:spacing w:after="160"/>
      </w:pPr>
      <w:r>
        <w:t xml:space="preserve">Neria inyecta un píxel de seguimiento 1×1 en cada correo HTML y convierte todos los enlaces en enlaces rastreados. El controlador frontal track.php registra cada evento (open, click) en neria_stat y redirige inmediatamente al cliente a la URL de destino.</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Atribución de ingresos</w:t>
      </w:r>
      <w:bookmarkEnd w:id="1"/>
    </w:p>
    <w:p>
      <w:pPr>
        <w:spacing w:after="160"/>
      </w:pPr>
      <w:r>
        <w:t xml:space="preserve">Cuando un cliente hace clic en un correo de Neria, se establece una cookie neria_ref (duración 24 horas). Si dentro de esta ventana temporal se realiza un pedido, el pedido se atribuye a Neria con la plantilla que generó el clic. Los ingresos atribuidos son visibles en la pestaña Estadísticas.</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Puntuación de entregabilidad</w:t>
      </w:r>
      <w:bookmarkEnd w:id="1"/>
    </w:p>
    <w:p>
      <w:pPr>
        <w:spacing w:after="160"/>
      </w:pPr>
      <w:r>
        <w:t xml:space="preserve">Neria analiza el HTML de cada correo y calcula una puntuación de entregabilidad de 0 a 100, basada en: presencia de palabras spam (FR/EN/DE/ES/IT/PT), proporción texto/imagen, enlaces sospechosos, etiquetas faltantes, peso total. La puntuación se muestra para cada plantilla en la lista.</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Churn score</w:t>
      </w:r>
      <w:bookmarkEnd w:id="1"/>
    </w:p>
    <w:p>
      <w:pPr>
        <w:spacing w:after="160"/>
      </w:pPr>
      <w:r>
        <w:t xml:space="preserve">El churn score (0–100) mide el riesgo de abandono de cada cliente, calculado diariamente a partir de la recencia, la tasa de apertura reciente y la tendencia en 3 períodos de 30 días. Los clientes con puntuación &gt; 70 se marcan en rojo en su perfil.</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Customer Lifetime Value a 12 meses</w:t>
      </w:r>
      <w:bookmarkEnd w:id="1"/>
    </w:p>
    <w:p>
      <w:pPr>
        <w:spacing w:after="160"/>
      </w:pPr>
      <w:r>
        <w:t xml:space="preserve">El CLV se estima con la fórmula: ticket medio × frecuencia de compra × puntuación de engagement por correo × coeficiente de segmento × factor de riesgo (churn). Los 20 mejores clientes por CLV se muestran en la pestaña Estadísticas.</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Puntuación de propensión a la compra</w:t>
      </w:r>
      <w:bookmarkEnd w:id="1"/>
    </w:p>
    <w:p>
      <w:pPr>
        <w:spacing w:after="160"/>
      </w:pPr>
      <w:r>
        <w:t xml:space="preserve">Puntuación 0–100, calculada diariamente para cada cliente, combinando recencia (40 pt.), frecuencia (25 pt.), engagement por correo (25 pt.) y estacionalidad (10 pt.). Una puntuación &gt; 75 activa una alerta «Ventana de compra óptima» en el perfil del cliente.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Historial de correos de clientes</w:t>
      </w:r>
      <w:bookmarkEnd w:id="1"/>
    </w:p>
    <w:p>
      <w:pPr>
        <w:spacing w:after="160"/>
      </w:pPr>
      <w:r>
        <w:t xml:space="preserve">En el perfil PrestaShop de cada cliente (Back office → Clientes), un bloque Neria muestra la cronología completa de los correos recibidos por ese cliente: fecha, plantilla, estado (enviado, abierto, con clic, convertido), distintivo global de engagement. Un botón permite exportar el historial en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Pestaña Historial de clientes</w:t>
      </w:r>
      <w:bookmarkEnd w:id="1"/>
    </w:p>
    <w:p>
      <w:pPr>
        <w:spacing w:after="160"/>
      </w:pPr>
      <w:r>
        <w:t xml:space="preserve">La pestaña Historial de clientes ofrece una vista consolidada de todos los correos enviados por Neria, filtrable por cliente, plantilla, idioma, estado y período. A diferencia del bloque en el perfil del cliente (que muestra el historial de un solo cliente), esta pestaña ofrece una vista multicliente global.</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Filtros disponibles</w:t>
      </w:r>
      <w:bookmarkEnd w:id="1"/>
    </w:p>
    <w:p>
      <w:pPr>
        <w:pStyle w:val="ListParagraph"/>
        <w:numPr>
          <w:ilvl w:val="0"/>
          <w:numId w:val="2"/>
        </w:numPr>
        <w:spacing w:after="80"/>
      </w:pPr>
      <w:r>
        <w:t xml:space="preserve">Cliente: búsqueda por nombre o correo electrónico.</w:t>
      </w:r>
    </w:p>
    <w:p>
      <w:pPr>
        <w:pStyle w:val="ListParagraph"/>
        <w:numPr>
          <w:ilvl w:val="0"/>
          <w:numId w:val="2"/>
        </w:numPr>
        <w:spacing w:after="80"/>
      </w:pPr>
      <w:r>
        <w:t xml:space="preserve">Plantilla: filtro por tipo de correo (p. ej. todos los correos de cumpleaños enviados).</w:t>
      </w:r>
    </w:p>
    <w:p>
      <w:pPr>
        <w:pStyle w:val="ListParagraph"/>
        <w:numPr>
          <w:ilvl w:val="0"/>
          <w:numId w:val="2"/>
        </w:numPr>
        <w:spacing w:after="80"/>
      </w:pPr>
      <w:r>
        <w:t xml:space="preserve">Estado: enviado, abierto, con clic, convertido, rebotado.</w:t>
      </w:r>
    </w:p>
    <w:p>
      <w:pPr>
        <w:pStyle w:val="ListParagraph"/>
        <w:numPr>
          <w:ilvl w:val="0"/>
          <w:numId w:val="2"/>
        </w:numPr>
        <w:spacing w:after="80"/>
      </w:pPr>
      <w:r>
        <w:t xml:space="preserve">Idioma: filtro por idioma de envío.</w:t>
      </w:r>
    </w:p>
    <w:p>
      <w:pPr>
        <w:pStyle w:val="ListParagraph"/>
        <w:numPr>
          <w:ilvl w:val="0"/>
          <w:numId w:val="2"/>
        </w:numPr>
        <w:spacing w:after="80"/>
      </w:pPr>
      <w:r>
        <w:t xml:space="preserve">Período: selección de fecha de inicio y fin.</w:t>
      </w:r>
    </w:p>
    <w:p>
      <w:pPr>
        <w:pStyle w:val="Heading2"/>
        <w:spacing w:after="140" w:before="320"/>
      </w:pPr>
      <w:bookmarkStart w:name="sec98" w:id="1"/>
      <w:r>
        <w:t xml:space="preserve">25b.2 Exportación CSV</w:t>
      </w:r>
      <w:bookmarkEnd w:id="1"/>
    </w:p>
    <w:p>
      <w:pPr>
        <w:spacing w:after="160"/>
      </w:pPr>
      <w:r>
        <w:t xml:space="preserve">El botón Exportar CSV descarga todas las filas filtradas con todas las columnas: fecha, cliente, plantilla, idioma, estado, importe atribuido.</w:t>
      </w:r>
    </w:p>
    <w:p>
      <w:r>
        <w:br w:type="page"/>
      </w:r>
    </w:p>
    <w:p>
      <w:pPr>
        <w:pStyle w:val="Heading1"/>
        <w:pageBreakBefore/>
        <w:spacing w:after="200" w:before="500"/>
      </w:pPr>
      <w:bookmarkStart w:name="sec99" w:id="1"/>
      <w:r>
        <w:t xml:space="preserve">26. Informe mensual automático</w:t>
      </w:r>
      <w:bookmarkEnd w:id="1"/>
    </w:p>
    <w:p>
      <w:pPr>
        <w:spacing w:after="160"/>
      </w:pPr>
      <w:r>
        <w:t xml:space="preserve">El día 1 de cada mes, Neria envía automáticamente un informe completo sobre el rendimiento del correo electrónico a los destinatarios configurados. El informe incluye: KPI mensuales globales, mejores y peores plantillas, idioma campeón, mejor horario de envío, resultados A/B, ingresos atribuidos y 3 recomendaciones automáticas generadas a partir de los datos.</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Configuración</w:t>
      </w:r>
      <w:bookmarkEnd w:id="1"/>
    </w:p>
    <w:p>
      <w:pPr>
        <w:spacing w:after="120"/>
        <w:ind w:left="200"/>
      </w:pPr>
      <w:r>
        <w:rPr>
          <w:b/>
          <w:bCs/>
          <w:color w:val="B38B59"/>
        </w:rPr>
        <w:t xml:space="preserve">1. </w:t>
      </w:r>
      <w:r>
        <w:t xml:space="preserve">En la pestaña Inicio → Informe mensual, introducir las direcciones de correo de los destinatarios (varias direcciones separadas por comas).</w:t>
      </w:r>
    </w:p>
    <w:p>
      <w:pPr>
        <w:spacing w:after="120"/>
        <w:ind w:left="200"/>
      </w:pPr>
      <w:r>
        <w:rPr>
          <w:b/>
          <w:bCs/>
          <w:color w:val="B38B59"/>
        </w:rPr>
        <w:t xml:space="preserve">2. </w:t>
      </w:r>
      <w:r>
        <w:t xml:space="preserve">Elegir el idioma del informe.</w:t>
      </w:r>
    </w:p>
    <w:p>
      <w:pPr>
        <w:spacing w:after="120"/>
        <w:ind w:left="200"/>
      </w:pPr>
      <w:r>
        <w:rPr>
          <w:b/>
          <w:bCs/>
          <w:color w:val="B38B59"/>
        </w:rPr>
        <w:t xml:space="preserve">3. </w:t>
      </w:r>
      <w:r>
        <w:t xml:space="preserve">Activar el interruptor y guardar.</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Reputación del dominio de envío</w:t>
      </w:r>
      <w:bookmarkEnd w:id="1"/>
    </w:p>
    <w:p>
      <w:pPr>
        <w:spacing w:after="160"/>
      </w:pPr>
      <w:r>
        <w:t xml:space="preserve">Neria verifica diariamente la reputación del dominio de envío en 4 ejes: SPF, DKIM (17 selectores probados), DMARC y 42 listas negras DNS (RBL). Los resultados se almacenan en caché durante 24 horas y se muestran en la pestaña Estadísticas.</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Interpretar los resultados</w:t>
      </w:r>
      <w:bookmarkEnd w:id="1"/>
    </w:p>
    <w:p>
      <w:pPr>
        <w:pStyle w:val="ListParagraph"/>
        <w:numPr>
          <w:ilvl w:val="0"/>
          <w:numId w:val="2"/>
        </w:numPr>
        <w:spacing w:after="80"/>
      </w:pPr>
      <w:r>
        <w:t xml:space="preserve">SPF ✅: el dominio autoriza el servidor de envío. Imprescindible.</w:t>
      </w:r>
    </w:p>
    <w:p>
      <w:pPr>
        <w:pStyle w:val="ListParagraph"/>
        <w:numPr>
          <w:ilvl w:val="0"/>
          <w:numId w:val="2"/>
        </w:numPr>
        <w:spacing w:after="80"/>
      </w:pPr>
      <w:r>
        <w:t xml:space="preserve">DKIM ✅: la firma criptográfica es válida. Muy recomendado.</w:t>
      </w:r>
    </w:p>
    <w:p>
      <w:pPr>
        <w:pStyle w:val="ListParagraph"/>
        <w:numPr>
          <w:ilvl w:val="0"/>
          <w:numId w:val="2"/>
        </w:numPr>
        <w:spacing w:after="80"/>
      </w:pPr>
      <w:r>
        <w:t xml:space="preserve">DMARC ✅: la política DMARC está publicada. Recomendado (policy=quarantine o reject).</w:t>
      </w:r>
    </w:p>
    <w:p>
      <w:pPr>
        <w:pStyle w:val="ListParagraph"/>
        <w:numPr>
          <w:ilvl w:val="0"/>
          <w:numId w:val="2"/>
        </w:numPr>
        <w:spacing w:after="80"/>
      </w:pPr>
      <w:r>
        <w:t xml:space="preserve">RBL ✅: la IP no aparece en ninguna lista negra conocida. Crítico para la entregabilidad.</w:t>
      </w:r>
    </w:p>
    <w:p>
      <w:pPr>
        <w:spacing w:after="180" w:before="120"/>
        <w:ind w:left="360"/>
      </w:pPr>
      <w:r>
        <w:rPr>
          <w:b/>
          <w:bCs/>
          <w:color w:val="B38B59"/>
        </w:rPr>
        <w:t xml:space="preserve">ℹ️  Nota — </w:t>
      </w:r>
      <w:r>
        <w:t xml:space="preserve">En caso de aviso de SPF o DKIM, consultar la documentación del proveedor de alojamiento para publicar los registros DNS faltantes.</w:t>
      </w:r>
    </w:p>
    <w:p>
      <w:r>
        <w:br w:type="page"/>
      </w:r>
    </w:p>
    <w:p>
      <w:pPr>
        <w:pStyle w:val="Heading1"/>
        <w:pageBreakBefore/>
        <w:spacing w:after="200" w:before="500"/>
      </w:pPr>
      <w:bookmarkStart w:name="sec103" w:id="1"/>
      <w:r>
        <w:t xml:space="preserve">28. Integraciones de Google y SEO</w:t>
      </w:r>
      <w:bookmarkEnd w:id="1"/>
    </w:p>
    <w:p>
      <w:pPr>
        <w:pStyle w:val="Heading2"/>
        <w:spacing w:after="140" w:before="320"/>
      </w:pPr>
      <w:bookmarkStart w:name="sec104" w:id="1"/>
      <w:r>
        <w:t xml:space="preserve">28.1 Gmail Postmaster Tools</w:t>
      </w:r>
      <w:bookmarkEnd w:id="1"/>
    </w:p>
    <w:p>
      <w:pPr>
        <w:spacing w:after="160"/>
      </w:pPr>
      <w:r>
        <w:t xml:space="preserve">Neria se integra mediante OAuth 2.0 gratuito con la API de Gmail Postmaster Tools. Muestra en el back office datos reales de reputación de Google: tasa de spam reportado, reputación del dominio, reputación de IP y éxito de SPF/DKIM/DMARC según Google.</w:t>
      </w:r>
    </w:p>
    <w:p>
      <w:pPr>
        <w:spacing w:after="120"/>
        <w:ind w:left="200"/>
      </w:pPr>
      <w:r>
        <w:rPr>
          <w:b/>
          <w:bCs/>
          <w:color w:val="B38B59"/>
        </w:rPr>
        <w:t xml:space="preserve">1. </w:t>
      </w:r>
      <w:r>
        <w:t xml:space="preserve">En Estadísticas → Postmaster, hacer clic en Conectar con Google.</w:t>
      </w:r>
    </w:p>
    <w:p>
      <w:pPr>
        <w:spacing w:after="120"/>
        <w:ind w:left="200"/>
      </w:pPr>
      <w:r>
        <w:rPr>
          <w:b/>
          <w:bCs/>
          <w:color w:val="B38B59"/>
        </w:rPr>
        <w:t xml:space="preserve">2. </w:t>
      </w:r>
      <w:r>
        <w:t xml:space="preserve">Autorizar a Neria el acceso a los datos de Postmaster (solo lectura).</w:t>
      </w:r>
    </w:p>
    <w:p>
      <w:pPr>
        <w:spacing w:after="120"/>
        <w:ind w:left="200"/>
      </w:pPr>
      <w:r>
        <w:rPr>
          <w:b/>
          <w:bCs/>
          <w:color w:val="B38B59"/>
        </w:rPr>
        <w:t xml:space="preserve">3. </w:t>
      </w:r>
      <w:r>
        <w:t xml:space="preserve">Los datos aparecen en el panel de Postmaster.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Integración OAuth 2.0 con la API Google Search Console v3. Muestra impresiones, clics, CTR, posición media, consultas principales y páginas principales de la tienda. Datos directamente en el back office de Neria.</w:t>
      </w:r>
    </w:p>
    <w:p>
      <w:pPr>
        <w:spacing w:after="120"/>
        <w:ind w:left="200"/>
      </w:pPr>
      <w:r>
        <w:rPr>
          <w:b/>
          <w:bCs/>
          <w:color w:val="B38B59"/>
        </w:rPr>
        <w:t xml:space="preserve">1. </w:t>
      </w:r>
      <w:r>
        <w:t xml:space="preserve">En Estadísticas → Search Console, hacer clic en Conectar con Google.</w:t>
      </w:r>
    </w:p>
    <w:p>
      <w:pPr>
        <w:spacing w:after="120"/>
        <w:ind w:left="200"/>
      </w:pPr>
      <w:r>
        <w:rPr>
          <w:b/>
          <w:bCs/>
          <w:color w:val="B38B59"/>
        </w:rPr>
        <w:t xml:space="preserve">2. </w:t>
      </w:r>
      <w:r>
        <w:t xml:space="preserve">Autorizar el acceso (solo lectura).</w:t>
      </w:r>
    </w:p>
    <w:p>
      <w:pPr>
        <w:spacing w:after="120"/>
        <w:ind w:left="200"/>
      </w:pPr>
      <w:r>
        <w:rPr>
          <w:b/>
          <w:bCs/>
          <w:color w:val="B38B59"/>
        </w:rPr>
        <w:t xml:space="preserve">3. </w:t>
      </w:r>
      <w:r>
        <w:t xml:space="preserve">Seleccionar la propiedad de Search Console de la lista.</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obtiene las puntuaciones de Lighthouse y los Core Web Vitals (LCP, CLS, TBT) para móvil y escritorio a través de la API PageSpeed Insights v5 (clave de API gratuita de Google Cloud). Caché de 24 horas.</w:t>
      </w:r>
    </w:p>
    <w:p>
      <w:pPr>
        <w:spacing w:after="120"/>
        <w:ind w:left="200"/>
      </w:pPr>
      <w:r>
        <w:rPr>
          <w:b/>
          <w:bCs/>
          <w:color w:val="B38B59"/>
        </w:rPr>
        <w:t xml:space="preserve">1. </w:t>
      </w:r>
      <w:r>
        <w:t xml:space="preserve">En la pestaña Inicio → Ajustes → Clave API PageSpeed, introducir la clave (disponible en console.cloud.google.com, cuota gratuita).</w:t>
      </w:r>
    </w:p>
    <w:p>
      <w:pPr>
        <w:spacing w:after="120"/>
        <w:ind w:left="200"/>
      </w:pPr>
      <w:r>
        <w:rPr>
          <w:b/>
          <w:bCs/>
          <w:color w:val="B38B59"/>
        </w:rPr>
        <w:t xml:space="preserve">2. </w:t>
      </w:r>
      <w:r>
        <w:t xml:space="preserve">En Estadísticas → PageSpeed, hacer clic en Analizar ahora.</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y Moz (opcionales)</w:t>
      </w:r>
      <w:bookmarkEnd w:id="1"/>
    </w:p>
    <w:p>
      <w:pPr>
        <w:spacing w:after="160"/>
      </w:pPr>
      <w:r>
        <w:t xml:space="preserve">Integración opcional con Semrush (tráfico, palabras clave, backlinks) y Moz (Domain Authority, Page Authority, spam score). Estas herramientas requieren una clave de API de pago.</w:t>
      </w:r>
    </w:p>
    <w:p>
      <w:pPr>
        <w:spacing w:after="120"/>
        <w:ind w:left="200"/>
      </w:pPr>
      <w:r>
        <w:rPr>
          <w:b/>
          <w:bCs/>
          <w:color w:val="B38B59"/>
        </w:rPr>
        <w:t xml:space="preserve">1. </w:t>
      </w:r>
      <w:r>
        <w:t xml:space="preserve">En la pestaña Inicio → Ajustes → Integraciones SEO, introducir la clave de Semrush y/o Moz.</w:t>
      </w:r>
    </w:p>
    <w:p>
      <w:pPr>
        <w:spacing w:after="120"/>
        <w:ind w:left="200"/>
      </w:pPr>
      <w:r>
        <w:rPr>
          <w:b/>
          <w:bCs/>
          <w:color w:val="B38B59"/>
        </w:rPr>
        <w:t xml:space="preserve">2. </w:t>
      </w:r>
      <w:r>
        <w:t xml:space="preserve">Los datos SEO aparecen en la pestaña Estadísticas → SEO.</w:t>
      </w:r>
    </w:p>
    <w:p>
      <w:r>
        <w:br w:type="page"/>
      </w:r>
    </w:p>
    <w:p>
      <w:pPr>
        <w:pStyle w:val="Heading1"/>
        <w:pageBreakBefore/>
        <w:spacing w:after="200" w:before="500"/>
      </w:pPr>
      <w:bookmarkStart w:name="sec108" w:id="1"/>
      <w:r>
        <w:t xml:space="preserve">29. Pestaña Rebotes — Gestión de direcciones no válidas</w:t>
      </w:r>
      <w:bookmarkEnd w:id="1"/>
    </w:p>
    <w:p>
      <w:pPr>
        <w:spacing w:after="160"/>
      </w:pPr>
      <w:r>
        <w:t xml:space="preserve">Neria detecta y gestiona automáticamente las direcciones de correo electrónico no válidas a través de dos canales: lectura de un buzón IMAP/POP3 configurado y recepción de webhooks entrantes de ESP (Mailgun, SendGrid, Postmark…).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Configuración IMAP</w:t>
      </w:r>
      <w:bookmarkEnd w:id="1"/>
    </w:p>
    <w:p>
      <w:pPr>
        <w:spacing w:after="120"/>
        <w:ind w:left="200"/>
      </w:pPr>
      <w:r>
        <w:rPr>
          <w:b/>
          <w:bCs/>
          <w:color w:val="B38B59"/>
        </w:rPr>
        <w:t xml:space="preserve">1. </w:t>
      </w:r>
      <w:r>
        <w:t xml:space="preserve">En Rebotes → Configuración, introducir los parámetros del buzón de correo de rebotes (host IMAP, puerto, inicio de sesión, contraseña). Típicamente un buzón dedicado noreply@.</w:t>
      </w:r>
    </w:p>
    <w:p>
      <w:pPr>
        <w:spacing w:after="120"/>
        <w:ind w:left="200"/>
      </w:pPr>
      <w:r>
        <w:rPr>
          <w:b/>
          <w:bCs/>
          <w:color w:val="B38B59"/>
        </w:rPr>
        <w:t xml:space="preserve">2. </w:t>
      </w:r>
      <w:r>
        <w:t xml:space="preserve">Hacer clic en Probar conexión para verificar.</w:t>
      </w:r>
    </w:p>
    <w:p>
      <w:pPr>
        <w:spacing w:after="120"/>
        <w:ind w:left="200"/>
      </w:pPr>
      <w:r>
        <w:rPr>
          <w:b/>
          <w:bCs/>
          <w:color w:val="B38B59"/>
        </w:rPr>
        <w:t xml:space="preserve">3. </w:t>
      </w:r>
      <w:r>
        <w:t xml:space="preserve">Activar el procesamiento IMAP. Neria leerá este buzón en cada ejecución del cron y extraerá los NDR (Non-Delivery Reports).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Configuración de webhook ESP</w:t>
      </w:r>
      <w:bookmarkEnd w:id="1"/>
    </w:p>
    <w:p>
      <w:pPr>
        <w:spacing w:after="160"/>
      </w:pPr>
      <w:r>
        <w:t xml:space="preserve">Si se usa Mailgun, SendGrid o Postmark, configurar la URL de webhook proporcionada por Neria (Rebotes → Configuración → URL Webhook) en el ESP para recibir notificaciones de rebotes en tiempo real.</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Hard bounce y soft bounce</w:t>
      </w:r>
      <w:bookmarkEnd w:id="1"/>
    </w:p>
    <w:p>
      <w:pPr>
        <w:pStyle w:val="ListParagraph"/>
        <w:numPr>
          <w:ilvl w:val="0"/>
          <w:numId w:val="2"/>
        </w:numPr>
        <w:spacing w:after="80"/>
      </w:pPr>
      <w:r>
        <w:t xml:space="preserve">Hard bounce: dirección definitivamente no válida (usuario desconocido, dominio inexistente). Bloqueada inmediata y permanentemente por Neria.</w:t>
      </w:r>
    </w:p>
    <w:p>
      <w:pPr>
        <w:pStyle w:val="ListParagraph"/>
        <w:numPr>
          <w:ilvl w:val="0"/>
          <w:numId w:val="2"/>
        </w:numPr>
        <w:spacing w:after="80"/>
      </w:pPr>
      <w:r>
        <w:t xml:space="preserve">Soft bounce: error temporal (buzón lleno, servidor no disponible). Bloqueada tras N errores consecutivos (umbral configurable, predeterminado: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Certificados de autenticidad</w:t>
      </w:r>
      <w:bookmarkEnd w:id="1"/>
    </w:p>
    <w:p>
      <w:pPr>
        <w:spacing w:after="160"/>
      </w:pPr>
      <w:r>
        <w:t xml:space="preserve">Neria genera y adjunta automáticamente un certificado de autenticidad en formato PDF al correo de confirmación de pedido para las tiendas que venden artículos únicos o numerados.</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Configuración</w:t>
      </w:r>
      <w:bookmarkEnd w:id="1"/>
    </w:p>
    <w:p>
      <w:pPr>
        <w:spacing w:after="120"/>
        <w:ind w:left="200"/>
      </w:pPr>
      <w:r>
        <w:rPr>
          <w:b/>
          <w:bCs/>
          <w:color w:val="B38B59"/>
        </w:rPr>
        <w:t xml:space="preserve">1. </w:t>
      </w:r>
      <w:r>
        <w:t xml:space="preserve">En la pestaña Certificados, activar la generación automática.</w:t>
      </w:r>
    </w:p>
    <w:p>
      <w:pPr>
        <w:spacing w:after="120"/>
        <w:ind w:left="200"/>
      </w:pPr>
      <w:r>
        <w:rPr>
          <w:b/>
          <w:bCs/>
          <w:color w:val="B38B59"/>
        </w:rPr>
        <w:t xml:space="preserve">2. </w:t>
      </w:r>
      <w:r>
        <w:t xml:space="preserve">Personalizar: título, subtítulo, contenido textual, logotipo, firma.</w:t>
      </w:r>
    </w:p>
    <w:p>
      <w:pPr>
        <w:spacing w:after="120"/>
        <w:ind w:left="200"/>
      </w:pPr>
      <w:r>
        <w:rPr>
          <w:b/>
          <w:bCs/>
          <w:color w:val="B38B59"/>
        </w:rPr>
        <w:t xml:space="preserve">3. </w:t>
      </w:r>
      <w:r>
        <w:t xml:space="preserve">Elegir si incluir un código QR (que enlaza a una página de verificación online).</w:t>
      </w:r>
    </w:p>
    <w:p>
      <w:pPr>
        <w:spacing w:after="120"/>
        <w:ind w:left="200"/>
      </w:pPr>
      <w:r>
        <w:rPr>
          <w:b/>
          <w:bCs/>
          <w:color w:val="B38B59"/>
        </w:rPr>
        <w:t xml:space="preserve">4. </w:t>
      </w:r>
      <w:r>
        <w:t xml:space="preserve">Elegir el formato de numeración automática (p. ej.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Emitir un certificado manualmente</w:t>
      </w:r>
      <w:bookmarkEnd w:id="1"/>
    </w:p>
    <w:p>
      <w:pPr>
        <w:spacing w:after="160"/>
      </w:pPr>
      <w:r>
        <w:t xml:space="preserve">Desde la página del pedido de PrestaShop (bloque Neria en la parte inferior), un botón Emitir certificado permite generar y enviar el PDF para un pedido específico.</w:t>
      </w:r>
    </w:p>
    <w:p>
      <w:pPr>
        <w:spacing w:after="180" w:before="120"/>
        <w:ind w:left="360"/>
      </w:pPr>
      <w:r>
        <w:rPr>
          <w:b/>
          <w:bCs/>
          <w:color w:val="CC4400"/>
        </w:rPr>
        <w:t xml:space="preserve">⚠️  Atención — </w:t>
      </w:r>
      <w:r>
        <w:t xml:space="preserve">Cada certificado contiene un número de serie único. Un certificado no debe duplicarse ni reutilizarse entre tiendas.</w:t>
      </w:r>
    </w:p>
    <w:p>
      <w:r>
        <w:br w:type="page"/>
      </w:r>
    </w:p>
    <w:p>
      <w:pPr>
        <w:pStyle w:val="Heading1"/>
        <w:pageBreakBefore/>
        <w:spacing w:after="200" w:before="500"/>
      </w:pPr>
      <w:bookmarkStart w:name="sec115" w:id="1"/>
      <w:r>
        <w:t xml:space="preserve">31. Centro de preferencias del cliente</w:t>
      </w:r>
      <w:bookmarkEnd w:id="1"/>
    </w:p>
    <w:p>
      <w:pPr>
        <w:spacing w:after="160"/>
      </w:pPr>
      <w:r>
        <w:t xml:space="preserve">Cada correo enviado por Neria contiene un enlace «Gestionar mis preferencias» que permite al cliente elegir exactamente las categorías de correo que desea recibir, sin tener que darse de baja completamente.</w:t>
      </w:r>
    </w:p>
    <w:p>
      <w:pPr>
        <w:spacing w:after="160"/>
      </w:pPr>
      <w:r>
        <w:t xml:space="preserve">La página de preferencias es accesible a través del enlace «Gestionar mis preferencias» en el pie de cada correo. Se muestra en el tema de la tienda y permite al cliente activar o desactivar cada categoría de correo de forma independiente.</w:t>
      </w:r>
    </w:p>
    <w:p>
      <w:pPr>
        <w:pStyle w:val="Heading2"/>
        <w:spacing w:after="140" w:before="320"/>
      </w:pPr>
      <w:bookmarkStart w:name="sec116" w:id="1"/>
      <w:r>
        <w:t xml:space="preserve">31.1 Categorías de preferencias</w:t>
      </w:r>
      <w:bookmarkEnd w:id="1"/>
    </w:p>
    <w:p>
      <w:pPr>
        <w:pStyle w:val="ListParagraph"/>
        <w:numPr>
          <w:ilvl w:val="0"/>
          <w:numId w:val="2"/>
        </w:numPr>
        <w:spacing w:after="80"/>
      </w:pPr>
      <w:r>
        <w:t xml:space="preserve">Correos transaccionales: confirmación de pedido, envío, entrega (siempre activos, no se pueden desactivar).</w:t>
      </w:r>
    </w:p>
    <w:p>
      <w:pPr>
        <w:pStyle w:val="ListParagraph"/>
        <w:numPr>
          <w:ilvl w:val="0"/>
          <w:numId w:val="2"/>
        </w:numPr>
        <w:spacing w:after="80"/>
      </w:pPr>
      <w:r>
        <w:t xml:space="preserve">Correos de marketing: campañas, fechas del calendario.</w:t>
      </w:r>
    </w:p>
    <w:p>
      <w:pPr>
        <w:pStyle w:val="ListParagraph"/>
        <w:numPr>
          <w:ilvl w:val="0"/>
          <w:numId w:val="2"/>
        </w:numPr>
        <w:spacing w:after="80"/>
      </w:pPr>
      <w:r>
        <w:t xml:space="preserve">Carritos abandonados: seguimientos de recuperación de carrito.</w:t>
      </w:r>
    </w:p>
    <w:p>
      <w:pPr>
        <w:pStyle w:val="ListParagraph"/>
        <w:numPr>
          <w:ilvl w:val="0"/>
          <w:numId w:val="2"/>
        </w:numPr>
        <w:spacing w:after="80"/>
      </w:pPr>
      <w:r>
        <w:t xml:space="preserve">Programa de fidelidad: puntos, niveles, resumen mensual.</w:t>
      </w:r>
    </w:p>
    <w:p>
      <w:pPr>
        <w:pStyle w:val="ListParagraph"/>
        <w:numPr>
          <w:ilvl w:val="0"/>
          <w:numId w:val="2"/>
        </w:numPr>
        <w:spacing w:after="80"/>
      </w:pPr>
      <w:r>
        <w:t xml:space="preserve">Correos de comportamiento: cumpleaños, win-back, post-compra.</w:t>
      </w:r>
    </w:p>
    <w:p>
      <w:pPr>
        <w:pStyle w:val="ListParagraph"/>
        <w:numPr>
          <w:ilvl w:val="0"/>
          <w:numId w:val="2"/>
        </w:numPr>
        <w:spacing w:after="80"/>
      </w:pPr>
      <w:r>
        <w:t xml:space="preserve">Correos estacionales: campañas recurrentes del comerciante.</w:t>
      </w:r>
    </w:p>
    <w:p>
      <w:pPr>
        <w:pStyle w:val="ListParagraph"/>
        <w:numPr>
          <w:ilvl w:val="0"/>
          <w:numId w:val="2"/>
        </w:numPr>
        <w:spacing w:after="80"/>
      </w:pPr>
      <w:r>
        <w:t xml:space="preserve">Correos B2B: presupuestos, seguimientos profesionales.</w:t>
      </w:r>
    </w:p>
    <w:p>
      <w:pPr>
        <w:pStyle w:val="Heading2"/>
        <w:spacing w:after="140" w:before="320"/>
      </w:pPr>
      <w:bookmarkStart w:name="sec117" w:id="1"/>
      <w:r>
        <w:t xml:space="preserve">31.2 Baja global</w:t>
      </w:r>
      <w:bookmarkEnd w:id="1"/>
    </w:p>
    <w:p>
      <w:pPr>
        <w:spacing w:after="160"/>
      </w:pPr>
      <w:r>
        <w:t xml:space="preserve">La página de baja (accesible a través del enlace en el pie del correo) permite la baja completa, protegida por token HMAC-SHA256. Compatible con la baja con un clic RFC 8058 (Gmail, Yahoo).</w:t>
      </w:r>
    </w:p>
    <w:p>
      <w:pPr>
        <w:spacing w:after="160"/>
      </w:pPr>
      <w:r>
        <w:t xml:space="preserve">La página de baja está protegida por un token HMAC-SHA256 único por cliente. Se muestra en el tema de la tienda y ofrece la baja completa con un clic, conforme a RFC 8058 (Gmail, Yahoo Mail).</w:t>
      </w:r>
    </w:p>
    <w:p>
      <w:r>
        <w:br w:type="page"/>
      </w:r>
    </w:p>
    <w:p>
      <w:pPr>
        <w:pStyle w:val="Heading1"/>
        <w:pageBreakBefore/>
        <w:spacing w:after="200" w:before="500"/>
      </w:pPr>
      <w:bookmarkStart w:name="sec118" w:id="1"/>
      <w:r>
        <w:t xml:space="preserve">32. Pestaña RGPD — Auditoría y cumplimiento</w:t>
      </w:r>
      <w:bookmarkEnd w:id="1"/>
    </w:p>
    <w:p>
      <w:pPr>
        <w:spacing w:after="160"/>
      </w:pPr>
      <w:r>
        <w:t xml:space="preserve">La pestaña RGPD ofrece un panel de cumplimiento automático y herramientas para la eliminación de datos personales.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Puntuación de cumplimiento</w:t>
      </w:r>
      <w:bookmarkEnd w:id="1"/>
    </w:p>
    <w:p>
      <w:pPr>
        <w:spacing w:after="160"/>
      </w:pPr>
      <w:r>
        <w:t xml:space="preserve">Neria calcula automáticamente una puntuación de cumplimiento RGPD en 3 ejes: duración de conservación de datos (respecto a los plazos legales), mecanismo de consentimiento presente y derecho de eliminación operativo. La puntuación global se muestra con los puntos de mejora detallados.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Plazos de conservación</w:t>
      </w:r>
      <w:bookmarkEnd w:id="1"/>
    </w:p>
    <w:p>
      <w:pPr>
        <w:spacing w:after="160"/>
      </w:pPr>
      <w:r>
        <w:t xml:space="preserve">Cada tabla de Neria tiene un período de conservación configurado (predeterminado: 36 meses para estadísticas, 12 meses para registros técnicos). Estos plazos se muestran en la tabla de la pestaña RGPD.</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Eliminación de datos</w:t>
      </w:r>
      <w:bookmarkEnd w:id="1"/>
    </w:p>
    <w:p>
      <w:pPr>
        <w:spacing w:after="120"/>
        <w:ind w:left="200"/>
      </w:pPr>
      <w:r>
        <w:rPr>
          <w:b/>
          <w:bCs/>
          <w:color w:val="B38B59"/>
        </w:rPr>
        <w:t xml:space="preserve">1. </w:t>
      </w:r>
      <w:r>
        <w:t xml:space="preserve">Para eliminar los datos de un cliente específico: acceder a su perfil en PS → hacer clic en Eliminar datos Neria. Todos sus datos en las tablas de Neria se eliminan.</w:t>
      </w:r>
    </w:p>
    <w:p>
      <w:pPr>
        <w:spacing w:after="120"/>
        <w:ind w:left="200"/>
      </w:pPr>
      <w:r>
        <w:rPr>
          <w:b/>
          <w:bCs/>
          <w:color w:val="B38B59"/>
        </w:rPr>
        <w:t xml:space="preserve">2. </w:t>
      </w:r>
      <w:r>
        <w:t xml:space="preserve">Para una eliminación por antigüedad: en RGPD → Eliminación automática, hacer clic en Eliminar datos de más de N meses. Neria limpia todas las tablas según sus respectivos plazos de conservación.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Nota — </w:t>
      </w:r>
      <w:r>
        <w:t xml:space="preserve">La eliminación individual se activa automáticamente mediante el hook actionDeleteGDPRCustomer cuando se elimina una cuenta a través del módulo RGPD oficial de PrestaShop.</w:t>
      </w:r>
    </w:p>
    <w:p>
      <w:r>
        <w:br w:type="page"/>
      </w:r>
    </w:p>
    <w:p>
      <w:pPr>
        <w:pStyle w:val="Heading1"/>
        <w:pageBreakBefore/>
        <w:spacing w:after="200" w:before="500"/>
      </w:pPr>
      <w:bookmarkStart w:name="sec122" w:id="1"/>
      <w:r>
        <w:t xml:space="preserve">33. Cifrado de datos sensibles</w:t>
      </w:r>
      <w:bookmarkEnd w:id="1"/>
    </w:p>
    <w:p>
      <w:pPr>
        <w:spacing w:after="160"/>
      </w:pPr>
      <w:r>
        <w:t xml:space="preserve">Neria cifra automáticamente todos los datos sensibles almacenados en la base de datos mediante AES-256-GCM — el algoritmo de cifrado simétrico autenticado más robusto disponible en PHP. El comerciante es informado al abrir el back office mediante un banner de estado en la parte superior de la pestaña Inicio.</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En caso de problema (clave ausente, OpenSSL no disponible), el banner se vuelve rojo con los detalles de la anomalía:</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Qué se cifra</w:t>
      </w:r>
      <w:bookmarkEnd w:id="1"/>
    </w:p>
    <w:p>
      <w:pPr>
        <w:pStyle w:val="ListParagraph"/>
        <w:numPr>
          <w:ilvl w:val="0"/>
          <w:numId w:val="2"/>
        </w:numPr>
        <w:spacing w:after="80"/>
      </w:pPr>
      <w:r>
        <w:t xml:space="preserve">Claves de API de terceros: DeepL, Google PageSpeed, SEMrush, Moz (ID de acceso + secreto), Litmus, Email on Acid.</w:t>
      </w:r>
    </w:p>
    <w:p>
      <w:pPr>
        <w:pStyle w:val="ListParagraph"/>
        <w:numPr>
          <w:ilvl w:val="0"/>
          <w:numId w:val="2"/>
        </w:numPr>
        <w:spacing w:after="80"/>
      </w:pPr>
      <w:r>
        <w:t xml:space="preserve">Google OAuth: secretos de cliente, tokens de acceso y tokens de actualización — Postmaster Tools y Search Console.</w:t>
      </w:r>
    </w:p>
    <w:p>
      <w:pPr>
        <w:pStyle w:val="ListParagraph"/>
        <w:numPr>
          <w:ilvl w:val="0"/>
          <w:numId w:val="2"/>
        </w:numPr>
        <w:spacing w:after="80"/>
      </w:pPr>
      <w:r>
        <w:t xml:space="preserve">Seguridad de webhook y rebotes: secreto HMAC-SHA256 para webhooks salientes, contraseña IMAP para la gestión de rebotes.</w:t>
      </w:r>
    </w:p>
    <w:p>
      <w:pPr>
        <w:pStyle w:val="ListParagraph"/>
        <w:numPr>
          <w:ilvl w:val="0"/>
          <w:numId w:val="2"/>
        </w:numPr>
        <w:spacing w:after="80"/>
      </w:pPr>
      <w:r>
        <w:t xml:space="preserve">Historial de correos de clientes: el campo rendered_vars — variables personalizadas de cada correo archivado (nombre, importe, referencias de pedido…).</w:t>
      </w:r>
    </w:p>
    <w:p>
      <w:pPr>
        <w:pStyle w:val="ListParagraph"/>
        <w:numPr>
          <w:ilvl w:val="0"/>
          <w:numId w:val="2"/>
        </w:numPr>
        <w:spacing w:after="80"/>
      </w:pPr>
      <w:r>
        <w:t xml:space="preserve">Datos RGPD: exportaciones de auditoría generadas por el GdprAuditManager — datos personales extraídos para los informes de cumplimiento.</w:t>
      </w:r>
    </w:p>
    <w:p>
      <w:pPr>
        <w:pStyle w:val="Heading2"/>
        <w:spacing w:after="140" w:before="320"/>
      </w:pPr>
      <w:bookmarkStart w:name="sec124" w:id="1"/>
      <w:r>
        <w:t xml:space="preserve">33.2 Cómo funciona</w:t>
      </w:r>
      <w:bookmarkEnd w:id="1"/>
    </w:p>
    <w:p>
      <w:pPr>
        <w:pStyle w:val="ListParagraph"/>
        <w:numPr>
          <w:ilvl w:val="0"/>
          <w:numId w:val="2"/>
        </w:numPr>
        <w:spacing w:after="80"/>
      </w:pPr>
      <w:r>
        <w:t xml:space="preserve">La clave AES-256 se genera automáticamente en la instalación y se almacena en la configuración de PrestaShop, fuera de la base de datos.</w:t>
      </w:r>
    </w:p>
    <w:p>
      <w:pPr>
        <w:pStyle w:val="ListParagraph"/>
        <w:numPr>
          <w:ilvl w:val="0"/>
          <w:numId w:val="2"/>
        </w:numPr>
        <w:spacing w:after="80"/>
      </w:pPr>
      <w:r>
        <w:t xml:space="preserve">Para cada dato se genera un vector de inicialización (IV) aleatorio: el mismo mensaje produce cada vez un texto cifrado diferente.</w:t>
      </w:r>
    </w:p>
    <w:p>
      <w:pPr>
        <w:pStyle w:val="ListParagraph"/>
        <w:numPr>
          <w:ilvl w:val="0"/>
          <w:numId w:val="2"/>
        </w:numPr>
        <w:spacing w:after="80"/>
      </w:pPr>
      <w:r>
        <w:t xml:space="preserve">Cifrado antes de la inserción, descifrado en la lectura — completamente transparente para todas las demás funcionalidades.</w:t>
      </w:r>
    </w:p>
    <w:p>
      <w:pPr>
        <w:pStyle w:val="Heading2"/>
        <w:spacing w:after="140" w:before="320"/>
      </w:pPr>
      <w:bookmarkStart w:name="sec125" w:id="1"/>
      <w:r>
        <w:t xml:space="preserve">33.3 Monitoreo del Watchdog</w:t>
      </w:r>
      <w:bookmarkEnd w:id="1"/>
    </w:p>
    <w:p>
      <w:pPr>
        <w:spacing w:after="160"/>
      </w:pPr>
      <w:r>
        <w:t xml:space="preserve">El Watchdog realiza 4 controles separados sobre el cifrado en cada diagnóstico:</w:t>
      </w:r>
    </w:p>
    <w:p>
      <w:pPr>
        <w:pStyle w:val="ListParagraph"/>
        <w:numPr>
          <w:ilvl w:val="0"/>
          <w:numId w:val="2"/>
        </w:numPr>
        <w:spacing w:after="80"/>
      </w:pPr>
      <w:r>
        <w:t xml:space="preserve">Prueba de ciclo completo: cifra una cadena aleatoria y la descifra inmediatamente para verificar que la clave funciona.</w:t>
      </w:r>
    </w:p>
    <w:p>
      <w:pPr>
        <w:pStyle w:val="ListParagraph"/>
        <w:numPr>
          <w:ilvl w:val="0"/>
          <w:numId w:val="2"/>
        </w:numPr>
        <w:spacing w:after="80"/>
      </w:pPr>
      <w:r>
        <w:t xml:space="preserve">Prueba de datos en vivo: descifra una muestra de secretos ya almacenados en la base de datos — detecta si la clave fue sobreescrita tras una restauración.</w:t>
      </w:r>
    </w:p>
    <w:p>
      <w:pPr>
        <w:pStyle w:val="ListParagraph"/>
        <w:numPr>
          <w:ilvl w:val="0"/>
          <w:numId w:val="2"/>
        </w:numPr>
        <w:spacing w:after="80"/>
      </w:pPr>
      <w:r>
        <w:t xml:space="preserve">Verificación proactiva: comprueba que cada secreto de la lista centralizada esté correctamente cifrado y no almacenado en texto plano.</w:t>
      </w:r>
    </w:p>
    <w:p>
      <w:pPr>
        <w:pStyle w:val="ListParagraph"/>
        <w:numPr>
          <w:ilvl w:val="0"/>
          <w:numId w:val="2"/>
        </w:numPr>
        <w:spacing w:after="80"/>
      </w:pPr>
      <w:r>
        <w:t xml:space="preserve">Verificación de coherencia: si OpenSSL falta en el servidor pero existen datos cifrados — alerta inmediata.</w:t>
      </w:r>
    </w:p>
    <w:p>
      <w:pPr>
        <w:spacing w:after="160"/>
      </w:pPr>
      <w:r>
        <w:t xml:space="preserve">Si se detecta un problema, el banner de estado en el back office se vuelve rojo y se envía un correo de alarma al comerciante.</w:t>
      </w:r>
    </w:p>
    <w:p>
      <w:pPr>
        <w:pStyle w:val="Heading2"/>
        <w:spacing w:after="140" w:before="320"/>
      </w:pPr>
      <w:bookmarkStart w:name="sec126" w:id="1"/>
      <w:r>
        <w:t xml:space="preserve">33.4 Migración retroactiva</w:t>
      </w:r>
      <w:bookmarkEnd w:id="1"/>
    </w:p>
    <w:p>
      <w:pPr>
        <w:spacing w:after="160"/>
      </w:pPr>
      <w:r>
        <w:t xml:space="preserve">Si la clave de cifrado se configura en una instalación existente, todos los datos en texto plano ya presentes en la base de datos se migran automáticamente en el primer arranque. No se requiere ninguna acción manual.</w:t>
      </w:r>
    </w:p>
    <w:p>
      <w:r>
        <w:br w:type="page"/>
      </w:r>
    </w:p>
    <w:p>
      <w:pPr>
        <w:pStyle w:val="Heading1"/>
        <w:pageBreakBefore/>
        <w:spacing w:after="200" w:before="500"/>
      </w:pPr>
      <w:bookmarkStart w:name="sec127" w:id="1"/>
      <w:r>
        <w:t xml:space="preserve">34. Pestaña Webhooks — Integraciones de terceros</w:t>
      </w:r>
      <w:bookmarkEnd w:id="1"/>
    </w:p>
    <w:p>
      <w:pPr>
        <w:spacing w:after="160"/>
      </w:pPr>
      <w:r>
        <w:t xml:space="preserve">Neria puede notificar a aplicaciones de terceros (CRM, Zapier, Make, n8n…) mediante solicitudes HTTP POST firmadas HMAC-SHA256 en 5 eventos clave.</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Eventos disponibles</w:t>
      </w:r>
      <w:bookmarkEnd w:id="1"/>
    </w:p>
    <w:p>
      <w:pPr>
        <w:pStyle w:val="ListParagraph"/>
        <w:numPr>
          <w:ilvl w:val="0"/>
          <w:numId w:val="2"/>
        </w:numPr>
        <w:spacing w:after="80"/>
      </w:pPr>
      <w:r>
        <w:t xml:space="preserve">email_sent: correo electrónico enviado correctamente.</w:t>
      </w:r>
    </w:p>
    <w:p>
      <w:pPr>
        <w:pStyle w:val="ListParagraph"/>
        <w:numPr>
          <w:ilvl w:val="0"/>
          <w:numId w:val="2"/>
        </w:numPr>
        <w:spacing w:after="80"/>
      </w:pPr>
      <w:r>
        <w:t xml:space="preserve">email_opened: correo electrónico abierto por el destinatario.</w:t>
      </w:r>
    </w:p>
    <w:p>
      <w:pPr>
        <w:pStyle w:val="ListParagraph"/>
        <w:numPr>
          <w:ilvl w:val="0"/>
          <w:numId w:val="2"/>
        </w:numPr>
        <w:spacing w:after="80"/>
      </w:pPr>
      <w:r>
        <w:t xml:space="preserve">conversion: compra atribuida a un correo de Neria.</w:t>
      </w:r>
    </w:p>
    <w:p>
      <w:pPr>
        <w:pStyle w:val="ListParagraph"/>
        <w:numPr>
          <w:ilvl w:val="0"/>
          <w:numId w:val="2"/>
        </w:numPr>
        <w:spacing w:after="80"/>
      </w:pPr>
      <w:r>
        <w:t xml:space="preserve">unsubscribed: cliente dado de baja.</w:t>
      </w:r>
    </w:p>
    <w:p>
      <w:pPr>
        <w:pStyle w:val="ListParagraph"/>
        <w:numPr>
          <w:ilvl w:val="0"/>
          <w:numId w:val="2"/>
        </w:numPr>
        <w:spacing w:after="80"/>
      </w:pPr>
      <w:r>
        <w:t xml:space="preserve">ab_winner: ganador del test A/B determinado.</w:t>
      </w:r>
    </w:p>
    <w:p>
      <w:pPr>
        <w:pStyle w:val="Heading2"/>
        <w:spacing w:after="140" w:before="320"/>
      </w:pPr>
      <w:bookmarkStart w:name="sec129" w:id="1"/>
      <w:r>
        <w:t xml:space="preserve">34.2 Configurar un endpoint</w:t>
      </w:r>
      <w:bookmarkEnd w:id="1"/>
    </w:p>
    <w:p>
      <w:pPr>
        <w:spacing w:after="120"/>
        <w:ind w:left="200"/>
      </w:pPr>
      <w:r>
        <w:rPr>
          <w:b/>
          <w:bCs/>
          <w:color w:val="B38B59"/>
        </w:rPr>
        <w:t xml:space="preserve">1. </w:t>
      </w:r>
      <w:r>
        <w:t xml:space="preserve">En la pestaña Webhooks, hacer clic en Añadir endpoint.</w:t>
      </w:r>
    </w:p>
    <w:p>
      <w:pPr>
        <w:spacing w:after="120"/>
        <w:ind w:left="200"/>
      </w:pPr>
      <w:r>
        <w:rPr>
          <w:b/>
          <w:bCs/>
          <w:color w:val="B38B59"/>
        </w:rPr>
        <w:t xml:space="preserve">2. </w:t>
      </w:r>
      <w:r>
        <w:t xml:space="preserve">Introducir la URL de destino (p. ej. el webhook de Zapier o Make).</w:t>
      </w:r>
    </w:p>
    <w:p>
      <w:pPr>
        <w:spacing w:after="120"/>
        <w:ind w:left="200"/>
      </w:pPr>
      <w:r>
        <w:rPr>
          <w:b/>
          <w:bCs/>
          <w:color w:val="B38B59"/>
        </w:rPr>
        <w:t xml:space="preserve">3. </w:t>
      </w:r>
      <w:r>
        <w:t xml:space="preserve">Elegir los eventos a notificar.</w:t>
      </w:r>
    </w:p>
    <w:p>
      <w:pPr>
        <w:spacing w:after="120"/>
        <w:ind w:left="200"/>
      </w:pPr>
      <w:r>
        <w:rPr>
          <w:b/>
          <w:bCs/>
          <w:color w:val="B38B59"/>
        </w:rPr>
        <w:t xml:space="preserve">4. </w:t>
      </w:r>
      <w:r>
        <w:t xml:space="preserve">Copiar el secreto HMAC mostrado para validar la firma en el lado receptor.</w:t>
      </w:r>
    </w:p>
    <w:p>
      <w:pPr>
        <w:spacing w:after="120"/>
        <w:ind w:left="200"/>
      </w:pPr>
      <w:r>
        <w:rPr>
          <w:b/>
          <w:bCs/>
          <w:color w:val="B38B59"/>
        </w:rPr>
        <w:t xml:space="preserve">5. </w:t>
      </w:r>
      <w:r>
        <w:t xml:space="preserve">Hacer clic en Probar para enviar un evento de prueba.</w:t>
      </w:r>
    </w:p>
    <w:p>
      <w:pPr>
        <w:spacing w:after="180" w:before="120"/>
        <w:ind w:left="360"/>
      </w:pPr>
      <w:r>
        <w:rPr>
          <w:b/>
          <w:bCs/>
          <w:color w:val="B38B59"/>
        </w:rPr>
        <w:t xml:space="preserve">ℹ️  Nota — </w:t>
      </w:r>
      <w:r>
        <w:t xml:space="preserve">En caso de errores de entrega (tiempo de espera agotado o error HTTP), Neria realiza 3 reintentos automáticos con retraso exponencial antes de abandonar. Los errores se registran en el log del Watchdog.</w:t>
      </w:r>
    </w:p>
    <w:p>
      <w:r>
        <w:br w:type="page"/>
      </w:r>
    </w:p>
    <w:p>
      <w:pPr>
        <w:pStyle w:val="Heading1"/>
        <w:pageBreakBefore/>
        <w:spacing w:after="200" w:before="500"/>
      </w:pPr>
      <w:bookmarkStart w:name="sec130" w:id="1"/>
      <w:r>
        <w:t xml:space="preserve">35. Testigo silencioso — Archivo BCC</w:t>
      </w:r>
      <w:bookmarkEnd w:id="1"/>
    </w:p>
    <w:p>
      <w:pPr>
        <w:spacing w:after="160"/>
      </w:pPr>
      <w:r>
        <w:t xml:space="preserve">El testigo silencioso envía una copia oculta (BCC) de cada correo saliente a una dirección de archivo configurable. Útil para la auditoría interna, el control de calidad editorial y la trazabilidad legal de las comunicaciones.</w:t>
      </w:r>
    </w:p>
    <w:p>
      <w:pPr>
        <w:spacing w:after="120"/>
        <w:ind w:left="200"/>
      </w:pPr>
      <w:r>
        <w:rPr>
          <w:b/>
          <w:bCs/>
          <w:color w:val="B38B59"/>
        </w:rPr>
        <w:t xml:space="preserve">1. </w:t>
      </w:r>
      <w:r>
        <w:t xml:space="preserve">En la pestaña Inicio → Ajustes generales, activar el interruptor Testigo silencioso.</w:t>
      </w:r>
    </w:p>
    <w:p>
      <w:pPr>
        <w:spacing w:after="120"/>
        <w:ind w:left="200"/>
      </w:pPr>
      <w:r>
        <w:rPr>
          <w:b/>
          <w:bCs/>
          <w:color w:val="B38B59"/>
        </w:rPr>
        <w:t xml:space="preserve">2. </w:t>
      </w:r>
      <w:r>
        <w:t xml:space="preserve">Introducir la dirección de correo de archivo.</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Correo de respaldo inteligente</w:t>
      </w:r>
      <w:bookmarkEnd w:id="1"/>
    </w:p>
    <w:p>
      <w:pPr>
        <w:spacing w:after="160"/>
      </w:pPr>
      <w:r>
        <w:t xml:space="preserve">Cuando el renderizado de un correo electrónico falla por razones técnicas (plantilla no encontrada, error de Smarty, variable faltante), Neria envía automáticamente un elegante correo de respaldo (plantilla neria_fallback) en lugar de silencio o un correo nativo degradado de PrestaShop.</w:t>
      </w:r>
    </w:p>
    <w:p>
      <w:pPr>
        <w:spacing w:after="160"/>
      </w:pPr>
      <w:r>
        <w:t xml:space="preserve">El incidente se registra en el Watchdog con el contexto completo (plantilla, idioma, cliente, mensaje de error) para su corrección posterior. El cliente siempre recibe un correo cuidado.</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Modo silencio — Anti-duplicado</w:t>
      </w:r>
      <w:bookmarkEnd w:id="1"/>
    </w:p>
    <w:p>
      <w:pPr>
        <w:spacing w:after="160"/>
      </w:pPr>
      <w:r>
        <w:t xml:space="preserve">El modo silencio impide enviar un correo electrónico idéntico al mismo cliente dentro de una ventana de tiempo configurable. Si una plantilla se ha enviado recientemente al mismo destinatario, Neria bloquea automáticamente el segundo envío y lo registra.</w:t>
      </w:r>
    </w:p>
    <w:p>
      <w:pPr>
        <w:spacing w:after="120"/>
        <w:ind w:left="200"/>
      </w:pPr>
      <w:r>
        <w:rPr>
          <w:b/>
          <w:bCs/>
          <w:color w:val="B38B59"/>
        </w:rPr>
        <w:t xml:space="preserve">1. </w:t>
      </w:r>
      <w:r>
        <w:t xml:space="preserve">En la pestaña Inicio → Ajustes generales, activar el Modo silencio.</w:t>
      </w:r>
    </w:p>
    <w:p>
      <w:pPr>
        <w:spacing w:after="120"/>
        <w:ind w:left="200"/>
      </w:pPr>
      <w:r>
        <w:rPr>
          <w:b/>
          <w:bCs/>
          <w:color w:val="B38B59"/>
        </w:rPr>
        <w:t xml:space="preserve">2. </w:t>
      </w:r>
      <w:r>
        <w:t xml:space="preserve">Configurar la ventana de protección global (en minutos, de 1 a 60 — recomendado: 10 min).</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Nota — </w:t>
      </w:r>
      <w:r>
        <w:t xml:space="preserve">El modo silencio nunca bloquea los correos transaccionales críticos (confirmación de pedido, restablecimiento de contraseña). Solo se aplica a los correos de comportamiento y marketing.</w:t>
      </w:r>
    </w:p>
    <w:p>
      <w:r>
        <w:br w:type="page"/>
      </w:r>
    </w:p>
    <w:p>
      <w:pPr>
        <w:pStyle w:val="Heading1"/>
        <w:pageBreakBefore/>
        <w:spacing w:after="200" w:before="500"/>
      </w:pPr>
      <w:bookmarkStart w:name="sec133" w:id="1"/>
      <w:r>
        <w:t xml:space="preserve">38. Pestaña Ayuda — Watchdog &amp; Diagnóstico</w:t>
      </w:r>
      <w:bookmarkEnd w:id="1"/>
    </w:p>
    <w:p>
      <w:pPr>
        <w:spacing w:after="160"/>
      </w:pPr>
      <w:r>
        <w:t xml:space="preserve">Neria incluye un sistema de supervisión interno (Watchdog) que verifica continuamente más de 100 puntos de control y registra todo en neria_log. La pestaña Ayuda es el centro de control de la salud del módulo.</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Registro de eventos</w:t>
      </w:r>
      <w:bookmarkEnd w:id="1"/>
    </w:p>
    <w:p>
      <w:pPr>
        <w:spacing w:after="160"/>
      </w:pPr>
      <w:r>
        <w:t xml:space="preserve">El registro muestra todos los eventos con tres niveles de gravedad:</w:t>
      </w:r>
    </w:p>
    <w:p>
      <w:pPr>
        <w:pStyle w:val="ListParagraph"/>
        <w:numPr>
          <w:ilvl w:val="0"/>
          <w:numId w:val="2"/>
        </w:numPr>
        <w:spacing w:after="80"/>
      </w:pPr>
      <w:r>
        <w:t xml:space="preserve">INFO — funcionamiento normal, envíos confirmados, limpiezas completadas.</w:t>
      </w:r>
    </w:p>
    <w:p>
      <w:pPr>
        <w:pStyle w:val="ListParagraph"/>
        <w:numPr>
          <w:ilvl w:val="0"/>
          <w:numId w:val="2"/>
        </w:numPr>
        <w:spacing w:after="80"/>
      </w:pPr>
      <w:r>
        <w:t xml:space="preserve">WARNING — punto a supervisar, sin impacto inmediato (p. ej. puntuación de entregabilidad en descenso).</w:t>
      </w:r>
    </w:p>
    <w:p>
      <w:pPr>
        <w:pStyle w:val="ListParagraph"/>
        <w:numPr>
          <w:ilvl w:val="0"/>
          <w:numId w:val="2"/>
        </w:numPr>
        <w:spacing w:after="80"/>
      </w:pPr>
      <w:r>
        <w:t xml:space="preserve">ERROR — anomalía a corregir (p. ej. error de envío, error de renderizado).</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Alertas automáticas</w:t>
      </w:r>
      <w:bookmarkEnd w:id="1"/>
    </w:p>
    <w:p>
      <w:pPr>
        <w:pStyle w:val="ListParagraph"/>
        <w:numPr>
          <w:ilvl w:val="0"/>
          <w:numId w:val="2"/>
        </w:numPr>
        <w:spacing w:after="80"/>
      </w:pPr>
      <w:r>
        <w:t xml:space="preserve">Cada evento ERROR genera un correo de alarma inmediato al comerciante.</w:t>
      </w:r>
    </w:p>
    <w:p>
      <w:pPr>
        <w:pStyle w:val="ListParagraph"/>
        <w:numPr>
          <w:ilvl w:val="0"/>
          <w:numId w:val="2"/>
        </w:numPr>
        <w:spacing w:after="80"/>
      </w:pPr>
      <w:r>
        <w:t xml:space="preserve">Las alertas WARNING se agrupan en un resumen diario para evitar la saturación del buzón.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Auto-reparación</w:t>
      </w:r>
      <w:bookmarkEnd w:id="1"/>
    </w:p>
    <w:p>
      <w:pPr>
        <w:spacing w:after="160"/>
      </w:pPr>
      <w:r>
        <w:t xml:space="preserve">Ciertas anomalías menores — puntuaciones de comportamiento no recalculadas, segmentación obsoleta, caché de traducciones expirada — son corregidas automáticamente por el Watchdog sin intervención. Estas correcciones se anotan en el registro con la mención «corregido automáticamente».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Diagnóstico completo</w:t>
      </w:r>
      <w:bookmarkEnd w:id="1"/>
    </w:p>
    <w:p>
      <w:pPr>
        <w:spacing w:after="120"/>
        <w:ind w:left="200"/>
      </w:pPr>
      <w:r>
        <w:rPr>
          <w:b/>
          <w:bCs/>
          <w:color w:val="B38B59"/>
        </w:rPr>
        <w:t xml:space="preserve">1. </w:t>
      </w:r>
      <w:r>
        <w:t xml:space="preserve">En la pestaña Ayuda, hacer clic en Iniciar diagnóstico completo.</w:t>
      </w:r>
    </w:p>
    <w:p>
      <w:pPr>
        <w:spacing w:after="120"/>
        <w:ind w:left="200"/>
      </w:pPr>
      <w:r>
        <w:rPr>
          <w:b/>
          <w:bCs/>
          <w:color w:val="B38B59"/>
        </w:rPr>
        <w:t xml:space="preserve">2. </w:t>
      </w:r>
      <w:r>
        <w:t xml:space="preserve">Neria realiza más de 100 controles de salud y muestra un informe detallado: hooks registrados, estado de las tablas, licencias, cron, configuración.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Página de emergencia</w:t>
      </w:r>
      <w:bookmarkEnd w:id="1"/>
    </w:p>
    <w:p>
      <w:pPr>
        <w:spacing w:after="160"/>
      </w:pPr>
      <w:r>
        <w:t xml:space="preserve">En caso de caída crítica del back office de PrestaShop, hay disponible una página de diagnóstico autónoma en: https://su-tienda.com/modules/neria/neria-emergency.php?token=SU_TOKEN. Funciona de forma independiente de PrestaShop.</w:t>
      </w:r>
    </w:p>
    <w:p>
      <w:pPr>
        <w:spacing w:after="120"/>
        <w:ind w:left="200"/>
      </w:pPr>
      <w:r>
        <w:rPr>
          <w:b/>
          <w:bCs/>
          <w:color w:val="B38B59"/>
        </w:rPr>
        <w:t xml:space="preserve">1. </w:t>
      </w:r>
      <w:r>
        <w:t xml:space="preserve">Obtener el token de emergencia en Ayuda → Token de emergencia.</w:t>
      </w:r>
    </w:p>
    <w:p>
      <w:pPr>
        <w:spacing w:after="120"/>
        <w:ind w:left="200"/>
      </w:pPr>
      <w:r>
        <w:rPr>
          <w:b/>
          <w:bCs/>
          <w:color w:val="B38B59"/>
        </w:rPr>
        <w:t xml:space="preserve">2. </w:t>
      </w:r>
      <w:r>
        <w:t xml:space="preserve">Acceder a la URL anterior con el token.</w:t>
      </w:r>
    </w:p>
    <w:p>
      <w:pPr>
        <w:spacing w:after="120"/>
        <w:ind w:left="200"/>
      </w:pPr>
      <w:r>
        <w:rPr>
          <w:b/>
          <w:bCs/>
          <w:color w:val="B38B59"/>
        </w:rPr>
        <w:t xml:space="preserve">3. </w:t>
      </w:r>
      <w:r>
        <w:t xml:space="preserve">La página muestra el estado del módulo, los errores actuales y los botones de reparación rápida.</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Centro de control</w:t>
      </w:r>
      <w:bookmarkEnd w:id="1"/>
    </w:p>
    <w:p>
      <w:pPr>
        <w:spacing w:after="160"/>
      </w:pPr>
      <w:r>
        <w:t xml:space="preserve">El Centro de control permite al comerciante mostrar u ocultar el enlace a cada funcionalidad en el menú de Neria, sin modificar su estado real activo/inactivo. Útil para simplificar el menú cuando ciertas funcionalidades avanzadas no se utilizan.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Para cada funcionalidad, el punto de color indica el estado real (verde = activo, rojo = inactivo).</w:t>
      </w:r>
    </w:p>
    <w:p>
      <w:pPr>
        <w:spacing w:after="120"/>
        <w:ind w:left="200"/>
      </w:pPr>
      <w:r>
        <w:rPr>
          <w:b/>
          <w:bCs/>
          <w:color w:val="B38B59"/>
        </w:rPr>
        <w:t xml:space="preserve">2. </w:t>
      </w:r>
      <w:r>
        <w:t xml:space="preserve">El botón de alternancia a la derecha controla la visibilidad del enlace en el menú (independientemente del estado).</w:t>
      </w:r>
    </w:p>
    <w:p>
      <w:pPr>
        <w:spacing w:after="120"/>
        <w:ind w:left="200"/>
      </w:pPr>
      <w:r>
        <w:rPr>
          <w:b/>
          <w:bCs/>
          <w:color w:val="B38B59"/>
        </w:rPr>
        <w:t xml:space="preserve">3. </w:t>
      </w:r>
      <w:r>
        <w:t xml:space="preserve">Ocultar un enlace no desactiva la funcionalidad — sigue ejecutándose en segundo plano.</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Academy</w:t>
      </w:r>
      <w:bookmarkEnd w:id="1"/>
    </w:p>
    <w:p>
      <w:pPr>
        <w:spacing w:after="160"/>
      </w:pPr>
      <w:r>
        <w:t xml:space="preserve">La pestaña Academy pone a disposición guías de formación integradas directamente en el back office en el idioma del comerciante. En la instalación están disponibles ocho guías.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Guía 1: Por qué baja mi tasa de apertura — 8 causas • diagnóstico • soluciones Neria.</w:t>
      </w:r>
    </w:p>
    <w:p>
      <w:pPr>
        <w:pStyle w:val="ListParagraph"/>
        <w:numPr>
          <w:ilvl w:val="0"/>
          <w:numId w:val="2"/>
        </w:numPr>
        <w:spacing w:after="80"/>
      </w:pPr>
      <w:r>
        <w:t xml:space="preserve">Guía 2: Escribir un asunto que funcione — 5 reglas • ejemplos antes/después • palabras a evitar.</w:t>
      </w:r>
    </w:p>
    <w:p>
      <w:pPr>
        <w:pStyle w:val="ListParagraph"/>
        <w:numPr>
          <w:ilvl w:val="0"/>
          <w:numId w:val="2"/>
        </w:numPr>
        <w:spacing w:after="80"/>
      </w:pPr>
      <w:r>
        <w:t xml:space="preserve">Guía 3: RGPD y correo electrónico: lo esencial — 3 bases legales • obligaciones • lista de comprobación completa.</w:t>
      </w:r>
    </w:p>
    <w:p>
      <w:pPr>
        <w:pStyle w:val="ListParagraph"/>
        <w:numPr>
          <w:ilvl w:val="0"/>
          <w:numId w:val="2"/>
        </w:numPr>
        <w:spacing w:after="80"/>
      </w:pPr>
      <w:r>
        <w:t xml:space="preserve">Guía 4: Por qué mis correos van al spam — 4 pilares • autenticación • reputación • contenido.</w:t>
      </w:r>
    </w:p>
    <w:p>
      <w:pPr>
        <w:pStyle w:val="ListParagraph"/>
        <w:numPr>
          <w:ilvl w:val="0"/>
          <w:numId w:val="2"/>
        </w:numPr>
        <w:spacing w:after="80"/>
      </w:pPr>
      <w:r>
        <w:t xml:space="preserve">Guía 5: Usar la segmentación de comportamiento — 5 segmentos • segmentación • estrategias por perfil.</w:t>
      </w:r>
    </w:p>
    <w:p>
      <w:pPr>
        <w:pStyle w:val="ListParagraph"/>
        <w:numPr>
          <w:ilvl w:val="0"/>
          <w:numId w:val="2"/>
        </w:numPr>
        <w:spacing w:after="80"/>
      </w:pPr>
      <w:r>
        <w:t xml:space="preserve">Guía 6: Fidelidad y upsell: aumentar el valor del cliente — 3 niveles • puntos • upsell post-compra.</w:t>
      </w:r>
    </w:p>
    <w:p>
      <w:pPr>
        <w:pStyle w:val="ListParagraph"/>
        <w:numPr>
          <w:ilvl w:val="0"/>
          <w:numId w:val="2"/>
        </w:numPr>
        <w:spacing w:after="80"/>
      </w:pPr>
      <w:r>
        <w:t xml:space="preserve">Guía 7: Pruebas A/B: probar sin errores — 4 reglas • umbrales estadísticos • qué vale la pena probar.</w:t>
      </w:r>
    </w:p>
    <w:p>
      <w:pPr>
        <w:pStyle w:val="ListParagraph"/>
        <w:numPr>
          <w:ilvl w:val="0"/>
          <w:numId w:val="2"/>
        </w:numPr>
        <w:spacing w:after="80"/>
      </w:pPr>
      <w:r>
        <w:t xml:space="preserve">Guía 8: Recuperar un carrito sin molestar — 3 seguimientos • cadencia 1h/24h/72h • parada automática.</w:t>
      </w:r>
    </w:p>
    <w:p>
      <w:pPr>
        <w:spacing w:after="120"/>
        <w:ind w:left="200"/>
      </w:pPr>
      <w:r>
        <w:rPr>
          <w:b/>
          <w:bCs/>
          <w:color w:val="B38B59"/>
        </w:rPr>
        <w:t xml:space="preserve">1. </w:t>
      </w:r>
      <w:r>
        <w:t xml:space="preserve">Hacer clic en una guía para abrirla a pantalla completa en el back office.</w:t>
      </w:r>
    </w:p>
    <w:p>
      <w:pPr>
        <w:spacing w:after="120"/>
        <w:ind w:left="200"/>
      </w:pPr>
      <w:r>
        <w:rPr>
          <w:b/>
          <w:bCs/>
          <w:color w:val="B38B59"/>
        </w:rPr>
        <w:t xml:space="preserve">2. </w:t>
      </w:r>
      <w:r>
        <w:t xml:space="preserve">Cada guía está disponible en los 19 idiomas del módulo.</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Catálogo de las 117 plantillas de correo electrónico</w:t>
      </w:r>
      <w:bookmarkEnd w:id="1"/>
    </w:p>
    <w:p>
      <w:pPr>
        <w:spacing w:after="160"/>
      </w:pPr>
      <w:r>
        <w:t xml:space="preserve">Neria incluye 117 plantillas HTML + texto plano en 19 idiomas, organizadas en 7 categorías.</w:t>
      </w:r>
    </w:p>
    <w:p>
      <w:pPr>
        <w:pStyle w:val="Heading2"/>
        <w:spacing w:after="140" w:before="320"/>
      </w:pPr>
      <w:bookmarkStart w:name="sec142" w:id="1"/>
      <w:r>
        <w:t xml:space="preserve">41.1 Correos transaccionales de PrestaShop (rediseñados)</w:t>
      </w:r>
      <w:bookmarkEnd w:id="1"/>
    </w:p>
    <w:p>
      <w:pPr>
        <w:pStyle w:val="ListParagraph"/>
        <w:numPr>
          <w:ilvl w:val="0"/>
          <w:numId w:val="2"/>
        </w:numPr>
        <w:spacing w:after="80"/>
      </w:pPr>
      <w:r>
        <w:t xml:space="preserve">order_conf, payment, shipped, delivered, in_transit, password, newsletter, account, guest_tracking_info, return_slip, log_alert, reply_msg y todas las plantillas estándar de PrestaShop.</w:t>
      </w:r>
    </w:p>
    <w:p>
      <w:pPr>
        <w:pStyle w:val="Heading2"/>
        <w:spacing w:after="140" w:before="320"/>
      </w:pPr>
      <w:bookmarkStart w:name="sec143" w:id="1"/>
      <w:r>
        <w:t xml:space="preserve">41.2 Correos de comportamiento</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Correos de lujo y experiencia</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Correos de fidelidad</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Correos de calendario</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y variantes.</w:t>
      </w:r>
    </w:p>
    <w:p>
      <w:pPr>
        <w:pStyle w:val="Heading2"/>
        <w:spacing w:after="140" w:before="320"/>
      </w:pPr>
      <w:bookmarkStart w:name="sec147" w:id="1"/>
      <w:r>
        <w:t xml:space="preserve">41.6 Correos B2B</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Correos de sistema Neria</w:t>
      </w:r>
      <w:bookmarkEnd w:id="1"/>
    </w:p>
    <w:p>
      <w:pPr>
        <w:pStyle w:val="ListParagraph"/>
        <w:numPr>
          <w:ilvl w:val="0"/>
          <w:numId w:val="2"/>
        </w:numPr>
        <w:spacing w:after="80"/>
      </w:pPr>
      <w:r>
        <w:t xml:space="preserve">neria_fallback (correo de respaldo), log_alert (alarma Watchdog),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Preguntas frecuentes</w:t>
      </w:r>
      <w:bookmarkEnd w:id="1"/>
    </w:p>
    <w:p>
      <w:pPr>
        <w:pStyle w:val="Heading2"/>
        <w:spacing w:after="140" w:before="320"/>
      </w:pPr>
      <w:bookmarkStart w:name="sec150" w:id="1"/>
      <w:r>
        <w:t xml:space="preserve">Los correos no se envían — ¿qué debo comprobar?</w:t>
      </w:r>
      <w:bookmarkEnd w:id="1"/>
    </w:p>
    <w:p>
      <w:pPr>
        <w:pStyle w:val="ListParagraph"/>
        <w:numPr>
          <w:ilvl w:val="0"/>
          <w:numId w:val="2"/>
        </w:numPr>
        <w:spacing w:after="80"/>
      </w:pPr>
      <w:r>
        <w:t xml:space="preserve">Pestaña Ayuda → Registro del Watchdog: en caso de error, siempre se registra allí.</w:t>
      </w:r>
    </w:p>
    <w:p>
      <w:pPr>
        <w:pStyle w:val="ListParagraph"/>
        <w:numPr>
          <w:ilvl w:val="0"/>
          <w:numId w:val="2"/>
        </w:numPr>
        <w:spacing w:after="80"/>
      </w:pPr>
      <w:r>
        <w:t xml:space="preserve">Verificar que la licencia esté activa (banner verde en cualquier pestaña de Neria).</w:t>
      </w:r>
    </w:p>
    <w:p>
      <w:pPr>
        <w:pStyle w:val="ListParagraph"/>
        <w:numPr>
          <w:ilvl w:val="0"/>
          <w:numId w:val="2"/>
        </w:numPr>
        <w:spacing w:after="80"/>
      </w:pPr>
      <w:r>
        <w:t xml:space="preserve">Verificar la configuración SMTP de PrestaShop (Parámetros avanzados → Correo electrónico): Neria no envía por sí mismo — se apoya en el mecanismo de envío nativo de PS.</w:t>
      </w:r>
    </w:p>
    <w:p>
      <w:pPr>
        <w:pStyle w:val="ListParagraph"/>
        <w:numPr>
          <w:ilvl w:val="0"/>
          <w:numId w:val="2"/>
        </w:numPr>
        <w:spacing w:after="80"/>
      </w:pPr>
      <w:r>
        <w:t xml:space="preserve">Probar el envío desde Parámetros avanzados → Correo electrónico → Enviar correo de prueba.</w:t>
      </w:r>
    </w:p>
    <w:p>
      <w:pPr>
        <w:pStyle w:val="Heading2"/>
        <w:spacing w:after="140" w:before="320"/>
      </w:pPr>
      <w:bookmarkStart w:name="sec151" w:id="1"/>
      <w:r>
        <w:t xml:space="preserve">¿Puedo personalizar el texto de un correo concreto?</w:t>
      </w:r>
      <w:bookmarkEnd w:id="1"/>
    </w:p>
    <w:p>
      <w:pPr>
        <w:spacing w:after="160"/>
      </w:pPr>
      <w:r>
        <w:t xml:space="preserve">Sí, a través de la pestaña Traducciones: cada plantilla es editable de forma independiente, en cada uno de los 19 idiomas, con vista previa en vivo antes de guardar.</w:t>
      </w:r>
    </w:p>
    <w:p>
      <w:pPr>
        <w:pStyle w:val="Heading2"/>
        <w:spacing w:after="140" w:before="320"/>
      </w:pPr>
      <w:bookmarkStart w:name="sec152" w:id="1"/>
      <w:r>
        <w:t xml:space="preserve">Una plantilla no me convence — ¿puedo desactivarla?</w:t>
      </w:r>
      <w:bookmarkEnd w:id="1"/>
    </w:p>
    <w:p>
      <w:pPr>
        <w:spacing w:after="160"/>
      </w:pPr>
      <w:r>
        <w:t xml:space="preserve">Sí, mediante la función Lista negra de plantillas en la pestaña Inicio. Neria dejará que PrestaShop gestione ese envío con su renderizado nativo.</w:t>
      </w:r>
    </w:p>
    <w:p>
      <w:pPr>
        <w:pStyle w:val="Heading2"/>
        <w:spacing w:after="140" w:before="320"/>
      </w:pPr>
      <w:bookmarkStart w:name="sec153" w:id="1"/>
      <w:r>
        <w:t xml:space="preserve">¿Cómo ajusto el horario de envío de las automatizaciones?</w:t>
      </w:r>
      <w:bookmarkEnd w:id="1"/>
    </w:p>
    <w:p>
      <w:pPr>
        <w:spacing w:after="160"/>
      </w:pPr>
      <w:r>
        <w:t xml:space="preserve">Configurar el horario de ejecución del cron del servidor. Las recomendaciones de Golden Hour (pestaña Estadísticas) indican el mejor momento para los clientes.</w:t>
      </w:r>
    </w:p>
    <w:p>
      <w:pPr>
        <w:pStyle w:val="Heading2"/>
        <w:spacing w:after="140" w:before="320"/>
      </w:pPr>
      <w:bookmarkStart w:name="sec154" w:id="1"/>
      <w:r>
        <w:t xml:space="preserve">¿El módulo ralentiza mi tienda?</w:t>
      </w:r>
      <w:bookmarkEnd w:id="1"/>
    </w:p>
    <w:p>
      <w:pPr>
        <w:spacing w:after="160"/>
      </w:pPr>
      <w:r>
        <w:t xml:space="preserve">No: el renderizado de los correos se almacena en caché en la base de datos y solo se regenera en caso de envío real o cambio de configuración. Las automatizaciones se ejecutan como tareas en segundo plano mediante cron, nunca durante una sesión de visitante.</w:t>
      </w:r>
    </w:p>
    <w:p>
      <w:pPr>
        <w:pStyle w:val="Heading2"/>
        <w:spacing w:after="140" w:before="320"/>
      </w:pPr>
      <w:bookmarkStart w:name="sec155" w:id="1"/>
      <w:r>
        <w:t xml:space="preserve">¿Cómo obtengo ayuda?</w:t>
      </w:r>
      <w:bookmarkEnd w:id="1"/>
    </w:p>
    <w:p>
      <w:pPr>
        <w:spacing w:after="160"/>
      </w:pPr>
      <w:r>
        <w:t xml:space="preserve">Por correo electrónico a support@neriasoftware.com (respuesta en 24 días laborables) o a través de PrestaShop Addons → Mi cuenta → Ayuda → Neria. Indicar la versión del módulo (visible en Módulos → Neria) y adjuntar si está disponible un extracto del registro del Watchdog.</w:t>
      </w:r>
    </w:p>
    <w:p>
      <w:r>
        <w:br w:type="page"/>
      </w:r>
    </w:p>
    <w:p>
      <w:pPr>
        <w:pStyle w:val="Heading1"/>
        <w:pageBreakBefore/>
        <w:spacing w:after="200" w:before="500"/>
      </w:pPr>
      <w:bookmarkStart w:name="sec156" w:id="1"/>
      <w:r>
        <w:t xml:space="preserve">43. Soporte y Business Care</w:t>
      </w:r>
      <w:bookmarkEnd w:id="1"/>
    </w:p>
    <w:p>
      <w:pPr>
        <w:pStyle w:val="Heading2"/>
        <w:spacing w:after="140" w:before="320"/>
      </w:pPr>
      <w:bookmarkStart w:name="sec157" w:id="1"/>
      <w:r>
        <w:t xml:space="preserve">43.1 Soporte técnico</w:t>
      </w:r>
      <w:bookmarkEnd w:id="1"/>
    </w:p>
    <w:p>
      <w:pPr>
        <w:pStyle w:val="ListParagraph"/>
        <w:numPr>
          <w:ilvl w:val="0"/>
          <w:numId w:val="2"/>
        </w:numPr>
        <w:spacing w:after="80"/>
      </w:pPr>
      <w:r>
        <w:t xml:space="preserve">Correo electrónico: support@neriasoftware.com</w:t>
      </w:r>
    </w:p>
    <w:p>
      <w:pPr>
        <w:pStyle w:val="ListParagraph"/>
        <w:numPr>
          <w:ilvl w:val="0"/>
          <w:numId w:val="2"/>
        </w:numPr>
        <w:spacing w:after="80"/>
      </w:pPr>
      <w:r>
        <w:t xml:space="preserve">Tiempo de respuesta garantizado: 24 días laborables (lunes a viernes).</w:t>
      </w:r>
    </w:p>
    <w:p>
      <w:pPr>
        <w:pStyle w:val="ListParagraph"/>
        <w:numPr>
          <w:ilvl w:val="0"/>
          <w:numId w:val="2"/>
        </w:numPr>
        <w:spacing w:after="80"/>
      </w:pPr>
      <w:r>
        <w:t xml:space="preserve">Idiomas: francés e inglés.</w:t>
      </w:r>
    </w:p>
    <w:p>
      <w:pPr>
        <w:pStyle w:val="Heading2"/>
        <w:spacing w:after="140" w:before="320"/>
      </w:pPr>
      <w:bookmarkStart w:name="sec158" w:id="1"/>
      <w:r>
        <w:t xml:space="preserve">43.2 Business Care — 12 meses incluidos</w:t>
      </w:r>
      <w:bookmarkEnd w:id="1"/>
    </w:p>
    <w:p>
      <w:pPr>
        <w:spacing w:after="160"/>
      </w:pPr>
      <w:r>
        <w:t xml:space="preserve">Cada licencia de Neria incluye 12 meses de Business Care, que cubre:</w:t>
      </w:r>
    </w:p>
    <w:p>
      <w:pPr>
        <w:pStyle w:val="ListParagraph"/>
        <w:numPr>
          <w:ilvl w:val="0"/>
          <w:numId w:val="2"/>
        </w:numPr>
        <w:spacing w:after="80"/>
      </w:pPr>
      <w:r>
        <w:t xml:space="preserve">Actualizaciones del módulo (nuevas funcionalidades, parches de seguridad, compatibilidad con nuevas versiones de PS).</w:t>
      </w:r>
    </w:p>
    <w:p>
      <w:pPr>
        <w:pStyle w:val="ListParagraph"/>
        <w:numPr>
          <w:ilvl w:val="0"/>
          <w:numId w:val="2"/>
        </w:numPr>
        <w:spacing w:after="80"/>
      </w:pPr>
      <w:r>
        <w:t xml:space="preserve">Soporte técnico por correo electrónico para preguntas sobre instalación, configuración y uso.</w:t>
      </w:r>
    </w:p>
    <w:p>
      <w:pPr>
        <w:pStyle w:val="ListParagraph"/>
        <w:numPr>
          <w:ilvl w:val="0"/>
          <w:numId w:val="2"/>
        </w:numPr>
        <w:spacing w:after="80"/>
      </w:pPr>
      <w:r>
        <w:t xml:space="preserve">Actualizaciones de la base de datos de traducciones (nuevos idiomas o correcciones lingüísticas).</w:t>
      </w:r>
    </w:p>
    <w:p>
      <w:pPr>
        <w:pStyle w:val="Heading2"/>
        <w:spacing w:after="140" w:before="320"/>
      </w:pPr>
      <w:bookmarkStart w:name="sec159" w:id="1"/>
      <w:r>
        <w:t xml:space="preserve">43.3 Renovación</w:t>
      </w:r>
      <w:bookmarkEnd w:id="1"/>
    </w:p>
    <w:p>
      <w:pPr>
        <w:spacing w:after="160"/>
      </w:pPr>
      <w:r>
        <w:t xml:space="preserve">Tras 12 meses, el módulo sigue funcionando con la versión instalada sin limitación de tiempo. La renovación del Business Care es opcional y permite seguir recibiendo actualizaciones y soporte.</w:t>
      </w:r>
    </w:p>
    <w:p>
      <w:r>
        <w:br w:type="page"/>
      </w:r>
    </w:p>
    <w:p>
      <w:pPr>
        <w:pStyle w:val="Heading1"/>
        <w:pageBreakBefore/>
        <w:spacing w:after="200" w:before="500"/>
      </w:pPr>
      <w:bookmarkStart w:name="sec160" w:id="1"/>
      <w:r>
        <w:t xml:space="preserve">Apéndice A — Información legal</w:t>
      </w:r>
      <w:bookmarkEnd w:id="1"/>
    </w:p>
    <w:p>
      <w:pPr>
        <w:pStyle w:val="Heading2"/>
        <w:spacing w:after="140" w:before="320"/>
      </w:pPr>
      <w:bookmarkStart w:name="sec161" w:id="1"/>
      <w:r>
        <w:t xml:space="preserve">A.1 Licencia del módulo</w:t>
      </w:r>
      <w:bookmarkEnd w:id="1"/>
    </w:p>
    <w:p>
      <w:pPr>
        <w:spacing w:after="160"/>
      </w:pPr>
      <w:r>
        <w:t xml:space="preserve">Neria — Luxury Email Suite se distribuye bajo la licencia Academic Free License 3.0 (AFL-3.0) de conformidad con los requisitos de PrestaShop Addons.</w:t>
      </w:r>
    </w:p>
    <w:p>
      <w:pPr>
        <w:pStyle w:val="Heading2"/>
        <w:spacing w:after="140" w:before="320"/>
      </w:pPr>
      <w:bookmarkStart w:name="sec162" w:id="1"/>
      <w:r>
        <w:t xml:space="preserve">A.2 Derechos de autor</w:t>
      </w:r>
      <w:bookmarkEnd w:id="1"/>
    </w:p>
    <w:p>
      <w:pPr>
        <w:spacing w:after="160"/>
      </w:pPr>
      <w:r>
        <w:t xml:space="preserve">© 2026 Neriasoftware — Todos los derechos reservados. El código fuente, las plantillas de correo electrónico, las traducciones y la documentación de este módulo son propiedad exclusiva de su autor. Queda prohibida cualquier reproducción, distribución o uso no autorizados.</w:t>
      </w:r>
    </w:p>
    <w:p>
      <w:pPr>
        <w:pStyle w:val="Heading2"/>
        <w:spacing w:after="140" w:before="320"/>
      </w:pPr>
      <w:bookmarkStart w:name="sec163" w:id="1"/>
      <w:r>
        <w:t xml:space="preserve">A.3 Fuentes de terceros utilizadas</w:t>
      </w:r>
      <w:bookmarkEnd w:id="1"/>
    </w:p>
    <w:p>
      <w:pPr>
        <w:pStyle w:val="ListParagraph"/>
        <w:numPr>
          <w:ilvl w:val="0"/>
          <w:numId w:val="2"/>
        </w:numPr>
        <w:spacing w:after="80"/>
      </w:pPr>
      <w:r>
        <w:t xml:space="preserve">Cormorant Garamond, EB Garamond, Lato, Open Sans, Noto Serif JP/KR/SC/TC — Google Fonts, SIL Open Font License.</w:t>
      </w:r>
    </w:p>
    <w:p>
      <w:pPr>
        <w:pStyle w:val="ListParagraph"/>
        <w:numPr>
          <w:ilvl w:val="0"/>
          <w:numId w:val="2"/>
        </w:numPr>
        <w:spacing w:after="80"/>
      </w:pPr>
      <w:r>
        <w:t xml:space="preserve">Dancing Script, Great Vibes, Sacramento, Pinyon Script — Google Fonts, SIL Open Font License.</w:t>
      </w:r>
    </w:p>
    <w:p>
      <w:pPr>
        <w:pStyle w:val="Heading2"/>
        <w:spacing w:after="140" w:before="320"/>
      </w:pPr>
      <w:bookmarkStart w:name="sec164" w:id="1"/>
      <w:r>
        <w:t xml:space="preserve">A.4 Bibliotecas de terceros</w:t>
      </w:r>
      <w:bookmarkEnd w:id="1"/>
    </w:p>
    <w:p>
      <w:pPr>
        <w:pStyle w:val="ListParagraph"/>
        <w:numPr>
          <w:ilvl w:val="0"/>
          <w:numId w:val="2"/>
        </w:numPr>
        <w:spacing w:after="80"/>
      </w:pPr>
      <w:r>
        <w:t xml:space="preserve">TCPDF — Nicola Asuni, licencia LGPL 2.1+ (generación de certificados PDF).</w:t>
      </w:r>
    </w:p>
    <w:p>
      <w:pPr>
        <w:pStyle w:val="ListParagraph"/>
        <w:numPr>
          <w:ilvl w:val="0"/>
          <w:numId w:val="2"/>
        </w:numPr>
        <w:spacing w:after="80"/>
      </w:pPr>
      <w:r>
        <w:t xml:space="preserve">Otras dependencias están listadas en el archivo composer.json del módulo.</w:t>
      </w:r>
    </w:p>
    <w:p>
      <w:pPr>
        <w:pStyle w:val="Heading2"/>
        <w:spacing w:after="140" w:before="320"/>
      </w:pPr>
      <w:bookmarkStart w:name="sec165" w:id="1"/>
      <w:r>
        <w:t xml:space="preserve">A.5 Datos personales</w:t>
      </w:r>
      <w:bookmarkEnd w:id="1"/>
    </w:p>
    <w:p>
      <w:pPr>
        <w:spacing w:after="160"/>
      </w:pPr>
      <w:r>
        <w:t xml:space="preserve">La política de privacidad completa está disponible en la página correspondiente en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Todos los derechos reservados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Manual de usuario v1.0.33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2026-07-31T20:30:27.087Z</dcterms:created>
  <dcterms:modified xsi:type="dcterms:W3CDTF">2026-07-31T20:30:27.089Z</dcterms:modified>
</cp:coreProperties>
</file>

<file path=docProps/custom.xml><?xml version="1.0" encoding="utf-8"?>
<Properties xmlns="http://schemas.openxmlformats.org/officeDocument/2006/custom-properties" xmlns:vt="http://schemas.openxmlformats.org/officeDocument/2006/docPropsVTypes"/>
</file>