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2376"/>
            <w:shd w:fill="0F172A"/>
            <w:vAlign w:val="center"/>
          </w:tcPr>
          <w:p>
            <w:r>
              <w:rPr>
                <w:b/>
                <w:color w:val="FFFFFF"/>
                <w:sz w:val="28"/>
              </w:rPr>
              <w:t xml:space="preserve"> CMMC PILOT </w:t>
            </w:r>
          </w:p>
        </w:tc>
      </w:tr>
    </w:tbl>
    <w:p/>
    <w:p>
      <w:pPr>
        <w:jc w:val="left"/>
      </w:pPr>
      <w:r>
        <w:rPr>
          <w:b/>
          <w:color w:val="0F172A"/>
          <w:sz w:val="56"/>
        </w:rPr>
        <w:t>System Security Plan</w:t>
      </w:r>
    </w:p>
    <w:p>
      <w:r>
        <w:rPr>
          <w:color w:val="475569"/>
          <w:sz w:val="30"/>
        </w:rPr>
        <w:t>CUI Processing Environment SSP</w:t>
      </w:r>
    </w:p>
    <w:p>
      <w:r>
        <w:rPr>
          <w:b/>
          <w:color w:val="1E40AF"/>
          <w:sz w:val="22"/>
        </w:rPr>
        <w:t>CMMC Level 2 / NIST SP 800-171 Documentation Package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8"/>
              </w:rPr>
              <w:t>System Name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b w:val="0"/>
                <w:color w:val="334155"/>
                <w:sz w:val="18"/>
              </w:rPr>
              <w:t>CUI Processing Environment</w:t>
            </w:r>
          </w:p>
        </w:tc>
      </w:tr>
      <w:tr>
        <w:tc>
          <w:tcPr>
            <w:tcW w:type="dxa" w:w="5040"/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8"/>
              </w:rPr>
              <w:t>System Owner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b w:val="0"/>
                <w:color w:val="334155"/>
                <w:sz w:val="18"/>
              </w:rPr>
              <w:t>IT/Security Owner</w:t>
            </w:r>
          </w:p>
        </w:tc>
      </w:tr>
      <w:tr>
        <w:tc>
          <w:tcPr>
            <w:tcW w:type="dxa" w:w="5040"/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8"/>
              </w:rPr>
              <w:t>Version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b w:val="0"/>
                <w:color w:val="334155"/>
                <w:sz w:val="18"/>
              </w:rPr>
              <w:t>1.0</w:t>
            </w:r>
          </w:p>
        </w:tc>
      </w:tr>
      <w:tr>
        <w:tc>
          <w:tcPr>
            <w:tcW w:type="dxa" w:w="5040"/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8"/>
              </w:rPr>
              <w:t>Status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b w:val="0"/>
                <w:color w:val="334155"/>
                <w:sz w:val="18"/>
              </w:rPr>
              <w:t>Draft</w:t>
            </w:r>
          </w:p>
        </w:tc>
      </w:tr>
      <w:tr>
        <w:tc>
          <w:tcPr>
            <w:tcW w:type="dxa" w:w="5040"/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8"/>
              </w:rPr>
              <w:t>Completeness Score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b w:val="0"/>
                <w:color w:val="334155"/>
                <w:sz w:val="18"/>
              </w:rPr>
              <w:t>90%</w:t>
            </w:r>
          </w:p>
        </w:tc>
      </w:tr>
      <w:tr>
        <w:tc>
          <w:tcPr>
            <w:tcW w:type="dxa" w:w="5040"/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8"/>
              </w:rPr>
              <w:t>Author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b w:val="0"/>
                <w:color w:val="334155"/>
                <w:sz w:val="18"/>
              </w:rPr>
              <w:t>CMMC Pilot</w:t>
            </w:r>
          </w:p>
        </w:tc>
      </w:tr>
      <w:tr>
        <w:tc>
          <w:tcPr>
            <w:tcW w:type="dxa" w:w="5040"/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8"/>
              </w:rPr>
              <w:t>Review Date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b w:val="0"/>
                <w:color w:val="334155"/>
                <w:sz w:val="18"/>
              </w:rPr>
              <w:t>Annual review or upon significant system change</w:t>
            </w:r>
          </w:p>
        </w:tc>
      </w:tr>
    </w:tbl>
    <w:p>
      <w:r>
        <w:br w:type="page"/>
      </w:r>
    </w:p>
    <w:p>
      <w:pPr>
        <w:pStyle w:val="Heading1"/>
      </w:pPr>
      <w:r>
        <w:t>Document Sections</w:t>
      </w:r>
    </w:p>
    <w:p>
      <w:pPr>
        <w:spacing w:after="60"/>
      </w:pPr>
      <w:r>
        <w:rPr>
          <w:sz w:val="20"/>
        </w:rPr>
        <w:t>1. Revision History</w:t>
      </w:r>
    </w:p>
    <w:p>
      <w:pPr>
        <w:spacing w:after="60"/>
      </w:pPr>
      <w:r>
        <w:rPr>
          <w:sz w:val="20"/>
        </w:rPr>
        <w:t>2. System Identification</w:t>
      </w:r>
    </w:p>
    <w:p>
      <w:pPr>
        <w:spacing w:after="60"/>
      </w:pPr>
      <w:r>
        <w:rPr>
          <w:sz w:val="20"/>
        </w:rPr>
        <w:t>3. System Description</w:t>
      </w:r>
    </w:p>
    <w:p>
      <w:pPr>
        <w:spacing w:after="60"/>
      </w:pPr>
      <w:r>
        <w:rPr>
          <w:sz w:val="20"/>
        </w:rPr>
        <w:t>4. System Boundary</w:t>
      </w:r>
    </w:p>
    <w:p>
      <w:pPr>
        <w:spacing w:after="60"/>
      </w:pPr>
      <w:r>
        <w:rPr>
          <w:sz w:val="20"/>
        </w:rPr>
        <w:t>5. Authorized Users</w:t>
      </w:r>
    </w:p>
    <w:p>
      <w:pPr>
        <w:spacing w:after="60"/>
      </w:pPr>
      <w:r>
        <w:rPr>
          <w:sz w:val="20"/>
        </w:rPr>
        <w:t>6. Environment of Operation</w:t>
      </w:r>
    </w:p>
    <w:p>
      <w:pPr>
        <w:spacing w:after="60"/>
      </w:pPr>
      <w:r>
        <w:rPr>
          <w:sz w:val="20"/>
        </w:rPr>
        <w:t>7. External Service Providers</w:t>
      </w:r>
    </w:p>
    <w:p>
      <w:pPr>
        <w:spacing w:after="60"/>
      </w:pPr>
      <w:r>
        <w:rPr>
          <w:sz w:val="20"/>
        </w:rPr>
        <w:t>8. Roles and Responsibilities</w:t>
      </w:r>
    </w:p>
    <w:p>
      <w:pPr>
        <w:spacing w:after="60"/>
      </w:pPr>
      <w:r>
        <w:rPr>
          <w:sz w:val="20"/>
        </w:rPr>
        <w:t>9. Control Implementations</w:t>
      </w:r>
    </w:p>
    <w:p>
      <w:pPr>
        <w:spacing w:after="60"/>
      </w:pPr>
      <w:r>
        <w:rPr>
          <w:sz w:val="20"/>
        </w:rPr>
        <w:t>10. Connections to Other Systems</w:t>
      </w:r>
    </w:p>
    <w:p>
      <w:pPr>
        <w:spacing w:after="60"/>
      </w:pPr>
      <w:r>
        <w:rPr>
          <w:sz w:val="20"/>
        </w:rPr>
        <w:t>11. CUI Data Flow</w:t>
      </w:r>
    </w:p>
    <w:p>
      <w:pPr>
        <w:spacing w:after="60"/>
      </w:pPr>
      <w:r>
        <w:rPr>
          <w:sz w:val="20"/>
        </w:rPr>
        <w:t>12. Network Architecture</w:t>
      </w:r>
    </w:p>
    <w:p>
      <w:pPr>
        <w:spacing w:after="60"/>
      </w:pPr>
      <w:r>
        <w:rPr>
          <w:sz w:val="20"/>
        </w:rPr>
        <w:t>13. Security Requirements</w:t>
      </w:r>
    </w:p>
    <w:p>
      <w:pPr>
        <w:spacing w:after="60"/>
      </w:pPr>
      <w:r>
        <w:rPr>
          <w:sz w:val="20"/>
        </w:rPr>
        <w:t>14. SSP Quality Checks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40A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520"/>
            <w:shd w:fill="1E40A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520"/>
            <w:shd w:fill="1E40A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520"/>
            <w:shd w:fill="1E40A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Review Cycle</w:t>
            </w:r>
          </w:p>
        </w:tc>
      </w:tr>
      <w:tr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color w:val="334155"/>
                <w:sz w:val="18"/>
              </w:rPr>
              <w:t>1.0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color w:val="334155"/>
                <w:sz w:val="18"/>
              </w:rPr>
              <w:t>Draft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color w:val="334155"/>
                <w:sz w:val="18"/>
              </w:rPr>
              <w:t>CMMC Pilot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color w:val="334155"/>
                <w:sz w:val="18"/>
              </w:rPr>
              <w:t>Annual review or upon significant system change</w:t>
            </w:r>
          </w:p>
        </w:tc>
      </w:tr>
    </w:tbl>
    <w:p>
      <w:pPr>
        <w:sectPr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System Identification</w:t>
      </w:r>
    </w:p>
    <w:p>
      <w:pPr>
        <w:spacing w:after="120" w:line="259" w:lineRule="auto"/>
      </w:pPr>
      <w:r>
        <w:t>System Name: CUI Processing Environment</w:t>
      </w:r>
    </w:p>
    <w:p>
      <w:pPr>
        <w:spacing w:after="120" w:line="259" w:lineRule="auto"/>
      </w:pPr>
      <w:r>
        <w:t>System Owner: IT/Security Owner</w:t>
      </w:r>
    </w:p>
    <w:p>
      <w:pPr>
        <w:spacing w:after="120" w:line="259" w:lineRule="auto"/>
      </w:pPr>
      <w:r>
        <w:t>Data Owner: Contracts Data Owner</w:t>
      </w:r>
    </w:p>
    <w:p>
      <w:pPr>
        <w:spacing w:after="120" w:line="259" w:lineRule="auto"/>
      </w:pPr>
      <w:r>
        <w:t>Version: 1.0</w:t>
      </w:r>
    </w:p>
    <w:p>
      <w:pPr>
        <w:spacing w:after="120" w:line="259" w:lineRule="auto"/>
      </w:pPr>
      <w:r>
        <w:t>Status: Draft</w:t>
      </w:r>
    </w:p>
    <w:p>
      <w:pPr>
        <w:sectPr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System Description</w:t>
      </w:r>
    </w:p>
    <w:p>
      <w:pPr>
        <w:spacing w:after="120" w:line="259" w:lineRule="auto"/>
      </w:pPr>
      <w:r>
        <w:t>The system includes managed endpoints, Microsoft 365 GCC High collaboration services, identity services, backup, monitoring, and support workflows used by authorized personnel.</w:t>
      </w:r>
    </w:p>
    <w:p/>
    <w:p>
      <w:pPr>
        <w:spacing w:after="120" w:line="259" w:lineRule="auto"/>
      </w:pPr>
      <w:r>
        <w:t>Business Function: Supports contract execution, engineering collaboration, and CUI document handling.</w:t>
      </w:r>
    </w:p>
    <w:p>
      <w:pPr>
        <w:sectPr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System Boundary</w:t>
      </w:r>
    </w:p>
    <w:p>
      <w:pPr>
        <w:spacing w:after="120" w:line="259" w:lineRule="auto"/>
      </w:pPr>
      <w:r>
        <w:t>The boundary includes managed Windows endpoints, Microsoft 365 GCC High, Entra ID, Intune, Defender, backup services, remote users, and approved external providers supporting CUI operations.</w:t>
      </w:r>
    </w:p>
    <w:p/>
    <w:p>
      <w:pPr>
        <w:spacing w:after="120" w:line="259" w:lineRule="auto"/>
      </w:pPr>
      <w:r>
        <w:t>The boundary includes systems, users, endpoints, cloud services, external providers, and data flows used to store, process, transmit, or protect CUI.</w:t>
      </w:r>
    </w:p>
    <w:p>
      <w:pPr>
        <w:sectPr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Authorized Users</w:t>
      </w:r>
    </w:p>
    <w:p>
      <w:pPr>
        <w:spacing w:after="120" w:line="259" w:lineRule="auto"/>
      </w:pPr>
      <w:r>
        <w:t>Authorized users include employees, contractors, administrators, system owners, and external support personnel approved through ServiceNow. Access is removed through HR termination ticket triggers same-day account disablement and access review..</w:t>
      </w:r>
    </w:p>
    <w:p>
      <w:pPr>
        <w:sectPr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Environment of Operation</w:t>
      </w:r>
    </w:p>
    <w:p>
      <w:pPr>
        <w:spacing w:after="120" w:line="259" w:lineRule="auto"/>
      </w:pPr>
      <w:r>
        <w:t>Locations: Akron, OH headquarters; remote engineering staff</w:t>
      </w:r>
    </w:p>
    <w:p>
      <w:pPr>
        <w:spacing w:after="120" w:line="259" w:lineRule="auto"/>
      </w:pPr>
      <w:r>
        <w:t>Infrastructure: Microsoft 365 GCC High; Azure Government; managed Windows endpoints; remote users</w:t>
      </w:r>
    </w:p>
    <w:p>
      <w:pPr>
        <w:spacing w:after="120" w:line="259" w:lineRule="auto"/>
      </w:pPr>
      <w:r>
        <w:t>Security Stack: Entra ID; Intune; Defender; Sentinel</w:t>
      </w:r>
    </w:p>
    <w:p>
      <w:pPr>
        <w:sectPr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External Service Providers</w:t>
      </w:r>
    </w:p>
    <w:p>
      <w:pPr>
        <w:spacing w:after="120" w:line="259" w:lineRule="auto"/>
      </w:pPr>
      <w:r>
        <w:t>MSP; Cloud Provider; Backup Vendor</w:t>
      </w:r>
    </w:p>
    <w:p>
      <w:pPr>
        <w:sectPr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Roles and Responsibilities</w:t>
      </w:r>
    </w:p>
    <w:p>
      <w:pPr>
        <w:spacing w:after="120" w:line="259" w:lineRule="auto"/>
      </w:pPr>
      <w:r>
        <w:t>System Owner: IT/Security Owner</w:t>
      </w:r>
    </w:p>
    <w:p>
      <w:pPr>
        <w:spacing w:after="120" w:line="259" w:lineRule="auto"/>
      </w:pPr>
      <w:r>
        <w:t>Data Owner: Contracts Data Owner</w:t>
      </w:r>
    </w:p>
    <w:p>
      <w:pPr>
        <w:spacing w:after="120" w:line="259" w:lineRule="auto"/>
      </w:pPr>
      <w:r>
        <w:t>IT/Security: operates identity, endpoint, monitoring, backup, and access controls.</w:t>
      </w:r>
    </w:p>
    <w:p>
      <w:pPr>
        <w:spacing w:after="120" w:line="259" w:lineRule="auto"/>
      </w:pPr>
      <w:r>
        <w:t>Compliance Owner: maintains SSP, policies, procedures, POA&amp;M references, and assessment evidence.</w:t>
      </w:r>
    </w:p>
    <w:p>
      <w:pPr>
        <w:sectPr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Control Implementations</w:t>
      </w:r>
    </w:p>
    <w:p>
      <w:pPr>
        <w:spacing w:after="120" w:line="259" w:lineRule="auto"/>
      </w:pPr>
      <w:r>
        <w:t>AC.L2-3.1.1 - Authorized Access Control</w:t>
      </w:r>
    </w:p>
    <w:p>
      <w:pPr>
        <w:spacing w:after="120" w:line="259" w:lineRule="auto"/>
      </w:pPr>
      <w:r>
        <w:t>Implementation: Example Defense Supplier addresses AC.L2-3.1.1 (Authorized Access Control) through access authorization, account provisioning, session control, and access review processes for the CUI environment. The control requirement is: Limit system access to authorized users, processes acting on behalf of authorized users, and devices, including other systems. The documented implementation uses the following company-specific context: ticketing system: ServiceNow; mfa solution: Microsoft Entra ID MFA with conditional access; endpoint management: Microsoft Intune; access removal process: HR termination ticket triggers same-day account disablement and access review.. Activities are tracked through ServiceNow when workflow evidence is required, and control operation is reviewed against the assessment objectives: a. Authorized users are identified. b. Processes acting on behalf of authorized users are identified. c. Devices and other systems authorized to connect are identified.</w:t>
      </w:r>
    </w:p>
    <w:p/>
    <w:p>
      <w:pPr>
        <w:spacing w:after="120" w:line="259" w:lineRule="auto"/>
      </w:pPr>
      <w:r>
        <w:t>AC.L2-3.1.10 - Session Lock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AC.L2-3.1.11 - Session Termination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AC.L2-3.1.12 - Remote Access Control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AC.L2-3.1.13 - Remote Access Confidentiality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AC.L2-3.1.14 - Remote Access Routing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AC.L2-3.1.15 - Privileged Remote Access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AC.L2-3.1.16 - Wireless Access Authorization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AC.L2-3.1.17 - Wireless Access Protection</w:t>
      </w:r>
    </w:p>
    <w:p>
      <w:pPr>
        <w:spacing w:after="120" w:line="259" w:lineRule="auto"/>
      </w:pPr>
      <w:r>
        <w:t>Implementation: Lloyd CMMC limits access for AC.L2-3.1.17 (Wireless Access Protection) by authorizing users, processes, and devices before access is granted to systems within the CUI environment described as: CUI is stored in GCC High Cloud PC. Access requests are initiated through Email and Forms and are aligned to the HR onboarding process: HR opens onboarding ticket after signed offer and manager approval.. Authentication is supported by Microsoft Entra ID MFA with conditional access. Endpoint access is governed through Microsoft Intune.</w:t>
      </w:r>
    </w:p>
    <w:p/>
    <w:p>
      <w:pPr>
        <w:spacing w:after="120" w:line="259" w:lineRule="auto"/>
      </w:pPr>
      <w:r>
        <w:t>AC.L2-3.1.18 - Mobile Device Connection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AC.L2-3.1.19 - Encrypt CUI on Mobile Devices</w:t>
      </w:r>
    </w:p>
    <w:p>
      <w:pPr>
        <w:spacing w:after="120" w:line="259" w:lineRule="auto"/>
      </w:pPr>
      <w:r>
        <w:t>Implementation: Example Defense Supplier limits access for AC.L2-3.1.19 (Encrypt CUI on Mobile Devices) by authorizing users, processes, and devices before access is granted to systems within the CUI environment described as: CUI is stored in GCC High SharePoint sites and processed on managed Windows endpoints.. Access requests are initiated through ServiceNow and are aligned to the HR onboarding process: HR opens onboarding ticket after signed offer and manager approval.. Authentication is supported by Microsoft Entra ID MFA with conditional access. Endpoint access is governed through Microsoft Intune.</w:t>
      </w:r>
    </w:p>
    <w:p/>
    <w:p>
      <w:pPr>
        <w:spacing w:after="120" w:line="259" w:lineRule="auto"/>
      </w:pPr>
      <w:r>
        <w:t>AC.L2-3.1.2 - Transaction and Function Control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AC.L2-3.1.20 - External System Connections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AC.L2-3.1.21 - Portable Storage Use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AC.L2-3.1.22 - Control Public Information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AC.L2-3.1.3 - Control CUI Flow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AC.L2-3.1.4 - Separation of Duties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AC.L2-3.1.5 - Least Privilege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AC.L2-3.1.6 - Non-Privileged Account Use</w:t>
      </w:r>
    </w:p>
    <w:p>
      <w:pPr>
        <w:spacing w:after="120" w:line="259" w:lineRule="auto"/>
      </w:pPr>
      <w:r>
        <w:t>Implementation: Example Defense Supplier limits access for AC.L2-3.1.6 (Non-Privileged Account Use) by authorizing users, processes, and devices before access is granted to systems within the CUI environment described as: CUI is stored in GCC High SharePoint sites and processed on managed Windows endpoints.. Access requests are initiated through ServiceNow and are aligned to the HR onboarding process: HR opens onboarding ticket after signed offer and manager approval.. Authentication is supported by Microsoft Entra ID MFA with conditional access. Endpoint access is governed through Microsoft Intune.</w:t>
      </w:r>
    </w:p>
    <w:p/>
    <w:p>
      <w:pPr>
        <w:spacing w:after="120" w:line="259" w:lineRule="auto"/>
      </w:pPr>
      <w:r>
        <w:t>AC.L2-3.1.7 - Privileged Functions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AC.L2-3.1.8 - Unsuccessful Logon Attempts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AC.L2-3.1.9 - Privacy and Security Notices</w:t>
      </w:r>
    </w:p>
    <w:p>
      <w:pPr>
        <w:spacing w:after="120" w:line="259" w:lineRule="auto"/>
      </w:pPr>
      <w:r>
        <w:t>Implementation: Example Defense Supplier addresses AC.L2-3.1.9 (Privacy and Security Notices) through access authorization, account provisioning, session control, and access review processes for the CUI environment. The control requirement is: Provide privacy and security notices consistent with applicable CUI rules. The documented implementation uses the following company-specific context: ticketing system: ServiceNow; mfa solution: Microsoft Entra ID MFA with conditional access; endpoint management: Microsoft Intune; access removal process: HR termination ticket triggers same-day account disablement and access review.. Activities are tracked through ServiceNow when workflow evidence is required, and control operation is reviewed against the assessment objectives: a. Privacy and Security Notices is documented and implemented. b. Privacy and Security Notices is reviewed for assessment evidence.</w:t>
      </w:r>
    </w:p>
    <w:p/>
    <w:p>
      <w:pPr>
        <w:spacing w:after="120" w:line="259" w:lineRule="auto"/>
      </w:pPr>
      <w:r>
        <w:t>AT.L2-3.2.1 - Security Literacy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AT.L2-3.2.2 - Role-Based Training</w:t>
      </w:r>
    </w:p>
    <w:p>
      <w:pPr>
        <w:spacing w:after="120" w:line="259" w:lineRule="auto"/>
      </w:pPr>
      <w:r>
        <w:t>Implementation: Example Defense Supplier addresses AT.L2-3.2.2 (Role-Based Training) through security awareness, role-based training, and workforce acknowledgement processes for the CUI environment. The control requirement is: Ensure personnel are trained to carry out assigned information security-related duties and responsibilities. The documented implementation uses the following company-specific context: hr onboarding process: HR opens onboarding ticket after signed offer and manager approval.; ticketing system: ServiceNow. Activities are tracked through ServiceNow when workflow evidence is required, and control operation is reviewed against the assessment objectives: a. Role-Based Training is documented and implemented. b. Role-Based Training is reviewed for assessment evidence.</w:t>
      </w:r>
    </w:p>
    <w:p/>
    <w:p>
      <w:pPr>
        <w:spacing w:after="120" w:line="259" w:lineRule="auto"/>
      </w:pPr>
      <w:r>
        <w:t>AT.L2-3.2.3 - Insider Threat Awareness</w:t>
      </w:r>
    </w:p>
    <w:p>
      <w:pPr>
        <w:spacing w:after="120" w:line="259" w:lineRule="auto"/>
      </w:pPr>
      <w:r>
        <w:t>Implementation: Example Defense Supplier addresses AT.L2-3.2.3 (Insider Threat Awareness) through security awareness, role-based training, and workforce acknowledgement processes for the CUI environment. The control requirement is: Provide security awareness training on recognizing and reporting potential indicators of insider threat. The documented implementation uses the following company-specific context: hr onboarding process: HR opens onboarding ticket after signed offer and manager approval.; ticketing system: ServiceNow. Activities are tracked through ServiceNow when workflow evidence is required, and control operation is reviewed against the assessment objectives: a. Insider Threat Awareness is documented and implemented. b. Insider Threat Awareness is reviewed for assessment evidence.</w:t>
      </w:r>
    </w:p>
    <w:p/>
    <w:p>
      <w:pPr>
        <w:spacing w:after="120" w:line="259" w:lineRule="auto"/>
      </w:pPr>
      <w:r>
        <w:t>AU.L2-3.3.1 - System Auditing</w:t>
      </w:r>
    </w:p>
    <w:p>
      <w:pPr>
        <w:spacing w:after="120" w:line="259" w:lineRule="auto"/>
      </w:pPr>
      <w:r>
        <w:t>Implementation: Example Defense Supplier addresses AU.L2-3.3.1 (System Auditing) through audit logging, event review, log retention, and investigation processes for the CUI environment. The control requirement is: Create and retain system audit logs and records to enable monitoring, analysis, investigation, and reporting of unlawful or unauthorized activity. The documented implementation uses the following company-specific context: cloud environment: Microsoft 365 GCC High and Azure Government; endpoint management: Microsoft Intune; ticketing system: ServiceNow. Activities are tracked through ServiceNow when workflow evidence is required, and control operation is reviewed against the assessment objectives: a. System Auditing is documented and implemented. b. System Auditing is reviewed for assessment evidence.</w:t>
      </w:r>
    </w:p>
    <w:p/>
    <w:p>
      <w:pPr>
        <w:spacing w:after="120" w:line="259" w:lineRule="auto"/>
      </w:pPr>
      <w:r>
        <w:t>AU.L2-3.3.2 - User Accountability</w:t>
      </w:r>
    </w:p>
    <w:p>
      <w:pPr>
        <w:spacing w:after="120" w:line="259" w:lineRule="auto"/>
      </w:pPr>
      <w:r>
        <w:t>Implementation: Example Defense Supplier limits access for AU.L2-3.3.2 (User Accountability) by authorizing users, processes, and devices before access is granted to systems within the CUI environment described as: CUI is stored in GCC High SharePoint sites and processed on managed Windows endpoints.. Access requests are initiated through ServiceNow and are aligned to the HR onboarding process: HR opens onboarding ticket after signed offer and manager approval.. Authentication is supported by Microsoft Entra ID MFA with conditional access. Endpoint access is governed through Microsoft Intune.</w:t>
      </w:r>
    </w:p>
    <w:p/>
    <w:p>
      <w:pPr>
        <w:spacing w:after="120" w:line="259" w:lineRule="auto"/>
      </w:pPr>
      <w:r>
        <w:t>AU.L2-3.3.3 - Event Review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AU.L2-3.3.4 - Audit Failure Alerting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AU.L2-3.3.5 - Audit Correlation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AU.L2-3.3.6 - Reduction and Reporting</w:t>
      </w:r>
    </w:p>
    <w:p>
      <w:pPr>
        <w:spacing w:after="120" w:line="259" w:lineRule="auto"/>
      </w:pPr>
      <w:r>
        <w:t>Implementation: AVCOR addresses AU.L2-3.3.6 (Reduction and Reporting) through audit logging, event review, log retention, and investigation processes for the CUI environment. The control requirement is: Provide audit record reduction and report generation to support analysis and reporting. The documented implementation uses the following company-specific context: cloud environment: Microsoft 365 GCC High and Azure Government; endpoint management: Microsoft Intune; ticketing system: Email and Form. Activities are tracked through Email and Form when workflow evidence is required, and control operation is reviewed against the assessment objectives: a. Reduction and Reporting is documented and implemented. b. Reduction and Reporting is reviewed for assessment evidence.</w:t>
      </w:r>
    </w:p>
    <w:p/>
    <w:p>
      <w:pPr>
        <w:spacing w:after="120" w:line="259" w:lineRule="auto"/>
      </w:pPr>
      <w:r>
        <w:t>AU.L2-3.3.7 - Authoritative Time Source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AU.L2-3.3.8 - Audit Protection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AU.L2-3.3.9 - Audit Management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CA.L2-3.12.1 - Security Control Assessment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CA.L2-3.12.2 - Plan of Action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CA.L2-3.12.3 - Control Monitoring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CA.L2-3.12.4 - System Security Plan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CM.L2-3.4.1 - Baseline Configuration</w:t>
      </w:r>
    </w:p>
    <w:p>
      <w:pPr>
        <w:spacing w:after="120" w:line="259" w:lineRule="auto"/>
      </w:pPr>
      <w:r>
        <w:t>Implementation: Example Defense Supplier addresses CM.L2-3.4.1 (Baseline Configuration) through baseline configuration, change approval, asset inventory, and configuration enforcement processes for the CUI environment. The control requirement is: Establish and maintain baseline configurations and inventories of organizational systems. The documented implementation uses the following company-specific context: endpoint management: Microsoft Intune; ticketing system: ServiceNow; cloud environment: Microsoft 365 GCC High and Azure Government. Activities are tracked through ServiceNow when workflow evidence is required, and control operation is reviewed against the assessment objectives: a. Baseline Configuration is documented and implemented. b. Baseline Configuration is reviewed for assessment evidence.</w:t>
      </w:r>
    </w:p>
    <w:p/>
    <w:p>
      <w:pPr>
        <w:spacing w:after="120" w:line="259" w:lineRule="auto"/>
      </w:pPr>
      <w:r>
        <w:t>CM.L2-3.4.2 - Security Configuration Enforcement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CM.L2-3.4.3 - System Change Management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CM.L2-3.4.4 - Security Impact Analysis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CM.L2-3.4.5 - Access Restrictions for Change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CM.L2-3.4.6 - Least Functionality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CM.L2-3.4.7 - Nonessential Functionality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CM.L2-3.4.8 - Application Execution Policy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CM.L2-3.4.9 - User-Installed Software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IA.L2-3.5.1 - Identify Users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IA.L2-3.5.10 - Cryptographic Password Storage</w:t>
      </w:r>
    </w:p>
    <w:p>
      <w:pPr>
        <w:spacing w:after="120" w:line="259" w:lineRule="auto"/>
      </w:pPr>
      <w:r>
        <w:t>Implementation: Example Defense Supplier addresses IA.L2-3.5.10 (Cryptographic Password Storage) through identity lifecycle, authentication, MFA, and credential management processes for the CUI environment. The control requirement is: Store and transmit only cryptographically protected passwords. The documented implementation uses the following company-specific context: mfa solution: Microsoft Entra ID MFA with conditional access; ticketing system: ServiceNow; hr onboarding process: HR opens onboarding ticket after signed offer and manager approval.; access removal process: HR termination ticket triggers same-day account disablement and access review.. Activities are tracked through ServiceNow when workflow evidence is required, and control operation is reviewed against the assessment objectives: a. Cryptographic Password Storage is documented and implemented. b. Cryptographic Password Storage is reviewed for assessment evidence.</w:t>
      </w:r>
    </w:p>
    <w:p/>
    <w:p>
      <w:pPr>
        <w:spacing w:after="120" w:line="259" w:lineRule="auto"/>
      </w:pPr>
      <w:r>
        <w:t>IA.L2-3.5.11 - Obscure Feedback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IA.L2-3.5.2 - Authenticate Users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IA.L2-3.5.3 - Multifactor Authentication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IA.L2-3.5.4 - Replay-Resistant Authentication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IA.L2-3.5.5 - Identifier Reuse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IA.L2-3.5.6 - Identifier Disablement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IA.L2-3.5.7 - Password Complexity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IA.L2-3.5.8 - Password Reuse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IA.L2-3.5.9 - Temporary Passwords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IR.L2-3.6.1 - Incident Handling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IR.L2-3.6.2 - Incident Reporting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IR.L2-3.6.3 - Incident Response Testing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MA.L2-3.7.1 - Perform Maintenance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MA.L2-3.7.2 - System Maintenance Control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MA.L2-3.7.3 - Equipment Sanitization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MA.L2-3.7.4 - Media Inspection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MA.L2-3.7.5 - Nonlocal Maintenance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MA.L2-3.7.6 - Maintenance Personnel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MP.L2-3.8.1 - Media Protection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MP.L2-3.8.2 - Media Access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MP.L2-3.8.3 - Media Sanitization</w:t>
      </w:r>
    </w:p>
    <w:p>
      <w:pPr>
        <w:spacing w:after="120" w:line="259" w:lineRule="auto"/>
      </w:pPr>
      <w:r>
        <w:t>Implementation: Example Defense Supplier addresses MP.L2-3.8.3 (Media Sanitization) through CUI media handling, marking, transport, sanitization, and backup protection processes for the CUI environment. The control requirement is: Sanitize or destroy system media containing CUI before disposal or release for reuse. The documented implementation uses the following company-specific context: cui environment: CUI is stored in GCC High SharePoint sites and processed on managed Windows endpoints.; backup solution: Azure Backup with immutable retention; endpoint management: Microsoft Intune. Activities are tracked through ServiceNow when workflow evidence is required, and control operation is reviewed against the assessment objectives: a. Media Sanitization is documented and implemented. b. Media Sanitization is reviewed for assessment evidence.</w:t>
      </w:r>
    </w:p>
    <w:p/>
    <w:p>
      <w:pPr>
        <w:spacing w:after="120" w:line="259" w:lineRule="auto"/>
      </w:pPr>
      <w:r>
        <w:t>MP.L2-3.8.4 - Media Markings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MP.L2-3.8.5 - Media Accountability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MP.L2-3.8.6 - Portable Storage Encryption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MP.L2-3.8.7 - Removable Media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MP.L2-3.8.8 - Shared Media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MP.L2-3.8.9 - Protect Backups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PE.L2-3.10.1 - Physical Access Authorization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PE.L2-3.10.2 - Monitor Facility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PE.L2-3.10.3 - Escort Visitors</w:t>
      </w:r>
    </w:p>
    <w:p>
      <w:pPr>
        <w:spacing w:after="120" w:line="259" w:lineRule="auto"/>
      </w:pPr>
      <w:r>
        <w:t>Implementation: Example Defense Supplier addresses PE.L2-3.10.3 (Escort Visitors) through facility access authorization, visitor management, physical monitoring, and alternate worksite processes for the CUI environment. The control requirement is: Escort visitors and monitor visitor activity. The documented implementation uses the following company-specific context: locations: Akron, OH headquarters; remote engineering staff; cui environment: CUI is stored in GCC High SharePoint sites and processed on managed Windows endpoints.; hr onboarding process: HR opens onboarding ticket after signed offer and manager approval.. Activities are tracked through ServiceNow when workflow evidence is required, and control operation is reviewed against the assessment objectives: a. Escort Visitors is documented and implemented. b. Escort Visitors is reviewed for assessment evidence.</w:t>
      </w:r>
    </w:p>
    <w:p/>
    <w:p>
      <w:pPr>
        <w:spacing w:after="120" w:line="259" w:lineRule="auto"/>
      </w:pPr>
      <w:r>
        <w:t>PE.L2-3.10.4 - Physical Access Logs</w:t>
      </w:r>
    </w:p>
    <w:p>
      <w:pPr>
        <w:spacing w:after="120" w:line="259" w:lineRule="auto"/>
      </w:pPr>
      <w:r>
        <w:t>Implementation: Example Defense Supplier addresses PE.L2-3.10.4 (Physical Access Logs) through facility access authorization, visitor management, physical monitoring, and alternate worksite processes for the CUI environment. The control requirement is: Maintain audit logs of physical access. The documented implementation uses the following company-specific context: locations: Akron, OH headquarters; remote engineering staff; cui environment: CUI is stored in GCC High SharePoint sites and processed on managed Windows endpoints.; hr onboarding process: HR opens onboarding ticket after signed offer and manager approval.. Activities are tracked through ServiceNow when workflow evidence is required, and control operation is reviewed against the assessment objectives: a. Physical Access Logs is documented and implemented. b. Physical Access Logs is reviewed for assessment evidence.</w:t>
      </w:r>
    </w:p>
    <w:p/>
    <w:p>
      <w:pPr>
        <w:spacing w:after="120" w:line="259" w:lineRule="auto"/>
      </w:pPr>
      <w:r>
        <w:t>PE.L2-3.10.5 - Manage Physical Access Devices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PE.L2-3.10.6 - Alternate Work Sites</w:t>
      </w:r>
    </w:p>
    <w:p>
      <w:pPr>
        <w:spacing w:after="120" w:line="259" w:lineRule="auto"/>
      </w:pPr>
      <w:r>
        <w:t>Implementation: Example Defense Supplier addresses PE.L2-3.10.6 (Alternate Work Sites) through facility access authorization, visitor management, physical monitoring, and alternate worksite processes for the CUI environment. The control requirement is: Enforce safeguarding measures for CUI at alternate work sites. The documented implementation uses the following company-specific context: locations: Akron, OH headquarters; remote engineering staff; cui environment: CUI is stored in GCC High SharePoint sites and processed on managed Windows endpoints.; hr onboarding process: HR opens onboarding ticket after signed offer and manager approval.. Activities are tracked through ServiceNow when workflow evidence is required, and control operation is reviewed against the assessment objectives: a. Alternate Work Sites is documented and implemented. b. Alternate Work Sites is reviewed for assessment evidence.</w:t>
      </w:r>
    </w:p>
    <w:p/>
    <w:p>
      <w:pPr>
        <w:spacing w:after="120" w:line="259" w:lineRule="auto"/>
      </w:pPr>
      <w:r>
        <w:t>PS.L2-3.9.1 - Screen Individuals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PS.L2-3.9.2 - Personnel Actions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RA.L2-3.11.1 - Risk Assessments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RA.L2-3.11.2 - Vulnerability Scanning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RA.L2-3.11.3 - Vulnerability Remediation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SC.L2-3.13.1 - Boundary Protection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SC.L2-3.13.10 - Key Management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SC.L2-3.13.11 - FIPS-Validated Cryptography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SC.L2-3.13.12 - Collaborative Device Control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SC.L2-3.13.13 - Mobile Code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SC.L2-3.13.14 - VoIP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SC.L2-3.13.15 - Communications Authenticity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SC.L2-3.13.16 - Data at Rest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SC.L2-3.13.2 - Security Engineering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SC.L2-3.13.3 - Role Separation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SC.L2-3.13.4 - Shared Resource Control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SC.L2-3.13.5 - Public Access System Separation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SC.L2-3.13.6 - Network Communication Deny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SC.L2-3.13.7 - Split Tunneling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SC.L2-3.13.8 - Data in Transit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SC.L2-3.13.9 - Connection Termination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SI.L2-3.14.1 - Flaw Remediation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SI.L2-3.14.2 - Malicious Code Protection</w:t>
      </w:r>
    </w:p>
    <w:p>
      <w:pPr>
        <w:spacing w:after="120" w:line="259" w:lineRule="auto"/>
      </w:pPr>
      <w:r>
        <w:t>Implementation: Example Defense Supplier addresses SI.L2-3.14.2 (Malicious Code Protection) through vulnerability remediation, malicious code protection, alert monitoring, and system integrity processes for the CUI environment. The control requirement is: Provide protection from malicious code at designated locations. The documented implementation uses the following company-specific context: endpoint management: Microsoft Intune; ticketing system: ServiceNow; msp involvement: MSP supports Microsoft 365, endpoint management, and backup monitoring.. Activities are tracked through ServiceNow when workflow evidence is required, and control operation is reviewed against the assessment objectives: a. Malicious Code Protection is documented and implemented. b. Malicious Code Protection is reviewed for assessment evidence.</w:t>
      </w:r>
    </w:p>
    <w:p/>
    <w:p>
      <w:pPr>
        <w:spacing w:after="120" w:line="259" w:lineRule="auto"/>
      </w:pPr>
      <w:r>
        <w:t>SI.L2-3.14.3 - Monitor Security Alerts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SI.L2-3.14.4 - Update Malicious Code Protection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SI.L2-3.14.5 - System and File Scanning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SI.L2-3.14.6 - Monitor Communications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/>
    <w:p>
      <w:pPr>
        <w:spacing w:after="120" w:line="259" w:lineRule="auto"/>
      </w:pPr>
      <w:r>
        <w:t>SI.L2-3.14.7 - Identify Unauthorized Use</w:t>
      </w:r>
    </w:p>
    <w:p>
      <w:pPr>
        <w:spacing w:after="120" w:line="259" w:lineRule="auto"/>
      </w:pPr>
      <w:r>
        <w:t>Implementation: Implementation statement has not been generated; document during SSP review.</w:t>
      </w:r>
    </w:p>
    <w:p>
      <w:pPr>
        <w:sectPr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Connections to Other Systems</w:t>
      </w:r>
    </w:p>
    <w:p>
      <w:pPr>
        <w:spacing w:after="120" w:line="259" w:lineRule="auto"/>
      </w:pPr>
      <w:r>
        <w:t>Connections include Microsoft 365 GCC High; Azure Government; managed Windows endpoints; remote users, identity services, managed endpoints, backup services, security monitoring, and approved external provider connections. Each connection must have an owner, purpose, authorization, and CUI impact review.</w:t>
      </w:r>
    </w:p>
    <w:p>
      <w:pPr>
        <w:sectPr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CUI Data Flow</w:t>
      </w:r>
    </w:p>
    <w:p>
      <w:pPr>
        <w:spacing w:after="120" w:line="259" w:lineRule="auto"/>
      </w:pPr>
      <w:r>
        <w:t>CUI is created at: CUI is created by authorized employees during contract, engineering, and project support activities.. CUI is stored in: CUI is stored in GCC High SharePoint libraries and approved managed endpoints.. CUI is transmitted through: CUI is transmitted through approved encrypted collaboration and email channels.. CUI is archived in: CUI is archived in approved backup and retention repositories..</w:t>
      </w:r>
    </w:p>
    <w:p>
      <w:pPr>
        <w:sectPr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Network Architecture</w:t>
      </w:r>
    </w:p>
    <w:p>
      <w:pPr>
        <w:spacing w:after="120" w:line="259" w:lineRule="auto"/>
      </w:pPr>
      <w:r>
        <w:t>Architecture Narrative:</w:t>
      </w:r>
    </w:p>
    <w:p>
      <w:pPr>
        <w:spacing w:after="120" w:line="259" w:lineRule="auto"/>
      </w:pPr>
      <w:r>
        <w:t>Remote users authenticate through Microsoft Entra ID MFA with conditional access to access Microsoft 365 GCC High; Azure Government; managed Windows endpoints; remote users. Managed endpoints are controlled by Microsoft Intune and monitored by the security stack.</w:t>
      </w:r>
    </w:p>
    <w:p/>
    <w:p>
      <w:pPr>
        <w:spacing w:after="120" w:line="259" w:lineRule="auto"/>
      </w:pPr>
      <w:r>
        <w:t>Diagram:</w:t>
      </w:r>
    </w:p>
    <w:p>
      <w:pPr>
        <w:spacing w:after="120" w:line="259" w:lineRule="auto"/>
      </w:pPr>
      <w:r>
        <w:t>Remote Users</w:t>
      </w:r>
    </w:p>
    <w:p>
      <w:pPr>
        <w:spacing w:after="120" w:line="259" w:lineRule="auto"/>
      </w:pPr>
      <w:r>
        <w:t>|</w:t>
      </w:r>
    </w:p>
    <w:p>
      <w:pPr>
        <w:spacing w:after="120" w:line="259" w:lineRule="auto"/>
      </w:pPr>
      <w:r>
        <w:t>Microsoft Entra ID MFA with conditional access</w:t>
      </w:r>
    </w:p>
    <w:p>
      <w:pPr>
        <w:spacing w:after="120" w:line="259" w:lineRule="auto"/>
      </w:pPr>
      <w:r>
        <w:t>|</w:t>
      </w:r>
    </w:p>
    <w:p>
      <w:pPr>
        <w:spacing w:after="120" w:line="259" w:lineRule="auto"/>
      </w:pPr>
      <w:r>
        <w:t>Microsoft 365 GCC High; Azure Government; managed Windows endpoints; remote users</w:t>
      </w:r>
    </w:p>
    <w:p>
      <w:pPr>
        <w:spacing w:after="120" w:line="259" w:lineRule="auto"/>
      </w:pPr>
      <w:r>
        <w:t>|</w:t>
      </w:r>
    </w:p>
    <w:p>
      <w:pPr>
        <w:spacing w:after="120" w:line="259" w:lineRule="auto"/>
      </w:pPr>
      <w:r>
        <w:t>CUI is stored in GCC High SharePoint sites and processed on managed Windows endpoints.</w:t>
      </w:r>
    </w:p>
    <w:p>
      <w:pPr>
        <w:spacing w:after="120" w:line="259" w:lineRule="auto"/>
      </w:pPr>
      <w:r>
        <w:t>|</w:t>
      </w:r>
    </w:p>
    <w:p>
      <w:pPr>
        <w:spacing w:after="120" w:line="259" w:lineRule="auto"/>
      </w:pPr>
      <w:r>
        <w:t>Microsoft Intune</w:t>
      </w:r>
    </w:p>
    <w:p>
      <w:pPr>
        <w:spacing w:after="120" w:line="259" w:lineRule="auto"/>
      </w:pPr>
      <w:r>
        <w:t>|</w:t>
      </w:r>
    </w:p>
    <w:p>
      <w:pPr>
        <w:spacing w:after="120" w:line="259" w:lineRule="auto"/>
      </w:pPr>
      <w:r>
        <w:t>Entra ID; Intune; Defender; Sentinel</w:t>
      </w:r>
    </w:p>
    <w:p>
      <w:pPr>
        <w:sectPr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Security Requirements</w:t>
      </w:r>
    </w:p>
    <w:p>
      <w:pPr>
        <w:spacing w:after="120" w:line="259" w:lineRule="auto"/>
      </w:pPr>
      <w:r>
        <w:t>The SSP maps CMMC Level 2 / NIST SP 800-171 requirements across AC, AT, AU, CM, IA, IR, MA, MP, PE, PS, RA, CA, SC, and SI. Detailed implementation statements are pulled into the Control Implementations section.</w:t>
      </w:r>
    </w:p>
    <w:p>
      <w:pPr>
        <w:sectPr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SSP Quality Checks</w:t>
      </w:r>
    </w:p>
    <w:p>
      <w:pPr>
        <w:spacing w:after="120" w:line="259" w:lineRule="auto"/>
      </w:pPr>
      <w:r>
        <w:t>Missing boundary: No</w:t>
      </w:r>
    </w:p>
    <w:p>
      <w:pPr>
        <w:spacing w:after="120" w:line="259" w:lineRule="auto"/>
      </w:pPr>
      <w:r>
        <w:t>Missing owner: No</w:t>
      </w:r>
    </w:p>
    <w:p>
      <w:pPr>
        <w:spacing w:after="120" w:line="259" w:lineRule="auto"/>
      </w:pPr>
      <w:r>
        <w:t>Missing CUI description: No</w:t>
      </w:r>
    </w:p>
    <w:p>
      <w:pPr>
        <w:spacing w:after="120" w:line="259" w:lineRule="auto"/>
      </w:pPr>
      <w:r>
        <w:t>Missing external service provider: No</w:t>
      </w:r>
    </w:p>
    <w:p>
      <w:pPr>
        <w:spacing w:after="120" w:line="259" w:lineRule="auto"/>
      </w:pPr>
      <w:r>
        <w:t>Missing control implementation: Review Control Implementations section for placeholder text.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CMMC Pilot | System Security Plan | Controlled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1944"/>
          <w:shd w:fill="0F172A"/>
          <w:vAlign w:val="center"/>
        </w:tcPr>
        <w:p>
          <w:r>
            <w:rPr>
              <w:b/>
              <w:color w:val="FFFFFF"/>
              <w:sz w:val="16"/>
            </w:rPr>
            <w:t xml:space="preserve"> CMMC PILOT </w:t>
          </w:r>
        </w:p>
      </w:tc>
      <w:tc>
        <w:tcPr>
          <w:tcW w:type="dxa" w:w="4896"/>
        </w:tcPr>
        <w:p>
          <w:pPr>
            <w:spacing w:after="0"/>
            <w:jc w:val="right"/>
          </w:pPr>
          <w:r>
            <w:rPr>
              <w:b/>
              <w:color w:val="334155"/>
              <w:sz w:val="18"/>
            </w:rPr>
            <w:t>CUI Processing Environment SSP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