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2D30" w14:textId="61914A80" w:rsidR="002C7AF3" w:rsidRDefault="002C7AF3">
      <w:pPr>
        <w:pStyle w:val="Nagwek1"/>
        <w:rPr>
          <w:lang w:val="pl-PL"/>
        </w:rPr>
      </w:pPr>
      <w:r>
        <w:rPr>
          <w:lang w:val="pl-PL"/>
        </w:rPr>
        <w:t>Tomasz Pruś</w:t>
      </w:r>
    </w:p>
    <w:p w14:paraId="1DE3EFF6" w14:textId="18F1A906" w:rsidR="002C7AF3" w:rsidRDefault="002C7AF3" w:rsidP="002C7AF3">
      <w:pPr>
        <w:pStyle w:val="Textbody"/>
        <w:rPr>
          <w:lang w:val="pl-PL"/>
        </w:rPr>
      </w:pPr>
      <w:r>
        <w:rPr>
          <w:lang w:val="pl-PL"/>
        </w:rPr>
        <w:t>Badacz niezależny, Łódź, Polska</w:t>
      </w:r>
    </w:p>
    <w:p w14:paraId="09EDFEBC" w14:textId="4D8A0377" w:rsidR="002C7AF3" w:rsidRPr="00C743D3" w:rsidRDefault="002C7AF3" w:rsidP="002C7AF3">
      <w:pPr>
        <w:pStyle w:val="Textbody"/>
        <w:rPr>
          <w:lang w:val="pl-PL"/>
        </w:rPr>
      </w:pPr>
      <w:r w:rsidRPr="00C743D3">
        <w:rPr>
          <w:lang w:val="pl-PL"/>
        </w:rPr>
        <w:t>mail: prus.tomasz.1972@gmail.com</w:t>
      </w:r>
    </w:p>
    <w:p w14:paraId="6D700E2E" w14:textId="77777777" w:rsidR="002C7AF3" w:rsidRPr="00C743D3" w:rsidRDefault="002C7AF3" w:rsidP="00F8555F">
      <w:pPr>
        <w:rPr>
          <w:lang w:val="pl-PL"/>
        </w:rPr>
      </w:pPr>
    </w:p>
    <w:p w14:paraId="02BAAB4E" w14:textId="1A5C9941" w:rsidR="000D04F5" w:rsidRPr="00916C75" w:rsidRDefault="007A7DBF">
      <w:pPr>
        <w:pStyle w:val="Nagwek1"/>
        <w:rPr>
          <w:lang w:val="pl-PL"/>
        </w:rPr>
      </w:pPr>
      <w:r w:rsidRPr="00916C75">
        <w:rPr>
          <w:lang w:val="pl-PL"/>
        </w:rPr>
        <w:t xml:space="preserve">Dwukierunkowa uwaga skrośna nie realizuje interakcji </w:t>
      </w:r>
      <w:proofErr w:type="spellStart"/>
      <w:r w:rsidRPr="00916C75">
        <w:rPr>
          <w:lang w:val="pl-PL"/>
        </w:rPr>
        <w:t>międzymodalnej</w:t>
      </w:r>
      <w:proofErr w:type="spellEnd"/>
      <w:r w:rsidRPr="00916C75">
        <w:rPr>
          <w:lang w:val="pl-PL"/>
        </w:rPr>
        <w:t>: analiza degeneracji architektonicznej i dekompozycja wariancji w fuzji obrazu histopatologicznego z danymi klinicznymi</w:t>
      </w:r>
    </w:p>
    <w:p w14:paraId="4E4A6FC8" w14:textId="77777777" w:rsidR="000D04F5" w:rsidRPr="00916C75" w:rsidRDefault="000D04F5">
      <w:pPr>
        <w:pStyle w:val="HorizontalLine"/>
        <w:rPr>
          <w:lang w:val="pl-PL"/>
        </w:rPr>
      </w:pPr>
    </w:p>
    <w:p w14:paraId="18AF1817" w14:textId="77777777" w:rsidR="000D04F5" w:rsidRPr="00916C75" w:rsidRDefault="007A7DBF">
      <w:pPr>
        <w:pStyle w:val="Nagwek2"/>
        <w:rPr>
          <w:lang w:val="pl-PL"/>
        </w:rPr>
      </w:pPr>
      <w:r w:rsidRPr="00916C75">
        <w:rPr>
          <w:lang w:val="pl-PL"/>
        </w:rPr>
        <w:t>Streszczenie</w:t>
      </w:r>
    </w:p>
    <w:p w14:paraId="103BD8F7" w14:textId="44A6A1CA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Wprowadzenie.</w:t>
      </w:r>
      <w:r w:rsidRPr="00916C75">
        <w:rPr>
          <w:lang w:val="pl-PL"/>
        </w:rPr>
        <w:t xml:space="preserve"> Fuzja obrazu histopatologicznego z danymi klinicznymi jest coraz częściej realizowana przez moduły uwagi skrośnej (cross-</w:t>
      </w:r>
      <w:proofErr w:type="spellStart"/>
      <w:r w:rsidRPr="00916C75">
        <w:rPr>
          <w:lang w:val="pl-PL"/>
        </w:rPr>
        <w:t>attention</w:t>
      </w:r>
      <w:proofErr w:type="spellEnd"/>
      <w:r w:rsidRPr="00916C75">
        <w:rPr>
          <w:lang w:val="pl-PL"/>
        </w:rPr>
        <w:t>), które mają umożliwiać jednej modalności selektywne „przepytanie" drugiej. Weryfikacja, czy mechanizm rzeczywiście wykonuje deklarowaną operację, jest w literaturze rzadka</w:t>
      </w:r>
      <w:r w:rsidRPr="00A45A81">
        <w:rPr>
          <w:b/>
          <w:bCs/>
          <w:i/>
          <w:iCs/>
          <w:lang w:val="pl-PL"/>
        </w:rPr>
        <w:t>.</w:t>
      </w:r>
    </w:p>
    <w:p w14:paraId="62FF2E75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Metody.</w:t>
      </w:r>
      <w:r w:rsidRPr="00916C75">
        <w:rPr>
          <w:lang w:val="pl-PL"/>
        </w:rPr>
        <w:t xml:space="preserve"> Na kohorcie 229 pacjentek z TCGA-BRCA (preparaty H&amp;E guza pierwotnego oraz niemolekularne dane kliniczne) porównano sześć </w:t>
      </w:r>
      <w:proofErr w:type="spellStart"/>
      <w:r w:rsidRPr="00916C75">
        <w:rPr>
          <w:lang w:val="pl-PL"/>
        </w:rPr>
        <w:t>architektur</w:t>
      </w:r>
      <w:proofErr w:type="spellEnd"/>
      <w:r w:rsidRPr="00916C75">
        <w:rPr>
          <w:lang w:val="pl-PL"/>
        </w:rPr>
        <w:t xml:space="preserve"> predykcji statusu receptorów hormonalnych: dwa warianty jednomodalne, dwa warianty konkatenacji o różnym budżecie parametrów oraz dwa warianty uwagi skrośnej. Preparaty filtrowano według </w:t>
      </w:r>
      <w:proofErr w:type="spellStart"/>
      <w:r w:rsidRPr="00916C75">
        <w:rPr>
          <w:lang w:val="pl-PL"/>
        </w:rPr>
        <w:t>barcode'u</w:t>
      </w:r>
      <w:proofErr w:type="spellEnd"/>
      <w:r w:rsidRPr="00916C75">
        <w:rPr>
          <w:lang w:val="pl-PL"/>
        </w:rPr>
        <w:t xml:space="preserve"> TCGA, wykluczając tkankę prawidłową i materiał przerzutowy. Zastosowano powtórzoną stratyfikowaną walidację krzyżową 5×5 z trzema ziarnami inicjalizacji (450 modeli), ewaluację na poziomie pacjenta oraz diagnostykę polegania na modalności opartą na permutacji wejść.</w:t>
      </w:r>
    </w:p>
    <w:p w14:paraId="72A6173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Wyniki.</w:t>
      </w:r>
      <w:r w:rsidRPr="00916C75">
        <w:rPr>
          <w:lang w:val="pl-PL"/>
        </w:rPr>
        <w:t xml:space="preserve"> Fuzja późna oparta na uśrednieniu rangowym predykcji modeli jednomodalnych osiągnęła najwyższą skuteczność (AUC 0,772) i jako jedyna przewyższyła po korekcie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wszystkie pozostałe warianty, w tym obie architektury fuzji wczesnej i najlepszy wariant jednomodalny. Wykazano analitycznie i potwierdzono numerycznie, że kierunek uwagi „obraz pyta dane kliniczne" jest zdegenerowany: przy jednoelementowym kluczu </w:t>
      </w:r>
      <w:proofErr w:type="spellStart"/>
      <w:r w:rsidRPr="00916C75">
        <w:rPr>
          <w:lang w:val="pl-PL"/>
        </w:rPr>
        <w:t>softmax</w:t>
      </w:r>
      <w:proofErr w:type="spellEnd"/>
      <w:r w:rsidRPr="00916C75">
        <w:rPr>
          <w:lang w:val="pl-PL"/>
        </w:rPr>
        <w:t xml:space="preserve"> przyjmuje wartość 1, więc wyjście modułu jest identyczne dla dowolnie różnych obrazów. Poleganie na obrazie rosło monotonicznie od wariantu jednokierunkowej uwagi skrośnej (</w:t>
      </w:r>
      <w:proofErr w:type="spellStart"/>
      <w:r w:rsidRPr="00916C75">
        <w:rPr>
          <w:lang w:val="pl-PL"/>
        </w:rPr>
        <w:t>rely_img</w:t>
      </w:r>
      <w:proofErr w:type="spellEnd"/>
      <w:r w:rsidRPr="00916C75">
        <w:rPr>
          <w:lang w:val="pl-PL"/>
        </w:rPr>
        <w:t xml:space="preserve"> = +0,006) do prostej konkatenacji (+0,018); jedyne porównanie tej miary przeżywające korektę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to konkatenacja wobec wariantu jednokierunkowego (</w:t>
      </w:r>
      <w:proofErr w:type="spellStart"/>
      <w:r w:rsidRPr="00916C75">
        <w:rPr>
          <w:lang w:val="pl-PL"/>
        </w:rPr>
        <w:t>p_Holm</w:t>
      </w:r>
      <w:proofErr w:type="spellEnd"/>
      <w:r w:rsidRPr="00916C75">
        <w:rPr>
          <w:lang w:val="pl-PL"/>
        </w:rPr>
        <w:t xml:space="preserve"> = 0,025). Kontrola pojemności nie wykazała różnic (konkatenacja wąska vs szeroka: </w:t>
      </w:r>
      <w:r>
        <w:t>Δ</w:t>
      </w:r>
      <w:r w:rsidRPr="00916C75">
        <w:rPr>
          <w:lang w:val="pl-PL"/>
        </w:rPr>
        <w:t>AUC = 0,001; p = 0,50). Na poziomie dokładności żadne z 15 porównań par nie przetrwało korekty na wielokrotne testowanie. Dekompozycja wariancji AUC przypisała 86,2% zmienności podziałowi danych, 11,5% inicjalizacji wag i 2,3% architekturze; wariancja inicjalizacji przewyższała wariancję architektoniczną 5,1-krotnie.</w:t>
      </w:r>
    </w:p>
    <w:p w14:paraId="43D1629D" w14:textId="470D01EF" w:rsidR="00916C75" w:rsidRDefault="007A7DBF" w:rsidP="00916C75">
      <w:pPr>
        <w:pStyle w:val="Textbody"/>
        <w:rPr>
          <w:lang w:val="pl-PL"/>
        </w:rPr>
      </w:pPr>
      <w:r w:rsidRPr="00916C75">
        <w:rPr>
          <w:b/>
          <w:lang w:val="pl-PL"/>
        </w:rPr>
        <w:t>Wnioski.</w:t>
      </w:r>
      <w:r w:rsidRPr="00916C75">
        <w:rPr>
          <w:lang w:val="pl-PL"/>
        </w:rPr>
        <w:t xml:space="preserve"> Sygnał obrazowy w badanej architekturze uwagi skrośnej pochodzi w przeważającej mierze ze ścieżki rezydualnej równoważnej konkatenacji; wkład samego mechanizmu uwagi jest niewielki, a prosta konkatenacja wykorzystuje obraz skuteczniej przy mniejszym koszcie parametrycznym. Przy słabo skorelowanych, komplementarnych modalnościach (korelacja predykcji 0,173) fuzja późna przewyższa fuzję wczesną. Przy liczebnościach typowych dla kohort </w:t>
      </w:r>
      <w:r w:rsidRPr="00916C75">
        <w:rPr>
          <w:lang w:val="pl-PL"/>
        </w:rPr>
        <w:lastRenderedPageBreak/>
        <w:t>patologii cyfrowej różnice między wariantami fuzji są nieodróżnialne od szumu podziału i inicjalizacji, co podważa wiarygodność ablacji raportowanych z pojedynczego przebiegu.</w:t>
      </w:r>
    </w:p>
    <w:p w14:paraId="5910021E" w14:textId="77777777" w:rsidR="007A3C1B" w:rsidRPr="00916C75" w:rsidRDefault="007A3C1B" w:rsidP="00916C75">
      <w:pPr>
        <w:pStyle w:val="Textbody"/>
        <w:rPr>
          <w:lang w:val="pl-PL"/>
        </w:rPr>
      </w:pPr>
    </w:p>
    <w:p w14:paraId="5582A226" w14:textId="77777777" w:rsidR="000D04F5" w:rsidRPr="00916C75" w:rsidRDefault="007A7DBF">
      <w:pPr>
        <w:pStyle w:val="Nagwek2"/>
        <w:rPr>
          <w:lang w:val="pl-PL"/>
        </w:rPr>
      </w:pPr>
      <w:r w:rsidRPr="00916C75">
        <w:rPr>
          <w:lang w:val="pl-PL"/>
        </w:rPr>
        <w:t>1. Wprowadzenie</w:t>
      </w:r>
    </w:p>
    <w:p w14:paraId="0F9361E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Podtyp molekularny raka piersi wyznacza się na podstawie immunohistochemicznej oceny receptorów estrogenowego (ER), </w:t>
      </w:r>
      <w:proofErr w:type="spellStart"/>
      <w:r w:rsidRPr="00916C75">
        <w:rPr>
          <w:lang w:val="pl-PL"/>
        </w:rPr>
        <w:t>progesteronowego</w:t>
      </w:r>
      <w:proofErr w:type="spellEnd"/>
      <w:r w:rsidRPr="00916C75">
        <w:rPr>
          <w:lang w:val="pl-PL"/>
        </w:rPr>
        <w:t xml:space="preserve"> (PR) i receptora HER2. Preparat barwiony </w:t>
      </w:r>
      <w:proofErr w:type="spellStart"/>
      <w:r w:rsidRPr="00916C75">
        <w:rPr>
          <w:lang w:val="pl-PL"/>
        </w:rPr>
        <w:t>hematoksyliną</w:t>
      </w:r>
      <w:proofErr w:type="spellEnd"/>
      <w:r w:rsidRPr="00916C75">
        <w:rPr>
          <w:lang w:val="pl-PL"/>
        </w:rPr>
        <w:t xml:space="preserve"> i eozyną powstaje natomiast zawsze, jako pierwszy krok diagnostyki. Pytanie, w jakim stopniu morfologia widoczna w rutynowym H&amp;E pozwala przewidzieć status receptorowy, ma zatem znaczenie zarówno praktyczne (</w:t>
      </w:r>
      <w:proofErr w:type="spellStart"/>
      <w:r w:rsidRPr="00916C75">
        <w:rPr>
          <w:lang w:val="pl-PL"/>
        </w:rPr>
        <w:t>triage</w:t>
      </w:r>
      <w:proofErr w:type="spellEnd"/>
      <w:r w:rsidRPr="00916C75">
        <w:rPr>
          <w:lang w:val="pl-PL"/>
        </w:rPr>
        <w:t xml:space="preserve"> przypadków do priorytetowego oznaczenia IHC), jak i poznawcze (mapowanie fenotypu molekularnego na histologiczny).</w:t>
      </w:r>
    </w:p>
    <w:p w14:paraId="241F8315" w14:textId="10C66EDB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Prace łączące obraz z danymi klinicznymi coraz częściej sięgają po </w:t>
      </w:r>
      <w:r w:rsidRPr="00916C75">
        <w:rPr>
          <w:b/>
          <w:lang w:val="pl-PL"/>
        </w:rPr>
        <w:t>uwagę skrośną</w:t>
      </w:r>
      <w:r w:rsidRPr="00916C75">
        <w:rPr>
          <w:lang w:val="pl-PL"/>
        </w:rPr>
        <w:t>.</w:t>
      </w:r>
      <w:r w:rsidR="006F5E24">
        <w:rPr>
          <w:lang w:val="pl-PL"/>
        </w:rPr>
        <w:t xml:space="preserve"> [1]</w:t>
      </w:r>
      <w:r w:rsidRPr="00916C75">
        <w:rPr>
          <w:lang w:val="pl-PL"/>
        </w:rPr>
        <w:t xml:space="preserve"> Motywacja jest intuicyjna: konkatenacja wektorów cech łączy modalności, których reprezentacje wyznaczono niezależnie, natomiast uwaga skrośna ma pozwolić kontekstowi klinicznemu wpłynąć na to, które obszary obrazu zostaną uznane za istotne — analogicznie do patologa, który inaczej rozkłada uwagę po preparacie u 34-latki z guzem G3 niż u 71-latki z guzem G1.</w:t>
      </w:r>
    </w:p>
    <w:p w14:paraId="67F47DE4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Intuicja ta jest atrakcyjna, ale rzadko weryfikowana. Publikowane prace zwykle raportują, że wariant z uwagą skrośną osiąga wyższą metrykę niż konkatenacja, i na tym poprzestają. Nie sprawdza się, (a) czy moduł uwagi w danej konfiguracji wymiarów w ogóle może wykonać deklarowaną operację, (b) czy model rzeczywiście korzysta z obu modalności, (c) czy obserwowana różnica przekracza zmienność wynikającą z podziału danych i inicjalizacji wag.</w:t>
      </w:r>
    </w:p>
    <w:p w14:paraId="298E75B0" w14:textId="2A078CD3" w:rsidR="000D04F5" w:rsidRDefault="007A7DBF">
      <w:pPr>
        <w:pStyle w:val="Textbody"/>
        <w:rPr>
          <w:b/>
          <w:bCs/>
          <w:i/>
          <w:iCs/>
          <w:lang w:val="pl-PL"/>
        </w:rPr>
      </w:pPr>
      <w:r w:rsidRPr="00916C75">
        <w:rPr>
          <w:lang w:val="pl-PL"/>
        </w:rPr>
        <w:t>Niniejsza praca podejmuje wszystkie trzy pytania na przykładzie dwukierunkowej uwagi skrośnej zastosowanej do predykcji statusu receptorów hormonalnych z preparatów H&amp;E.</w:t>
      </w:r>
      <w:r w:rsidR="009611E5">
        <w:rPr>
          <w:lang w:val="pl-PL"/>
        </w:rPr>
        <w:t xml:space="preserve"> </w:t>
      </w:r>
      <w:r w:rsidR="009611E5" w:rsidRPr="006F5E24">
        <w:rPr>
          <w:lang w:val="pl-PL"/>
        </w:rPr>
        <w:t>[5] [6]</w:t>
      </w:r>
    </w:p>
    <w:p w14:paraId="7EB246ED" w14:textId="77777777" w:rsidR="007A3C1B" w:rsidRPr="009611E5" w:rsidRDefault="007A3C1B">
      <w:pPr>
        <w:pStyle w:val="Textbody"/>
        <w:rPr>
          <w:b/>
          <w:bCs/>
          <w:i/>
          <w:iCs/>
          <w:lang w:val="pl-PL"/>
        </w:rPr>
      </w:pPr>
    </w:p>
    <w:p w14:paraId="59459CF4" w14:textId="77777777" w:rsidR="000D04F5" w:rsidRDefault="007A7DBF">
      <w:pPr>
        <w:pStyle w:val="Nagwek3"/>
      </w:pPr>
      <w:r>
        <w:t xml:space="preserve">1.1. </w:t>
      </w:r>
      <w:proofErr w:type="spellStart"/>
      <w:r>
        <w:t>Wkład</w:t>
      </w:r>
      <w:proofErr w:type="spellEnd"/>
      <w:r>
        <w:t xml:space="preserve"> </w:t>
      </w:r>
      <w:proofErr w:type="spellStart"/>
      <w:r>
        <w:t>pracy</w:t>
      </w:r>
      <w:proofErr w:type="spellEnd"/>
    </w:p>
    <w:p w14:paraId="5EA3296F" w14:textId="77777777" w:rsidR="000D04F5" w:rsidRPr="00916C75" w:rsidRDefault="007A7DBF">
      <w:pPr>
        <w:pStyle w:val="Textbody"/>
        <w:numPr>
          <w:ilvl w:val="0"/>
          <w:numId w:val="1"/>
        </w:numPr>
        <w:rPr>
          <w:lang w:val="pl-PL"/>
        </w:rPr>
      </w:pPr>
      <w:r w:rsidRPr="00916C75">
        <w:rPr>
          <w:b/>
          <w:lang w:val="pl-PL"/>
        </w:rPr>
        <w:t>Dowód degeneracji.</w:t>
      </w:r>
      <w:r w:rsidRPr="00916C75">
        <w:rPr>
          <w:lang w:val="pl-PL"/>
        </w:rPr>
        <w:t xml:space="preserve"> Wykazano analitycznie i potwierdzono numerycznie, że kierunek uwagi, w którym obraz pełni rolę zapytania, a wektor kliniczny klucza i wartości, nie wykonuje żadnej interakcji </w:t>
      </w:r>
      <w:proofErr w:type="spellStart"/>
      <w:r w:rsidRPr="00916C75">
        <w:rPr>
          <w:lang w:val="pl-PL"/>
        </w:rPr>
        <w:t>międzymodalnej</w:t>
      </w:r>
      <w:proofErr w:type="spellEnd"/>
      <w:r w:rsidRPr="00916C75">
        <w:rPr>
          <w:lang w:val="pl-PL"/>
        </w:rPr>
        <w:t>.</w:t>
      </w:r>
    </w:p>
    <w:p w14:paraId="34797DA3" w14:textId="77777777" w:rsidR="000D04F5" w:rsidRPr="00916C75" w:rsidRDefault="007A7DBF">
      <w:pPr>
        <w:pStyle w:val="Textbody"/>
        <w:numPr>
          <w:ilvl w:val="0"/>
          <w:numId w:val="1"/>
        </w:numPr>
        <w:rPr>
          <w:lang w:val="pl-PL"/>
        </w:rPr>
      </w:pPr>
      <w:r w:rsidRPr="00916C75">
        <w:rPr>
          <w:b/>
          <w:lang w:val="pl-PL"/>
        </w:rPr>
        <w:t>Pomiar interwencyjny.</w:t>
      </w:r>
      <w:r w:rsidRPr="00916C75">
        <w:rPr>
          <w:lang w:val="pl-PL"/>
        </w:rPr>
        <w:t xml:space="preserve"> Poprzez selektywne usuwanie komponentów architektury wykazano, że sygnał obrazowy dociera do klasyfikatora wyłącznie ścieżką rezydualną, równoważną konkatenacji.</w:t>
      </w:r>
    </w:p>
    <w:p w14:paraId="33D5A8C9" w14:textId="77777777" w:rsidR="000D04F5" w:rsidRPr="00916C75" w:rsidRDefault="007A7DBF">
      <w:pPr>
        <w:pStyle w:val="Textbody"/>
        <w:numPr>
          <w:ilvl w:val="0"/>
          <w:numId w:val="1"/>
        </w:numPr>
        <w:rPr>
          <w:lang w:val="pl-PL"/>
        </w:rPr>
      </w:pPr>
      <w:r w:rsidRPr="00916C75">
        <w:rPr>
          <w:b/>
          <w:lang w:val="pl-PL"/>
        </w:rPr>
        <w:t>Dekompozycja wariancji.</w:t>
      </w:r>
      <w:r w:rsidRPr="00916C75">
        <w:rPr>
          <w:lang w:val="pl-PL"/>
        </w:rPr>
        <w:t xml:space="preserve"> Ilościowo rozdzielono zmienność metryki na trzy źródła: podział danych, inicjalizację wag i architekturę — wraz z rekomendacją protokołu ewaluacji.</w:t>
      </w:r>
    </w:p>
    <w:p w14:paraId="26B9074E" w14:textId="77777777" w:rsidR="000D04F5" w:rsidRPr="00916C75" w:rsidRDefault="007A7DBF">
      <w:pPr>
        <w:pStyle w:val="Textbody"/>
        <w:numPr>
          <w:ilvl w:val="0"/>
          <w:numId w:val="1"/>
        </w:numPr>
        <w:rPr>
          <w:lang w:val="pl-PL"/>
        </w:rPr>
      </w:pPr>
      <w:r w:rsidRPr="00916C75">
        <w:rPr>
          <w:b/>
          <w:lang w:val="pl-PL"/>
        </w:rPr>
        <w:t>Udokumentowana niestabilność replikacji.</w:t>
      </w:r>
      <w:r w:rsidRPr="00916C75">
        <w:rPr>
          <w:lang w:val="pl-PL"/>
        </w:rPr>
        <w:t xml:space="preserve"> Pokazano, że ten sam eksperyment powtórzony bez zmiany kodu przesuwa wartość p o ponad dwa rzędy wielkości.</w:t>
      </w:r>
    </w:p>
    <w:p w14:paraId="2359FE79" w14:textId="39A09FD9" w:rsidR="000D04F5" w:rsidRDefault="000D04F5">
      <w:pPr>
        <w:pStyle w:val="HorizontalLine"/>
        <w:rPr>
          <w:lang w:val="pl-PL"/>
        </w:rPr>
      </w:pPr>
    </w:p>
    <w:p w14:paraId="622113F5" w14:textId="554081B3" w:rsidR="007A3C1B" w:rsidRDefault="007A3C1B" w:rsidP="007A3C1B">
      <w:pPr>
        <w:pStyle w:val="Textbody"/>
        <w:rPr>
          <w:lang w:val="pl-PL"/>
        </w:rPr>
      </w:pPr>
    </w:p>
    <w:p w14:paraId="26BCA332" w14:textId="77777777" w:rsidR="00F8555F" w:rsidRPr="007A3C1B" w:rsidRDefault="00F8555F" w:rsidP="007A3C1B">
      <w:pPr>
        <w:pStyle w:val="Textbody"/>
        <w:rPr>
          <w:lang w:val="pl-PL"/>
        </w:rPr>
      </w:pPr>
    </w:p>
    <w:p w14:paraId="4E843834" w14:textId="620F3887" w:rsidR="000D04F5" w:rsidRDefault="007A7DBF">
      <w:pPr>
        <w:pStyle w:val="Nagwek2"/>
        <w:rPr>
          <w:lang w:val="pl-PL"/>
        </w:rPr>
      </w:pPr>
      <w:r w:rsidRPr="00916C75">
        <w:rPr>
          <w:lang w:val="pl-PL"/>
        </w:rPr>
        <w:lastRenderedPageBreak/>
        <w:t>2. Materiał i metody</w:t>
      </w:r>
    </w:p>
    <w:p w14:paraId="7CF880F6" w14:textId="77777777" w:rsidR="007A3C1B" w:rsidRPr="007A3C1B" w:rsidRDefault="007A3C1B" w:rsidP="007A3C1B">
      <w:pPr>
        <w:pStyle w:val="Textbody"/>
        <w:rPr>
          <w:lang w:val="pl-PL"/>
        </w:rPr>
      </w:pPr>
    </w:p>
    <w:p w14:paraId="416D1156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2.1. Kohorta</w:t>
      </w:r>
    </w:p>
    <w:p w14:paraId="103EE00B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Wykorzystano dane The </w:t>
      </w:r>
      <w:proofErr w:type="spellStart"/>
      <w:r w:rsidRPr="00916C75">
        <w:rPr>
          <w:lang w:val="pl-PL"/>
        </w:rPr>
        <w:t>Cancer</w:t>
      </w:r>
      <w:proofErr w:type="spellEnd"/>
      <w:r w:rsidRPr="00916C75">
        <w:rPr>
          <w:lang w:val="pl-PL"/>
        </w:rPr>
        <w:t xml:space="preserve"> </w:t>
      </w:r>
      <w:proofErr w:type="spellStart"/>
      <w:r w:rsidRPr="00916C75">
        <w:rPr>
          <w:lang w:val="pl-PL"/>
        </w:rPr>
        <w:t>Genome</w:t>
      </w:r>
      <w:proofErr w:type="spellEnd"/>
      <w:r w:rsidRPr="00916C75">
        <w:rPr>
          <w:lang w:val="pl-PL"/>
        </w:rPr>
        <w:t xml:space="preserve"> Atlas, projekt BRCA (rak inwazyjny piersi). Dane kliniczne pobrano z pliku </w:t>
      </w:r>
      <w:r w:rsidRPr="00916C75">
        <w:rPr>
          <w:rFonts w:ascii="Liberation Mono" w:hAnsi="Liberation Mono"/>
          <w:lang w:val="pl-PL"/>
        </w:rPr>
        <w:t>nationwidechildrens.org_clinical_patient_brca.txt</w:t>
      </w:r>
      <w:r w:rsidRPr="00916C75">
        <w:rPr>
          <w:lang w:val="pl-PL"/>
        </w:rPr>
        <w:t xml:space="preserve"> (1097 pacjentek). Plik zawiera trzy wiersze nagłówka — nazwy skrócone, pełne nazwy elementów danych (CDE) oraz ich identyfikatory — z których dwa ostatnie należy pominąć przy wczytywaniu.</w:t>
      </w:r>
    </w:p>
    <w:p w14:paraId="5725CAA1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Preparaty w formacie </w:t>
      </w:r>
      <w:proofErr w:type="spellStart"/>
      <w:r w:rsidRPr="00916C75">
        <w:rPr>
          <w:lang w:val="pl-PL"/>
        </w:rPr>
        <w:t>Aperio</w:t>
      </w:r>
      <w:proofErr w:type="spellEnd"/>
      <w:r w:rsidRPr="00916C75">
        <w:rPr>
          <w:lang w:val="pl-PL"/>
        </w:rPr>
        <w:t xml:space="preserve"> </w:t>
      </w:r>
      <w:r w:rsidRPr="00916C75">
        <w:rPr>
          <w:rFonts w:ascii="Liberation Mono" w:hAnsi="Liberation Mono"/>
          <w:lang w:val="pl-PL"/>
        </w:rPr>
        <w:t>.</w:t>
      </w:r>
      <w:proofErr w:type="spellStart"/>
      <w:r w:rsidRPr="00916C75">
        <w:rPr>
          <w:rFonts w:ascii="Liberation Mono" w:hAnsi="Liberation Mono"/>
          <w:lang w:val="pl-PL"/>
        </w:rPr>
        <w:t>svs</w:t>
      </w:r>
      <w:proofErr w:type="spellEnd"/>
      <w:r w:rsidRPr="00916C75">
        <w:rPr>
          <w:lang w:val="pl-PL"/>
        </w:rPr>
        <w:t xml:space="preserve"> dostępne były dla 298 pacjentek (335 plików). </w:t>
      </w:r>
      <w:proofErr w:type="spellStart"/>
      <w:r w:rsidRPr="00916C75">
        <w:rPr>
          <w:lang w:val="pl-PL"/>
        </w:rPr>
        <w:t>Barcode</w:t>
      </w:r>
      <w:proofErr w:type="spellEnd"/>
      <w:r w:rsidRPr="00916C75">
        <w:rPr>
          <w:lang w:val="pl-PL"/>
        </w:rPr>
        <w:t xml:space="preserve"> TCGA koduje na pozycjach po identyfikatorze pacjenta typ materiału (01 — guz pierwotny, 06 — przerzut, 11 — tkanka prawidłowa) oraz typ preparatu (DX — diagnostyczny FFPE; TS/BS/MS — skrawek mrożony). Weryfikacja tych pól ujawniła, że 52 preparaty (12,5% kafelków) przedstawiały </w:t>
      </w:r>
      <w:r w:rsidRPr="00916C75">
        <w:rPr>
          <w:b/>
          <w:lang w:val="pl-PL"/>
        </w:rPr>
        <w:t>tkankę prawidłową</w:t>
      </w:r>
      <w:r w:rsidRPr="00916C75">
        <w:rPr>
          <w:lang w:val="pl-PL"/>
        </w:rPr>
        <w:t xml:space="preserve">, a jeden — przerzut; dla 25 pacjentek dostępny był wyłącznie materiał tkanki prawidłowej, co oznaczałoby przypisywanie etykiety receptorowej guza obrazom, w których guz nie występuje. Preparaty tkanki prawidłowej i przerzutowe wykluczono; skrawki mrożone zachowano i odnotowano jako ograniczenie (rozdz. 5). Kontrola integralności — porównanie identyfikatora pacjentki z nazwy każdego pliku </w:t>
      </w:r>
      <w:r w:rsidRPr="00916C75">
        <w:rPr>
          <w:rFonts w:ascii="Liberation Mono" w:hAnsi="Liberation Mono"/>
          <w:lang w:val="pl-PL"/>
        </w:rPr>
        <w:t>.</w:t>
      </w:r>
      <w:proofErr w:type="spellStart"/>
      <w:r w:rsidRPr="00916C75">
        <w:rPr>
          <w:rFonts w:ascii="Liberation Mono" w:hAnsi="Liberation Mono"/>
          <w:lang w:val="pl-PL"/>
        </w:rPr>
        <w:t>svs</w:t>
      </w:r>
      <w:proofErr w:type="spellEnd"/>
      <w:r w:rsidRPr="00916C75">
        <w:rPr>
          <w:lang w:val="pl-PL"/>
        </w:rPr>
        <w:t xml:space="preserve"> z przypisaniem w tabeli mapowania — nie wykazała żadnej niezgodności (0 z 27 573 kafelków).</w:t>
      </w:r>
    </w:p>
    <w:p w14:paraId="5FDB6B03" w14:textId="520A46D6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 filtrowaniu materiału i wykluczeniu przypadków o nierozstrzygniętym statusie receptorowym (rozdział 2.2) kohorta analityczna liczyła </w:t>
      </w:r>
      <w:r w:rsidRPr="00916C75">
        <w:rPr>
          <w:b/>
          <w:lang w:val="pl-PL"/>
        </w:rPr>
        <w:t>229 pacjentek</w:t>
      </w:r>
      <w:r w:rsidRPr="00916C75">
        <w:rPr>
          <w:lang w:val="pl-PL"/>
        </w:rPr>
        <w:t xml:space="preserve"> (186 HR+, 43 HR−) z </w:t>
      </w:r>
      <w:r w:rsidRPr="00916C75">
        <w:rPr>
          <w:b/>
          <w:lang w:val="pl-PL"/>
        </w:rPr>
        <w:t>33 ośrodków</w:t>
      </w:r>
      <w:r w:rsidRPr="00916C75">
        <w:rPr>
          <w:lang w:val="pl-PL"/>
        </w:rPr>
        <w:t>; wszystkie kafelki pochodziły z guza pierwotnego (11 650 z preparatów FFPE, 15 923 ze skrawków mrożonych).</w:t>
      </w:r>
    </w:p>
    <w:p w14:paraId="6F4C6D6F" w14:textId="77777777" w:rsidR="007A3C1B" w:rsidRPr="00916C75" w:rsidRDefault="007A3C1B">
      <w:pPr>
        <w:pStyle w:val="Textbody"/>
        <w:rPr>
          <w:lang w:val="pl-PL"/>
        </w:rPr>
      </w:pPr>
    </w:p>
    <w:p w14:paraId="7FA53AD6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2.2. Etykieta i rozstrzyganie statusu HER2</w:t>
      </w:r>
    </w:p>
    <w:p w14:paraId="00CF216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Podtyp przypisywano regułą zgodną z konsensusem z St. </w:t>
      </w:r>
      <w:proofErr w:type="spellStart"/>
      <w:r w:rsidRPr="00916C75">
        <w:rPr>
          <w:lang w:val="pl-PL"/>
        </w:rPr>
        <w:t>Gallen</w:t>
      </w:r>
      <w:proofErr w:type="spellEnd"/>
      <w:r w:rsidRPr="00916C75">
        <w:rPr>
          <w:lang w:val="pl-PL"/>
        </w:rPr>
        <w:t xml:space="preserve">. Status ER i PR odczytywano z pól </w:t>
      </w:r>
      <w:proofErr w:type="spellStart"/>
      <w:r w:rsidRPr="00916C75">
        <w:rPr>
          <w:rFonts w:ascii="Liberation Mono" w:hAnsi="Liberation Mono"/>
          <w:lang w:val="pl-PL"/>
        </w:rPr>
        <w:t>er_status_by_ihc</w:t>
      </w:r>
      <w:proofErr w:type="spellEnd"/>
      <w:r w:rsidRPr="00916C75">
        <w:rPr>
          <w:lang w:val="pl-PL"/>
        </w:rPr>
        <w:t xml:space="preserve"> i </w:t>
      </w:r>
      <w:proofErr w:type="spellStart"/>
      <w:r w:rsidRPr="00916C75">
        <w:rPr>
          <w:rFonts w:ascii="Liberation Mono" w:hAnsi="Liberation Mono"/>
          <w:lang w:val="pl-PL"/>
        </w:rPr>
        <w:t>pr_status_by_ihc</w:t>
      </w:r>
      <w:proofErr w:type="spellEnd"/>
      <w:r w:rsidRPr="00916C75">
        <w:rPr>
          <w:lang w:val="pl-PL"/>
        </w:rPr>
        <w:t>.</w:t>
      </w:r>
    </w:p>
    <w:p w14:paraId="2541110F" w14:textId="029C6D04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Status HER2 rozstrzygano zgodnie z wytycznymi ASCO/CAP</w:t>
      </w:r>
      <w:r w:rsidR="00A30ABF">
        <w:rPr>
          <w:lang w:val="pl-PL"/>
        </w:rPr>
        <w:t xml:space="preserve"> [</w:t>
      </w:r>
      <w:r w:rsidR="005B23B4">
        <w:rPr>
          <w:lang w:val="pl-PL"/>
        </w:rPr>
        <w:t>7</w:t>
      </w:r>
      <w:r w:rsidR="00A30ABF">
        <w:rPr>
          <w:lang w:val="pl-PL"/>
        </w:rPr>
        <w:t>]</w:t>
      </w:r>
      <w:r w:rsidRPr="00916C75">
        <w:rPr>
          <w:lang w:val="pl-PL"/>
        </w:rPr>
        <w:t xml:space="preserve">: wynik hybrydyzacji fluorescencyjnej </w:t>
      </w:r>
      <w:r w:rsidRPr="00916C75">
        <w:rPr>
          <w:i/>
          <w:lang w:val="pl-PL"/>
        </w:rPr>
        <w:t>in situ</w:t>
      </w:r>
      <w:r w:rsidRPr="00916C75">
        <w:rPr>
          <w:lang w:val="pl-PL"/>
        </w:rPr>
        <w:t xml:space="preserve"> (</w:t>
      </w:r>
      <w:r w:rsidRPr="00916C75">
        <w:rPr>
          <w:rFonts w:ascii="Liberation Mono" w:hAnsi="Liberation Mono"/>
          <w:lang w:val="pl-PL"/>
        </w:rPr>
        <w:t>her2_fish_status</w:t>
      </w:r>
      <w:r w:rsidRPr="00916C75">
        <w:rPr>
          <w:lang w:val="pl-PL"/>
        </w:rPr>
        <w:t xml:space="preserve">) ma pierwszeństwo przed </w:t>
      </w:r>
      <w:proofErr w:type="spellStart"/>
      <w:r w:rsidRPr="00916C75">
        <w:rPr>
          <w:lang w:val="pl-PL"/>
        </w:rPr>
        <w:t>immunohistochemią</w:t>
      </w:r>
      <w:proofErr w:type="spellEnd"/>
      <w:r w:rsidRPr="00916C75">
        <w:rPr>
          <w:lang w:val="pl-PL"/>
        </w:rPr>
        <w:t xml:space="preserve"> (</w:t>
      </w:r>
      <w:r w:rsidRPr="00916C75">
        <w:rPr>
          <w:rFonts w:ascii="Liberation Mono" w:hAnsi="Liberation Mono"/>
          <w:lang w:val="pl-PL"/>
        </w:rPr>
        <w:t>her2_status_by_ihc</w:t>
      </w:r>
      <w:r w:rsidRPr="00916C75">
        <w:rPr>
          <w:lang w:val="pl-PL"/>
        </w:rPr>
        <w:t xml:space="preserve">), a przypadki niejednoznaczne w IHC bez potwierdzenia FISH są </w:t>
      </w:r>
      <w:r w:rsidRPr="00916C75">
        <w:rPr>
          <w:b/>
          <w:lang w:val="pl-PL"/>
        </w:rPr>
        <w:t>wykluczane</w:t>
      </w:r>
      <w:r w:rsidRPr="00916C75">
        <w:rPr>
          <w:lang w:val="pl-PL"/>
        </w:rPr>
        <w:t xml:space="preserve">, a nie klasyfikowane arbitralnie. Uwzględnienie wyniku FISH zwiększyło liczbę pacjentek z rozstrzygniętym statusem HER2 z </w:t>
      </w:r>
      <w:r w:rsidRPr="00916C75">
        <w:rPr>
          <w:b/>
          <w:lang w:val="pl-PL"/>
        </w:rPr>
        <w:t>728 do 957</w:t>
      </w:r>
      <w:r w:rsidRPr="00916C75">
        <w:rPr>
          <w:lang w:val="pl-PL"/>
        </w:rPr>
        <w:t xml:space="preserve"> (+229; +31%).</w:t>
      </w:r>
    </w:p>
    <w:p w14:paraId="4C383F7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Rozkład podtypów w kohorcie analitycznej odpowiadał wartościom literaturowym dla TCGA-BRCA (Luminal A ~63%, Luminal B ~17%, HER2-enriched ~4%, potrójnie ujemny ~15%), co posłużyło jako kontrola poprawności reguły etykietującej.</w:t>
      </w:r>
    </w:p>
    <w:p w14:paraId="313A803D" w14:textId="37D1D3AE" w:rsidR="00DC4234" w:rsidRDefault="007A7DBF">
      <w:pPr>
        <w:pStyle w:val="Textbody"/>
        <w:rPr>
          <w:b/>
          <w:bCs/>
          <w:i/>
          <w:iCs/>
          <w:lang w:val="pl-PL"/>
        </w:rPr>
      </w:pPr>
      <w:r w:rsidRPr="00916C75">
        <w:rPr>
          <w:lang w:val="pl-PL"/>
        </w:rPr>
        <w:t xml:space="preserve">Ze względu na liczebność klasy HER2-enriched (11 pacjentek w kohorcie z obrazami) klasyfikacja czteroklasowa została uznana za niewykonalną statystycznie. Jako cel przyjęto </w:t>
      </w:r>
      <w:r w:rsidRPr="00916C75">
        <w:rPr>
          <w:b/>
          <w:lang w:val="pl-PL"/>
        </w:rPr>
        <w:t>binarny status receptorów hormonalnych</w:t>
      </w:r>
      <w:r w:rsidRPr="00916C75">
        <w:rPr>
          <w:lang w:val="pl-PL"/>
        </w:rPr>
        <w:t xml:space="preserve"> (HR+ = Luminal A lub B; HR− = HER2-enriched lub potrójnie ujemny), z rozkładem </w:t>
      </w:r>
      <w:r w:rsidRPr="00916C75">
        <w:rPr>
          <w:b/>
          <w:lang w:val="pl-PL"/>
        </w:rPr>
        <w:t>186 HR+ / 43 HR−</w:t>
      </w:r>
      <w:r w:rsidRPr="00916C75">
        <w:rPr>
          <w:lang w:val="pl-PL"/>
        </w:rPr>
        <w:t xml:space="preserve"> po filtrowaniu materiału.</w:t>
      </w:r>
    </w:p>
    <w:p w14:paraId="539EEA80" w14:textId="1857EEDB" w:rsidR="007A3C1B" w:rsidRDefault="007A3C1B">
      <w:pPr>
        <w:pStyle w:val="Textbody"/>
        <w:rPr>
          <w:b/>
          <w:bCs/>
          <w:i/>
          <w:iCs/>
          <w:lang w:val="pl-PL"/>
        </w:rPr>
      </w:pPr>
    </w:p>
    <w:p w14:paraId="2D381FAC" w14:textId="77777777" w:rsidR="007A3C1B" w:rsidRPr="007A3C1B" w:rsidRDefault="007A3C1B">
      <w:pPr>
        <w:pStyle w:val="Textbody"/>
        <w:rPr>
          <w:b/>
          <w:bCs/>
          <w:i/>
          <w:iCs/>
          <w:lang w:val="pl-PL"/>
        </w:rPr>
      </w:pPr>
    </w:p>
    <w:p w14:paraId="6BCFF71C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lastRenderedPageBreak/>
        <w:t>2.3. Przestrzeń cech klinicznych</w:t>
      </w:r>
    </w:p>
    <w:p w14:paraId="2447D6BF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Z przestrzeni cech usunięto:</w:t>
      </w:r>
    </w:p>
    <w:p w14:paraId="730634AD" w14:textId="77777777" w:rsidR="000D04F5" w:rsidRPr="00916C75" w:rsidRDefault="007A7DBF">
      <w:pPr>
        <w:pStyle w:val="Textbody"/>
        <w:numPr>
          <w:ilvl w:val="0"/>
          <w:numId w:val="2"/>
        </w:numPr>
        <w:rPr>
          <w:lang w:val="pl-PL"/>
        </w:rPr>
      </w:pPr>
      <w:r w:rsidRPr="00916C75">
        <w:rPr>
          <w:b/>
          <w:lang w:val="pl-PL"/>
        </w:rPr>
        <w:t>zmienne definiujące etykietę</w:t>
      </w:r>
      <w:r w:rsidRPr="00916C75">
        <w:rPr>
          <w:lang w:val="pl-PL"/>
        </w:rPr>
        <w:t xml:space="preserve"> (ER, PR, HER2 we wszystkich wariantach kodowania) — ich pozostawienie sprowadza zadanie do odtworzenia reguły logicznej;</w:t>
      </w:r>
    </w:p>
    <w:p w14:paraId="501FC223" w14:textId="77777777" w:rsidR="000D04F5" w:rsidRPr="00916C75" w:rsidRDefault="007A7DBF">
      <w:pPr>
        <w:pStyle w:val="Textbody"/>
        <w:numPr>
          <w:ilvl w:val="0"/>
          <w:numId w:val="2"/>
        </w:numPr>
        <w:rPr>
          <w:lang w:val="pl-PL"/>
        </w:rPr>
      </w:pPr>
      <w:r w:rsidRPr="00916C75">
        <w:rPr>
          <w:b/>
          <w:lang w:val="pl-PL"/>
        </w:rPr>
        <w:t>zmienne post-diagnostyczne</w:t>
      </w:r>
      <w:r w:rsidRPr="00916C75">
        <w:rPr>
          <w:lang w:val="pl-PL"/>
        </w:rPr>
        <w:t xml:space="preserve"> (</w:t>
      </w:r>
      <w:proofErr w:type="spellStart"/>
      <w:r w:rsidRPr="00916C75">
        <w:rPr>
          <w:rFonts w:ascii="Liberation Mono" w:hAnsi="Liberation Mono"/>
          <w:lang w:val="pl-PL"/>
        </w:rPr>
        <w:t>vital_status</w:t>
      </w:r>
      <w:proofErr w:type="spellEnd"/>
      <w:r w:rsidRPr="00916C75">
        <w:rPr>
          <w:lang w:val="pl-PL"/>
        </w:rPr>
        <w:t xml:space="preserve">, </w:t>
      </w:r>
      <w:proofErr w:type="spellStart"/>
      <w:r w:rsidRPr="00916C75">
        <w:rPr>
          <w:rFonts w:ascii="Liberation Mono" w:hAnsi="Liberation Mono"/>
          <w:lang w:val="pl-PL"/>
        </w:rPr>
        <w:t>days_to_death</w:t>
      </w:r>
      <w:proofErr w:type="spellEnd"/>
      <w:r w:rsidRPr="00916C75">
        <w:rPr>
          <w:lang w:val="pl-PL"/>
        </w:rPr>
        <w:t xml:space="preserve">, </w:t>
      </w:r>
      <w:proofErr w:type="spellStart"/>
      <w:r w:rsidRPr="00916C75">
        <w:rPr>
          <w:rFonts w:ascii="Liberation Mono" w:hAnsi="Liberation Mono"/>
          <w:lang w:val="pl-PL"/>
        </w:rPr>
        <w:t>last_contact_days_to</w:t>
      </w:r>
      <w:proofErr w:type="spellEnd"/>
      <w:r w:rsidRPr="00916C75">
        <w:rPr>
          <w:lang w:val="pl-PL"/>
        </w:rPr>
        <w:t>) — są to zdarzenia następujące po momencie, którego dotyczy predykcja.</w:t>
      </w:r>
    </w:p>
    <w:p w14:paraId="6D67AB21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Zachowano 26 </w:t>
      </w:r>
      <w:proofErr w:type="spellStart"/>
      <w:r w:rsidRPr="00916C75">
        <w:rPr>
          <w:lang w:val="pl-PL"/>
        </w:rPr>
        <w:t>predyktorów</w:t>
      </w:r>
      <w:proofErr w:type="spellEnd"/>
      <w:r w:rsidRPr="00916C75">
        <w:rPr>
          <w:lang w:val="pl-PL"/>
        </w:rPr>
        <w:t xml:space="preserve">: wiek, status menopauzalny, stopień zaawansowania T i N (parsowane z klasyfikacji AJCC), liczbę zbadanych węzłów chłonnych, leczenie </w:t>
      </w:r>
      <w:proofErr w:type="spellStart"/>
      <w:r w:rsidRPr="00916C75">
        <w:rPr>
          <w:lang w:val="pl-PL"/>
        </w:rPr>
        <w:t>neoadiuwantowe</w:t>
      </w:r>
      <w:proofErr w:type="spellEnd"/>
      <w:r w:rsidRPr="00916C75">
        <w:rPr>
          <w:lang w:val="pl-PL"/>
        </w:rPr>
        <w:t>, rasę, typ histologiczny, status marginesów, lateralizację oraz wskaźniki braku danych dla zmiennych ciągłych.</w:t>
      </w:r>
    </w:p>
    <w:p w14:paraId="3D1CF8D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Stopień złośliwości (</w:t>
      </w:r>
      <w:proofErr w:type="spellStart"/>
      <w:r w:rsidRPr="00916C75">
        <w:rPr>
          <w:b/>
          <w:lang w:val="pl-PL"/>
        </w:rPr>
        <w:t>grade</w:t>
      </w:r>
      <w:proofErr w:type="spellEnd"/>
      <w:r w:rsidRPr="00916C75">
        <w:rPr>
          <w:b/>
          <w:lang w:val="pl-PL"/>
        </w:rPr>
        <w:t>) nie jest rejestrowany w TCGA-BRCA</w:t>
      </w:r>
      <w:r w:rsidRPr="00916C75">
        <w:rPr>
          <w:lang w:val="pl-PL"/>
        </w:rPr>
        <w:t xml:space="preserve"> — przeszukanie wszystkich 112 kolumn pliku klinicznego nie ujawniło takiego pola. Jest to istotne ograniczenie, ponieważ </w:t>
      </w:r>
      <w:proofErr w:type="spellStart"/>
      <w:r w:rsidRPr="00916C75">
        <w:rPr>
          <w:lang w:val="pl-PL"/>
        </w:rPr>
        <w:t>grade</w:t>
      </w:r>
      <w:proofErr w:type="spellEnd"/>
      <w:r w:rsidRPr="00916C75">
        <w:rPr>
          <w:lang w:val="pl-PL"/>
        </w:rPr>
        <w:t xml:space="preserve"> jest najsilniejszym znanym korelatem morfologicznym statusu ER.</w:t>
      </w:r>
    </w:p>
    <w:p w14:paraId="1B8320A8" w14:textId="5D23C341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>Poprawność przestrzeni cech weryfikowano automatycznym testem wycieku: drzewo decyzyjne trenowane wyłącznie na cechach osiągało w walidacji krzyżowej 0,686 dokładności przy poziomie odniesienia klasy większościowej 0,804 — czyli poniżej trywialnego klasyfikatora, co wyklucza wyciek etykiety.</w:t>
      </w:r>
    </w:p>
    <w:p w14:paraId="4006702D" w14:textId="77777777" w:rsidR="007A3C1B" w:rsidRPr="00916C75" w:rsidRDefault="007A3C1B">
      <w:pPr>
        <w:pStyle w:val="Textbody"/>
        <w:rPr>
          <w:lang w:val="pl-PL"/>
        </w:rPr>
      </w:pPr>
    </w:p>
    <w:p w14:paraId="10888AA0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2.4. Przetwarzanie preparatów</w:t>
      </w:r>
    </w:p>
    <w:p w14:paraId="613ADB70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Preparaty dzielono na kafelki 224×224 piksele na poziomie 0 piramidy. Tkankę wykrywano dwustopniowo: wstępnie na miniaturze (próg intensywności w skali szarości, domknięcie i otwarcie morfologiczne jądrem 5×5), następnie weryfikacyjnie na kafelku w pełnej rozdzielczości (minimalny udział tkanki 30%). Kafelki próbkowano losowo, po 40 na pacjentkę z puli przefiltrowanej według typu materiału, co dało </w:t>
      </w:r>
      <w:r w:rsidRPr="00916C75">
        <w:rPr>
          <w:b/>
          <w:lang w:val="pl-PL"/>
        </w:rPr>
        <w:t>10 500 kafelków</w:t>
      </w:r>
      <w:r w:rsidRPr="00916C75">
        <w:rPr>
          <w:lang w:val="pl-PL"/>
        </w:rPr>
        <w:t xml:space="preserve"> (kilka pacjentek dysponowało mniejszą liczbą kafelków po filtrowaniu).</w:t>
      </w:r>
    </w:p>
    <w:p w14:paraId="2A01442F" w14:textId="2C567802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Reprezentacje wyznaczono </w:t>
      </w:r>
      <w:r w:rsidRPr="00916C75">
        <w:rPr>
          <w:b/>
          <w:lang w:val="pl-PL"/>
        </w:rPr>
        <w:t>zamrożonym</w:t>
      </w:r>
      <w:r w:rsidRPr="00916C75">
        <w:rPr>
          <w:lang w:val="pl-PL"/>
        </w:rPr>
        <w:t xml:space="preserve"> </w:t>
      </w:r>
      <w:proofErr w:type="spellStart"/>
      <w:r w:rsidRPr="00916C75">
        <w:rPr>
          <w:lang w:val="pl-PL"/>
        </w:rPr>
        <w:t>enkoderem</w:t>
      </w:r>
      <w:proofErr w:type="spellEnd"/>
      <w:r w:rsidRPr="00916C75">
        <w:rPr>
          <w:lang w:val="pl-PL"/>
        </w:rPr>
        <w:t xml:space="preserve"> EfficientNetB0 przetrenowanym na </w:t>
      </w:r>
      <w:proofErr w:type="spellStart"/>
      <w:r w:rsidRPr="00916C75">
        <w:rPr>
          <w:lang w:val="pl-PL"/>
        </w:rPr>
        <w:t>ImageNet</w:t>
      </w:r>
      <w:proofErr w:type="spellEnd"/>
      <w:r w:rsidRPr="00916C75">
        <w:rPr>
          <w:lang w:val="pl-PL"/>
        </w:rPr>
        <w:t xml:space="preserve">, bez warstw klasyfikujących i </w:t>
      </w:r>
      <w:r w:rsidRPr="00916C75">
        <w:rPr>
          <w:b/>
          <w:lang w:val="pl-PL"/>
        </w:rPr>
        <w:t>bez globalnego uśredniania</w:t>
      </w:r>
      <w:r w:rsidRPr="00916C75">
        <w:rPr>
          <w:lang w:val="pl-PL"/>
        </w:rPr>
        <w:t xml:space="preserve">. Zachowanie mapy cech 7×7 daje sekwencję </w:t>
      </w:r>
      <w:r w:rsidRPr="00916C75">
        <w:rPr>
          <w:b/>
          <w:lang w:val="pl-PL"/>
        </w:rPr>
        <w:t xml:space="preserve">49 </w:t>
      </w:r>
      <w:proofErr w:type="spellStart"/>
      <w:r w:rsidRPr="00916C75">
        <w:rPr>
          <w:b/>
          <w:lang w:val="pl-PL"/>
        </w:rPr>
        <w:t>tokenów</w:t>
      </w:r>
      <w:proofErr w:type="spellEnd"/>
      <w:r w:rsidRPr="00916C75">
        <w:rPr>
          <w:b/>
          <w:lang w:val="pl-PL"/>
        </w:rPr>
        <w:t xml:space="preserve"> przestrzennych</w:t>
      </w:r>
      <w:r w:rsidRPr="00916C75">
        <w:rPr>
          <w:lang w:val="pl-PL"/>
        </w:rPr>
        <w:t xml:space="preserve"> o wymiarze 1280 — warunek konieczny działania uwagi skrośnej, ponieważ nie da się selektywnie zwrócić uwagi na pojedynczy wektor. Reprezentacje buforowano na dysku w formacie float16 (~1,3 GB).</w:t>
      </w:r>
      <w:r w:rsidR="00DC4234">
        <w:rPr>
          <w:lang w:val="pl-PL"/>
        </w:rPr>
        <w:t xml:space="preserve"> </w:t>
      </w:r>
      <w:r w:rsidR="00A30ABF" w:rsidRPr="006F5E24">
        <w:rPr>
          <w:lang w:val="pl-PL"/>
        </w:rPr>
        <w:t>[2]</w:t>
      </w:r>
    </w:p>
    <w:p w14:paraId="0DA19984" w14:textId="7603E7BC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Zamrożenie </w:t>
      </w:r>
      <w:proofErr w:type="spellStart"/>
      <w:r w:rsidRPr="00916C75">
        <w:rPr>
          <w:lang w:val="pl-PL"/>
        </w:rPr>
        <w:t>enkodera</w:t>
      </w:r>
      <w:proofErr w:type="spellEnd"/>
      <w:r w:rsidRPr="00916C75">
        <w:rPr>
          <w:lang w:val="pl-PL"/>
        </w:rPr>
        <w:t xml:space="preserve"> było decyzją świadomą: przy 229 pacjentkach dostrajanie 19 milionów parametrów prowadziłoby do przeuczenia, a buforowanie umożliwiło wykonanie 450 przebiegów treningowych na sprzęcie bez akceleratora.</w:t>
      </w:r>
    </w:p>
    <w:p w14:paraId="2964D2AB" w14:textId="6478491D" w:rsidR="00D01A3E" w:rsidRDefault="00D01A3E">
      <w:pPr>
        <w:pStyle w:val="Textbody"/>
        <w:rPr>
          <w:lang w:val="pl-PL"/>
        </w:rPr>
      </w:pPr>
    </w:p>
    <w:p w14:paraId="7599BF2A" w14:textId="2647A219" w:rsidR="007A3C1B" w:rsidRDefault="007A3C1B">
      <w:pPr>
        <w:pStyle w:val="Textbody"/>
        <w:rPr>
          <w:lang w:val="pl-PL"/>
        </w:rPr>
      </w:pPr>
    </w:p>
    <w:p w14:paraId="25226C08" w14:textId="77777777" w:rsidR="007A3C1B" w:rsidRPr="00916C75" w:rsidRDefault="007A3C1B">
      <w:pPr>
        <w:pStyle w:val="Textbody"/>
        <w:rPr>
          <w:lang w:val="pl-PL"/>
        </w:rPr>
      </w:pPr>
    </w:p>
    <w:p w14:paraId="0B8B19A6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lastRenderedPageBreak/>
        <w:t>2.5. Porównywane architektury</w:t>
      </w:r>
    </w:p>
    <w:p w14:paraId="7263ADB9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Wszystkie warianty dzielą tę samą głowę klasyfikującą (Dense-64 → </w:t>
      </w:r>
      <w:proofErr w:type="spellStart"/>
      <w:r w:rsidRPr="00916C75">
        <w:rPr>
          <w:lang w:val="pl-PL"/>
        </w:rPr>
        <w:t>Dropout</w:t>
      </w:r>
      <w:proofErr w:type="spellEnd"/>
      <w:r w:rsidRPr="00916C75">
        <w:rPr>
          <w:lang w:val="pl-PL"/>
        </w:rPr>
        <w:t xml:space="preserve"> 0,3 → Dense-1 </w:t>
      </w:r>
      <w:proofErr w:type="spellStart"/>
      <w:r w:rsidRPr="00916C75">
        <w:rPr>
          <w:lang w:val="pl-PL"/>
        </w:rPr>
        <w:t>sigmoid</w:t>
      </w:r>
      <w:proofErr w:type="spellEnd"/>
      <w:r w:rsidRPr="00916C75">
        <w:rPr>
          <w:lang w:val="pl-PL"/>
        </w:rPr>
        <w:t>) i ten sam protokół treningu.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D04F5" w14:paraId="0F13F848" w14:textId="77777777"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C89CA" w14:textId="77777777" w:rsidR="000D04F5" w:rsidRDefault="007A7DBF">
            <w:pPr>
              <w:pStyle w:val="TableHeading"/>
              <w:jc w:val="left"/>
            </w:pPr>
            <w:proofErr w:type="spellStart"/>
            <w:r>
              <w:t>Ramię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F06AF" w14:textId="77777777" w:rsidR="000D04F5" w:rsidRDefault="007A7DBF">
            <w:pPr>
              <w:pStyle w:val="TableHeading"/>
              <w:jc w:val="left"/>
            </w:pPr>
            <w:proofErr w:type="spellStart"/>
            <w:r>
              <w:t>Opis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074F7" w14:textId="77777777" w:rsidR="000D04F5" w:rsidRDefault="007A7DBF">
            <w:pPr>
              <w:pStyle w:val="TableHeading"/>
              <w:jc w:val="left"/>
            </w:pPr>
            <w:proofErr w:type="spellStart"/>
            <w:r>
              <w:t>Parametry</w:t>
            </w:r>
            <w:proofErr w:type="spellEnd"/>
          </w:p>
        </w:tc>
      </w:tr>
      <w:tr w:rsidR="000D04F5" w14:paraId="71A30323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89FC0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tab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54811" w14:textId="77777777" w:rsidR="000D04F5" w:rsidRDefault="007A7DBF">
            <w:pPr>
              <w:pStyle w:val="TableContents"/>
            </w:pP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kliniczne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A7A4F" w14:textId="77777777" w:rsidR="000D04F5" w:rsidRDefault="007A7DBF">
            <w:pPr>
              <w:pStyle w:val="TableContents"/>
            </w:pPr>
            <w:r>
              <w:t>11 777</w:t>
            </w:r>
          </w:p>
        </w:tc>
      </w:tr>
      <w:tr w:rsidR="000D04F5" w14:paraId="1442763F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C38C6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BC7F" w14:textId="77777777" w:rsidR="000D04F5" w:rsidRDefault="007A7DBF">
            <w:pPr>
              <w:pStyle w:val="TableContents"/>
            </w:pP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obraz</w:t>
            </w:r>
            <w:proofErr w:type="spellEnd"/>
            <w:r>
              <w:t xml:space="preserve"> (</w:t>
            </w:r>
            <w:proofErr w:type="spellStart"/>
            <w:r>
              <w:t>uśrednione</w:t>
            </w:r>
            <w:proofErr w:type="spellEnd"/>
            <w:r>
              <w:t xml:space="preserve"> </w:t>
            </w:r>
            <w:proofErr w:type="spellStart"/>
            <w:r>
              <w:t>tokeny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E59A9" w14:textId="77777777" w:rsidR="000D04F5" w:rsidRDefault="007A7DBF">
            <w:pPr>
              <w:pStyle w:val="TableContents"/>
            </w:pPr>
            <w:r>
              <w:t>172 289</w:t>
            </w:r>
          </w:p>
        </w:tc>
      </w:tr>
      <w:tr w:rsidR="000D04F5" w14:paraId="4E002AA4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F1E29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4EB7A" w14:textId="77777777" w:rsidR="000D04F5" w:rsidRDefault="007A7DBF">
            <w:pPr>
              <w:pStyle w:val="TableContents"/>
            </w:pPr>
            <w:proofErr w:type="spellStart"/>
            <w:r>
              <w:t>konkatenacja</w:t>
            </w:r>
            <w:proofErr w:type="spellEnd"/>
            <w:r>
              <w:t xml:space="preserve"> </w:t>
            </w:r>
            <w:proofErr w:type="spellStart"/>
            <w:r>
              <w:t>obu</w:t>
            </w:r>
            <w:proofErr w:type="spellEnd"/>
            <w:r>
              <w:t xml:space="preserve"> </w:t>
            </w:r>
            <w:proofErr w:type="spellStart"/>
            <w:r>
              <w:t>modalności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A8654" w14:textId="77777777" w:rsidR="000D04F5" w:rsidRDefault="007A7DBF">
            <w:pPr>
              <w:pStyle w:val="TableContents"/>
            </w:pPr>
            <w:r>
              <w:t>183 937</w:t>
            </w:r>
          </w:p>
        </w:tc>
      </w:tr>
      <w:tr w:rsidR="000D04F5" w14:paraId="1A908C61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0C585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66764" w14:textId="77777777" w:rsidR="000D04F5" w:rsidRPr="00916C75" w:rsidRDefault="007A7DBF">
            <w:pPr>
              <w:pStyle w:val="TableContents"/>
              <w:rPr>
                <w:lang w:val="pl-PL"/>
              </w:rPr>
            </w:pPr>
            <w:r w:rsidRPr="00916C75">
              <w:rPr>
                <w:lang w:val="pl-PL"/>
              </w:rPr>
              <w:t xml:space="preserve">konkatenacja z budżetem parametrów jak </w:t>
            </w:r>
            <w:r w:rsidRPr="00916C75">
              <w:rPr>
                <w:rFonts w:ascii="Liberation Mono" w:hAnsi="Liberation Mono"/>
                <w:lang w:val="pl-PL"/>
              </w:rPr>
              <w:t>cross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94CB4" w14:textId="77777777" w:rsidR="000D04F5" w:rsidRDefault="007A7DBF">
            <w:pPr>
              <w:pStyle w:val="TableContents"/>
            </w:pPr>
            <w:r>
              <w:t>408 833</w:t>
            </w:r>
          </w:p>
        </w:tc>
      </w:tr>
      <w:tr w:rsidR="000D04F5" w14:paraId="0C471D69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629CC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E58AB" w14:textId="77777777" w:rsidR="000D04F5" w:rsidRDefault="007A7DBF">
            <w:pPr>
              <w:pStyle w:val="TableContents"/>
            </w:pPr>
            <w:proofErr w:type="spellStart"/>
            <w:r>
              <w:t>dwukierunkowa</w:t>
            </w:r>
            <w:proofErr w:type="spellEnd"/>
            <w:r>
              <w:t xml:space="preserve"> </w:t>
            </w:r>
            <w:proofErr w:type="spellStart"/>
            <w:r>
              <w:t>uwaga</w:t>
            </w:r>
            <w:proofErr w:type="spellEnd"/>
            <w:r>
              <w:t xml:space="preserve"> </w:t>
            </w:r>
            <w:proofErr w:type="spellStart"/>
            <w:r>
              <w:t>skrośna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C5EA1" w14:textId="77777777" w:rsidR="000D04F5" w:rsidRDefault="007A7DBF">
            <w:pPr>
              <w:pStyle w:val="TableContents"/>
            </w:pPr>
            <w:r>
              <w:t>448 897</w:t>
            </w:r>
          </w:p>
        </w:tc>
      </w:tr>
      <w:tr w:rsidR="000D04F5" w14:paraId="5666AFF6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FED3C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CD117" w14:textId="77777777" w:rsidR="000D04F5" w:rsidRPr="00916C75" w:rsidRDefault="007A7DBF">
            <w:pPr>
              <w:pStyle w:val="TableContents"/>
              <w:rPr>
                <w:lang w:val="pl-PL"/>
              </w:rPr>
            </w:pPr>
            <w:r w:rsidRPr="00916C75">
              <w:rPr>
                <w:lang w:val="pl-PL"/>
              </w:rPr>
              <w:t>wyłącznie kierunek „dane kliniczne pytają obraz"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E4555" w14:textId="77777777" w:rsidR="000D04F5" w:rsidRDefault="007A7DBF">
            <w:pPr>
              <w:pStyle w:val="TableContents"/>
            </w:pPr>
            <w:r>
              <w:t>319 873</w:t>
            </w:r>
          </w:p>
        </w:tc>
      </w:tr>
    </w:tbl>
    <w:p w14:paraId="12CA9452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Moduł uwagi skrośnej realizuje dwa kierunki:</w:t>
      </w:r>
    </w:p>
    <w:p w14:paraId="00A8B881" w14:textId="77777777" w:rsidR="000D04F5" w:rsidRPr="00916C75" w:rsidRDefault="007A7DBF">
      <w:pPr>
        <w:pStyle w:val="Textbody"/>
        <w:numPr>
          <w:ilvl w:val="0"/>
          <w:numId w:val="3"/>
        </w:numPr>
        <w:rPr>
          <w:lang w:val="pl-PL"/>
        </w:rPr>
      </w:pPr>
      <w:r w:rsidRPr="00916C75">
        <w:rPr>
          <w:b/>
          <w:lang w:val="pl-PL"/>
        </w:rPr>
        <w:t>A→B</w:t>
      </w:r>
      <w:r w:rsidRPr="00916C75">
        <w:rPr>
          <w:lang w:val="pl-PL"/>
        </w:rPr>
        <w:t xml:space="preserve">: zapytaniem jest rzutowany wektor kliniczny (sekwencja długości 1), kluczami i wartościami — 49 </w:t>
      </w:r>
      <w:proofErr w:type="spellStart"/>
      <w:r w:rsidRPr="00916C75">
        <w:rPr>
          <w:lang w:val="pl-PL"/>
        </w:rPr>
        <w:t>tokenów</w:t>
      </w:r>
      <w:proofErr w:type="spellEnd"/>
      <w:r w:rsidRPr="00916C75">
        <w:rPr>
          <w:lang w:val="pl-PL"/>
        </w:rPr>
        <w:t xml:space="preserve"> obrazowych;</w:t>
      </w:r>
    </w:p>
    <w:p w14:paraId="63BACE81" w14:textId="77777777" w:rsidR="000D04F5" w:rsidRPr="00916C75" w:rsidRDefault="007A7DBF">
      <w:pPr>
        <w:pStyle w:val="Textbody"/>
        <w:numPr>
          <w:ilvl w:val="0"/>
          <w:numId w:val="3"/>
        </w:numPr>
        <w:rPr>
          <w:lang w:val="pl-PL"/>
        </w:rPr>
      </w:pPr>
      <w:r w:rsidRPr="00916C75">
        <w:rPr>
          <w:b/>
          <w:lang w:val="pl-PL"/>
        </w:rPr>
        <w:t>B→A</w:t>
      </w:r>
      <w:r w:rsidRPr="00916C75">
        <w:rPr>
          <w:lang w:val="pl-PL"/>
        </w:rPr>
        <w:t xml:space="preserve">: zapytaniem są </w:t>
      </w:r>
      <w:proofErr w:type="spellStart"/>
      <w:r w:rsidRPr="00916C75">
        <w:rPr>
          <w:lang w:val="pl-PL"/>
        </w:rPr>
        <w:t>tokeny</w:t>
      </w:r>
      <w:proofErr w:type="spellEnd"/>
      <w:r w:rsidRPr="00916C75">
        <w:rPr>
          <w:lang w:val="pl-PL"/>
        </w:rPr>
        <w:t xml:space="preserve"> obrazowe, kluczem i wartością — wektor kliniczny.</w:t>
      </w:r>
    </w:p>
    <w:p w14:paraId="10911A10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Każdy blok zawiera standardowe komponenty </w:t>
      </w:r>
      <w:proofErr w:type="spellStart"/>
      <w:r w:rsidRPr="00916C75">
        <w:rPr>
          <w:lang w:val="pl-PL"/>
        </w:rPr>
        <w:t>transformerowe</w:t>
      </w:r>
      <w:proofErr w:type="spellEnd"/>
      <w:r w:rsidRPr="00916C75">
        <w:rPr>
          <w:lang w:val="pl-PL"/>
        </w:rPr>
        <w:t xml:space="preserve">: </w:t>
      </w:r>
      <w:proofErr w:type="spellStart"/>
      <w:r w:rsidRPr="00916C75">
        <w:rPr>
          <w:rFonts w:ascii="Liberation Mono" w:hAnsi="Liberation Mono"/>
          <w:lang w:val="pl-PL"/>
        </w:rPr>
        <w:t>LayerNorm</w:t>
      </w:r>
      <w:proofErr w:type="spellEnd"/>
      <w:r w:rsidRPr="00916C75">
        <w:rPr>
          <w:lang w:val="pl-PL"/>
        </w:rPr>
        <w:t xml:space="preserve"> z połączeniem rezydualnym po uwadze, sieć </w:t>
      </w:r>
      <w:proofErr w:type="spellStart"/>
      <w:r w:rsidRPr="00916C75">
        <w:rPr>
          <w:lang w:val="pl-PL"/>
        </w:rPr>
        <w:t>feed-forward</w:t>
      </w:r>
      <w:proofErr w:type="spellEnd"/>
      <w:r w:rsidRPr="00916C75">
        <w:rPr>
          <w:lang w:val="pl-PL"/>
        </w:rPr>
        <w:t xml:space="preserve"> z rozszerzeniem, ponownie </w:t>
      </w:r>
      <w:proofErr w:type="spellStart"/>
      <w:r w:rsidRPr="00916C75">
        <w:rPr>
          <w:rFonts w:ascii="Liberation Mono" w:hAnsi="Liberation Mono"/>
          <w:lang w:val="pl-PL"/>
        </w:rPr>
        <w:t>LayerNorm</w:t>
      </w:r>
      <w:proofErr w:type="spellEnd"/>
      <w:r w:rsidRPr="00916C75">
        <w:rPr>
          <w:lang w:val="pl-PL"/>
        </w:rPr>
        <w:t xml:space="preserve"> z połączeniem rezydualnym. Wyjścia obu kierunków uśredniane są po wymiarze sekwencji i konkatenowane.</w:t>
      </w:r>
    </w:p>
    <w:p w14:paraId="29A185AC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 wariancie </w:t>
      </w:r>
      <w:r w:rsidRPr="00916C75">
        <w:rPr>
          <w:rFonts w:ascii="Liberation Mono" w:hAnsi="Liberation Mono"/>
          <w:lang w:val="pl-PL"/>
        </w:rPr>
        <w:t>cross_a2b</w:t>
      </w:r>
      <w:r w:rsidRPr="00916C75">
        <w:rPr>
          <w:lang w:val="pl-PL"/>
        </w:rPr>
        <w:t xml:space="preserve"> gałąź kliniczną dołączono jawnie obok wyjścia uwagi, aby wariant nie tracił dostępu do danych klinicznych — inaczej porównanie z </w:t>
      </w:r>
      <w:r w:rsidRPr="00916C75">
        <w:rPr>
          <w:rFonts w:ascii="Liberation Mono" w:hAnsi="Liberation Mono"/>
          <w:lang w:val="pl-PL"/>
        </w:rPr>
        <w:t>cross</w:t>
      </w:r>
      <w:r w:rsidRPr="00916C75">
        <w:rPr>
          <w:lang w:val="pl-PL"/>
        </w:rPr>
        <w:t xml:space="preserve"> byłoby nieuczciwe.</w:t>
      </w:r>
    </w:p>
    <w:p w14:paraId="3491D141" w14:textId="3497254E" w:rsidR="000D04F5" w:rsidRDefault="007A7DBF">
      <w:pPr>
        <w:pStyle w:val="Textbody"/>
        <w:rPr>
          <w:b/>
          <w:bCs/>
          <w:i/>
          <w:iCs/>
          <w:lang w:val="pl-PL"/>
        </w:rPr>
      </w:pPr>
      <w:proofErr w:type="spellStart"/>
      <w:r w:rsidRPr="00916C75">
        <w:rPr>
          <w:b/>
          <w:lang w:val="pl-PL"/>
        </w:rPr>
        <w:t>Modality</w:t>
      </w:r>
      <w:proofErr w:type="spellEnd"/>
      <w:r w:rsidRPr="00916C75">
        <w:rPr>
          <w:b/>
          <w:lang w:val="pl-PL"/>
        </w:rPr>
        <w:t xml:space="preserve"> </w:t>
      </w:r>
      <w:proofErr w:type="spellStart"/>
      <w:r w:rsidRPr="00916C75">
        <w:rPr>
          <w:b/>
          <w:lang w:val="pl-PL"/>
        </w:rPr>
        <w:t>dropout</w:t>
      </w:r>
      <w:proofErr w:type="spellEnd"/>
      <w:r w:rsidRPr="00916C75">
        <w:rPr>
          <w:b/>
          <w:lang w:val="pl-PL"/>
        </w:rPr>
        <w:t>.</w:t>
      </w:r>
      <w:r w:rsidRPr="00916C75">
        <w:rPr>
          <w:lang w:val="pl-PL"/>
        </w:rPr>
        <w:t xml:space="preserve"> W ramionach multimodalnych zastosowano losowe zerowanie całej modalności dla wybranych próbek (</w:t>
      </w:r>
      <w:proofErr w:type="spellStart"/>
      <w:r w:rsidRPr="00916C75">
        <w:rPr>
          <w:lang w:val="pl-PL"/>
        </w:rPr>
        <w:t>rate</w:t>
      </w:r>
      <w:proofErr w:type="spellEnd"/>
      <w:r w:rsidRPr="00916C75">
        <w:rPr>
          <w:lang w:val="pl-PL"/>
        </w:rPr>
        <w:t xml:space="preserve"> 0,3, maska wspólna dla wszystkich wymiarów próbki). Bez tego mechanizmu model może polegać wyłącznie na jednej gałęzi.</w:t>
      </w:r>
      <w:r w:rsidR="00D01A3E">
        <w:rPr>
          <w:lang w:val="pl-PL"/>
        </w:rPr>
        <w:t xml:space="preserve"> </w:t>
      </w:r>
      <w:r w:rsidR="00A30ABF" w:rsidRPr="00711164">
        <w:rPr>
          <w:lang w:val="pl-PL"/>
        </w:rPr>
        <w:t>[3]</w:t>
      </w:r>
    </w:p>
    <w:p w14:paraId="257EF63B" w14:textId="77777777" w:rsidR="007A3C1B" w:rsidRPr="00916C75" w:rsidRDefault="007A3C1B">
      <w:pPr>
        <w:pStyle w:val="Textbody"/>
        <w:rPr>
          <w:lang w:val="pl-PL"/>
        </w:rPr>
      </w:pPr>
    </w:p>
    <w:p w14:paraId="5915862D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2.6. Diagnostyka polegania na modalności</w:t>
      </w:r>
    </w:p>
    <w:p w14:paraId="29C944D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Wprowadzono miarę bezpośrednio kwantyfikującą wykorzystanie każdej modalności. Po treningu obliczano AUC przy wejściu obrazowym </w:t>
      </w:r>
      <w:r w:rsidRPr="00916C75">
        <w:rPr>
          <w:b/>
          <w:lang w:val="pl-PL"/>
        </w:rPr>
        <w:t>przetasowanym między pacjentkami</w:t>
      </w:r>
      <w:r w:rsidRPr="00916C75">
        <w:rPr>
          <w:lang w:val="pl-PL"/>
        </w:rPr>
        <w:t xml:space="preserve"> (przy niezmienionych danych klinicznych) i odwrotnie:</w:t>
      </w:r>
    </w:p>
    <w:p w14:paraId="2962B370" w14:textId="77777777" w:rsidR="000D04F5" w:rsidRPr="00916C75" w:rsidRDefault="007A7DBF">
      <w:pPr>
        <w:pStyle w:val="PreformattedText"/>
        <w:spacing w:after="283"/>
        <w:rPr>
          <w:lang w:val="pl-PL"/>
        </w:rPr>
      </w:pPr>
      <w:proofErr w:type="spellStart"/>
      <w:r w:rsidRPr="00916C75">
        <w:rPr>
          <w:lang w:val="pl-PL"/>
        </w:rPr>
        <w:t>rely_img</w:t>
      </w:r>
      <w:proofErr w:type="spellEnd"/>
      <w:r w:rsidRPr="00916C75">
        <w:rPr>
          <w:lang w:val="pl-PL"/>
        </w:rPr>
        <w:t xml:space="preserve"> = AUC − AUC(obraz przetasowany)</w:t>
      </w:r>
      <w:r w:rsidRPr="00916C75">
        <w:rPr>
          <w:lang w:val="pl-PL"/>
        </w:rPr>
        <w:br/>
      </w:r>
      <w:proofErr w:type="spellStart"/>
      <w:r w:rsidRPr="00916C75">
        <w:rPr>
          <w:lang w:val="pl-PL"/>
        </w:rPr>
        <w:t>rely_tab</w:t>
      </w:r>
      <w:proofErr w:type="spellEnd"/>
      <w:r w:rsidRPr="00916C75">
        <w:rPr>
          <w:lang w:val="pl-PL"/>
        </w:rPr>
        <w:t xml:space="preserve"> = AUC − AUC(dane kliniczne przetasowane)</w:t>
      </w:r>
    </w:p>
    <w:p w14:paraId="4A8AA687" w14:textId="12B9078F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>Wartość bliska zeru oznacza, że modalność nie wpływa na predykcję. Miara jest bezpośrednia — nie wymaga interpretacji wag uwagi, których wartość diagnostyczna jest kwestionowana.</w:t>
      </w:r>
    </w:p>
    <w:p w14:paraId="5F63AF6C" w14:textId="0E4D9E1A" w:rsidR="007A3C1B" w:rsidRDefault="007A3C1B">
      <w:pPr>
        <w:pStyle w:val="Textbody"/>
        <w:rPr>
          <w:lang w:val="pl-PL"/>
        </w:rPr>
      </w:pPr>
    </w:p>
    <w:p w14:paraId="52B6F315" w14:textId="77777777" w:rsidR="007A3C1B" w:rsidRPr="00916C75" w:rsidRDefault="007A3C1B">
      <w:pPr>
        <w:pStyle w:val="Textbody"/>
        <w:rPr>
          <w:lang w:val="pl-PL"/>
        </w:rPr>
      </w:pPr>
    </w:p>
    <w:p w14:paraId="442376E3" w14:textId="77777777" w:rsidR="000D04F5" w:rsidRDefault="007A7DBF">
      <w:pPr>
        <w:pStyle w:val="Nagwek3"/>
      </w:pPr>
      <w:r>
        <w:lastRenderedPageBreak/>
        <w:t xml:space="preserve">2.7. </w:t>
      </w:r>
      <w:proofErr w:type="spellStart"/>
      <w:r>
        <w:t>Protokół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1F94C73F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>Powtórzona stratyfikowana walidacja krzyżowa 5×5</w:t>
      </w:r>
      <w:r w:rsidRPr="00916C75">
        <w:rPr>
          <w:lang w:val="pl-PL"/>
        </w:rPr>
        <w:t xml:space="preserve"> (25 </w:t>
      </w:r>
      <w:proofErr w:type="spellStart"/>
      <w:r w:rsidRPr="00916C75">
        <w:rPr>
          <w:lang w:val="pl-PL"/>
        </w:rPr>
        <w:t>foldów</w:t>
      </w:r>
      <w:proofErr w:type="spellEnd"/>
      <w:r w:rsidRPr="00916C75">
        <w:rPr>
          <w:lang w:val="pl-PL"/>
        </w:rPr>
        <w:t>), podział na poziomie pacjenta.</w:t>
      </w:r>
    </w:p>
    <w:p w14:paraId="29AC7B21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 xml:space="preserve">Trzy ziarna inicjalizacji na każdy </w:t>
      </w:r>
      <w:proofErr w:type="spellStart"/>
      <w:r w:rsidRPr="00916C75">
        <w:rPr>
          <w:b/>
          <w:lang w:val="pl-PL"/>
        </w:rPr>
        <w:t>fold</w:t>
      </w:r>
      <w:proofErr w:type="spellEnd"/>
      <w:r w:rsidRPr="00916C75">
        <w:rPr>
          <w:lang w:val="pl-PL"/>
        </w:rPr>
        <w:t xml:space="preserve"> — łącznie 450 wytrenowanych modeli.</w:t>
      </w:r>
    </w:p>
    <w:p w14:paraId="58FC6027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>Wewnętrzny zbiór walidacyjny</w:t>
      </w:r>
      <w:r w:rsidRPr="00916C75">
        <w:rPr>
          <w:lang w:val="pl-PL"/>
        </w:rPr>
        <w:t xml:space="preserve"> (18% </w:t>
      </w:r>
      <w:proofErr w:type="spellStart"/>
      <w:r w:rsidRPr="00916C75">
        <w:rPr>
          <w:lang w:val="pl-PL"/>
        </w:rPr>
        <w:t>foldu</w:t>
      </w:r>
      <w:proofErr w:type="spellEnd"/>
      <w:r w:rsidRPr="00916C75">
        <w:rPr>
          <w:lang w:val="pl-PL"/>
        </w:rPr>
        <w:t xml:space="preserve"> treningowego, na poziomie pacjenta) do wczesnego zatrzymania, monitorowana metryka AUC.</w:t>
      </w:r>
    </w:p>
    <w:p w14:paraId="650196BA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>Imputacja median i standaryzacja</w:t>
      </w:r>
      <w:r w:rsidRPr="00916C75">
        <w:rPr>
          <w:lang w:val="pl-PL"/>
        </w:rPr>
        <w:t xml:space="preserve"> dopasowywane wyłącznie na </w:t>
      </w:r>
      <w:proofErr w:type="spellStart"/>
      <w:r w:rsidRPr="00916C75">
        <w:rPr>
          <w:lang w:val="pl-PL"/>
        </w:rPr>
        <w:t>foldzie</w:t>
      </w:r>
      <w:proofErr w:type="spellEnd"/>
      <w:r w:rsidRPr="00916C75">
        <w:rPr>
          <w:lang w:val="pl-PL"/>
        </w:rPr>
        <w:t xml:space="preserve"> treningowym.</w:t>
      </w:r>
    </w:p>
    <w:p w14:paraId="09004041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>Agregacja na poziomie pacjenta</w:t>
      </w:r>
      <w:r w:rsidRPr="00916C75">
        <w:rPr>
          <w:lang w:val="pl-PL"/>
        </w:rPr>
        <w:t>: uśrednienie prawdopodobieństw po 40 kafelkach przed obliczeniem metryk. Ewaluacja na poziomie kafelka zawyżałaby wyniki i błędnie szacowała wariancję ze względu na korelację kafelków tej samej pacjentki.</w:t>
      </w:r>
    </w:p>
    <w:p w14:paraId="69ADB98E" w14:textId="77777777" w:rsidR="000D04F5" w:rsidRPr="00916C75" w:rsidRDefault="007A7DBF">
      <w:pPr>
        <w:pStyle w:val="Textbody"/>
        <w:numPr>
          <w:ilvl w:val="0"/>
          <w:numId w:val="4"/>
        </w:numPr>
        <w:rPr>
          <w:lang w:val="pl-PL"/>
        </w:rPr>
      </w:pPr>
      <w:r w:rsidRPr="00916C75">
        <w:rPr>
          <w:b/>
          <w:lang w:val="pl-PL"/>
        </w:rPr>
        <w:t>Pełny determinizm obliczeń</w:t>
      </w:r>
      <w:r w:rsidRPr="00916C75">
        <w:rPr>
          <w:lang w:val="pl-PL"/>
        </w:rPr>
        <w:t xml:space="preserve"> (</w:t>
      </w:r>
      <w:proofErr w:type="spellStart"/>
      <w:r w:rsidRPr="00916C75">
        <w:rPr>
          <w:rFonts w:ascii="Liberation Mono" w:hAnsi="Liberation Mono"/>
          <w:lang w:val="pl-PL"/>
        </w:rPr>
        <w:t>enable_op_determinism</w:t>
      </w:r>
      <w:proofErr w:type="spellEnd"/>
      <w:r w:rsidRPr="00916C75">
        <w:rPr>
          <w:lang w:val="pl-PL"/>
        </w:rPr>
        <w:t>, jednowątkowe wykonanie), zweryfikowany porównaniem dwóch niezależnych uruchomień — wyniki identyczne bit w bit.</w:t>
      </w:r>
    </w:p>
    <w:p w14:paraId="48B4626A" w14:textId="4F9849D7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Jako analizę odporności wykonano dodatkowo podział </w:t>
      </w:r>
      <w:r w:rsidRPr="00916C75">
        <w:rPr>
          <w:b/>
          <w:lang w:val="pl-PL"/>
        </w:rPr>
        <w:t>po ośrodku pobrania</w:t>
      </w:r>
      <w:r w:rsidRPr="00916C75">
        <w:rPr>
          <w:lang w:val="pl-PL"/>
        </w:rPr>
        <w:t xml:space="preserve"> z użyciem </w:t>
      </w:r>
      <w:proofErr w:type="spellStart"/>
      <w:r w:rsidRPr="00916C75">
        <w:rPr>
          <w:rFonts w:ascii="Liberation Mono" w:hAnsi="Liberation Mono"/>
          <w:lang w:val="pl-PL"/>
        </w:rPr>
        <w:t>StratifiedGroupKFold</w:t>
      </w:r>
      <w:proofErr w:type="spellEnd"/>
      <w:r w:rsidRPr="00916C75">
        <w:rPr>
          <w:lang w:val="pl-PL"/>
        </w:rPr>
        <w:t xml:space="preserve">. Zwykły </w:t>
      </w:r>
      <w:proofErr w:type="spellStart"/>
      <w:r w:rsidRPr="00916C75">
        <w:rPr>
          <w:rFonts w:ascii="Liberation Mono" w:hAnsi="Liberation Mono"/>
          <w:lang w:val="pl-PL"/>
        </w:rPr>
        <w:t>GroupKFold</w:t>
      </w:r>
      <w:proofErr w:type="spellEnd"/>
      <w:r w:rsidRPr="00916C75">
        <w:rPr>
          <w:lang w:val="pl-PL"/>
        </w:rPr>
        <w:t xml:space="preserve"> odrzucono, ponieważ przy skrajnie nierównym rozkładzie ośrodków generował </w:t>
      </w:r>
      <w:proofErr w:type="spellStart"/>
      <w:r w:rsidRPr="00916C75">
        <w:rPr>
          <w:lang w:val="pl-PL"/>
        </w:rPr>
        <w:t>fold</w:t>
      </w:r>
      <w:proofErr w:type="spellEnd"/>
      <w:r w:rsidRPr="00916C75">
        <w:rPr>
          <w:lang w:val="pl-PL"/>
        </w:rPr>
        <w:t xml:space="preserve"> złożony z jednego szpitala o rozkładzie klas 45:6.</w:t>
      </w:r>
    </w:p>
    <w:p w14:paraId="20559573" w14:textId="77777777" w:rsidR="007A3C1B" w:rsidRPr="00916C75" w:rsidRDefault="007A3C1B">
      <w:pPr>
        <w:pStyle w:val="Textbody"/>
        <w:rPr>
          <w:lang w:val="pl-PL"/>
        </w:rPr>
      </w:pPr>
    </w:p>
    <w:p w14:paraId="4B305094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2.8. Analiza statystyczna</w:t>
      </w:r>
    </w:p>
    <w:p w14:paraId="17900FF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Porównania par wykonano testem kolejności par </w:t>
      </w:r>
      <w:proofErr w:type="spellStart"/>
      <w:r w:rsidRPr="00916C75">
        <w:rPr>
          <w:lang w:val="pl-PL"/>
        </w:rPr>
        <w:t>Wilcoxona</w:t>
      </w:r>
      <w:proofErr w:type="spellEnd"/>
      <w:r w:rsidRPr="00916C75">
        <w:rPr>
          <w:lang w:val="pl-PL"/>
        </w:rPr>
        <w:t xml:space="preserve"> na wynikach sparowanych po </w:t>
      </w:r>
      <w:proofErr w:type="spellStart"/>
      <w:r w:rsidRPr="00916C75">
        <w:rPr>
          <w:lang w:val="pl-PL"/>
        </w:rPr>
        <w:t>foldach</w:t>
      </w:r>
      <w:proofErr w:type="spellEnd"/>
      <w:r w:rsidRPr="00916C75">
        <w:rPr>
          <w:lang w:val="pl-PL"/>
        </w:rPr>
        <w:t xml:space="preserve"> (po uprzednim uśrednieniu po ziarnach), z korektą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na wielokrotne testowanie. Przedziały ufności dla średnich obliczono metodą normalną z błędem standardowym po </w:t>
      </w:r>
      <w:proofErr w:type="spellStart"/>
      <w:r w:rsidRPr="00916C75">
        <w:rPr>
          <w:lang w:val="pl-PL"/>
        </w:rPr>
        <w:t>foldach</w:t>
      </w:r>
      <w:proofErr w:type="spellEnd"/>
      <w:r w:rsidRPr="00916C75">
        <w:rPr>
          <w:lang w:val="pl-PL"/>
        </w:rPr>
        <w:t>.</w:t>
      </w:r>
    </w:p>
    <w:p w14:paraId="6AFB53B9" w14:textId="43F33C4A" w:rsidR="000D04F5" w:rsidRDefault="007A7DBF" w:rsidP="007A3C1B">
      <w:pPr>
        <w:pStyle w:val="Textbody"/>
        <w:rPr>
          <w:lang w:val="pl-PL"/>
        </w:rPr>
      </w:pPr>
      <w:r w:rsidRPr="00916C75">
        <w:rPr>
          <w:lang w:val="pl-PL"/>
        </w:rPr>
        <w:t xml:space="preserve">Wariancję rozłożono na trzy źródła: odchylenie standardowe między </w:t>
      </w:r>
      <w:proofErr w:type="spellStart"/>
      <w:r w:rsidRPr="00916C75">
        <w:rPr>
          <w:lang w:val="pl-PL"/>
        </w:rPr>
        <w:t>foldami</w:t>
      </w:r>
      <w:proofErr w:type="spellEnd"/>
      <w:r w:rsidRPr="00916C75">
        <w:rPr>
          <w:lang w:val="pl-PL"/>
        </w:rPr>
        <w:t xml:space="preserve"> (średnia po ramionach), między ziarnami (przy ustalonym </w:t>
      </w:r>
      <w:proofErr w:type="spellStart"/>
      <w:r w:rsidRPr="00916C75">
        <w:rPr>
          <w:lang w:val="pl-PL"/>
        </w:rPr>
        <w:t>foldzie</w:t>
      </w:r>
      <w:proofErr w:type="spellEnd"/>
      <w:r w:rsidRPr="00916C75">
        <w:rPr>
          <w:lang w:val="pl-PL"/>
        </w:rPr>
        <w:t xml:space="preserve"> i ramieniu) oraz między ramionami (średnia po </w:t>
      </w:r>
      <w:proofErr w:type="spellStart"/>
      <w:r w:rsidRPr="00916C75">
        <w:rPr>
          <w:lang w:val="pl-PL"/>
        </w:rPr>
        <w:t>foldach</w:t>
      </w:r>
      <w:proofErr w:type="spellEnd"/>
      <w:r w:rsidRPr="00916C75">
        <w:rPr>
          <w:lang w:val="pl-PL"/>
        </w:rPr>
        <w:t>).</w:t>
      </w:r>
    </w:p>
    <w:p w14:paraId="655CB1EE" w14:textId="77777777" w:rsidR="007A3C1B" w:rsidRPr="00916C75" w:rsidRDefault="007A3C1B" w:rsidP="007A3C1B">
      <w:pPr>
        <w:pStyle w:val="Textbody"/>
        <w:rPr>
          <w:lang w:val="pl-PL"/>
        </w:rPr>
      </w:pPr>
    </w:p>
    <w:p w14:paraId="46C7D4F2" w14:textId="0E53162D" w:rsidR="000D04F5" w:rsidRDefault="007A7DBF">
      <w:pPr>
        <w:pStyle w:val="Nagwek2"/>
        <w:rPr>
          <w:lang w:val="pl-PL"/>
        </w:rPr>
      </w:pPr>
      <w:r w:rsidRPr="00916C75">
        <w:rPr>
          <w:lang w:val="pl-PL"/>
        </w:rPr>
        <w:t>3. Wyniki</w:t>
      </w:r>
    </w:p>
    <w:p w14:paraId="24867512" w14:textId="77777777" w:rsidR="007A3C1B" w:rsidRPr="007A3C1B" w:rsidRDefault="007A3C1B" w:rsidP="007A3C1B">
      <w:pPr>
        <w:pStyle w:val="Textbody"/>
        <w:rPr>
          <w:lang w:val="pl-PL"/>
        </w:rPr>
      </w:pPr>
    </w:p>
    <w:p w14:paraId="7B4121C0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3.1. Kierunek B→A jest matematycznie zdegenerowany</w:t>
      </w:r>
    </w:p>
    <w:p w14:paraId="0CB8BACA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 kierunku „obraz pyta dane kliniczne" kluczem i wartością jest </w:t>
      </w:r>
      <w:r w:rsidRPr="00916C75">
        <w:rPr>
          <w:b/>
          <w:lang w:val="pl-PL"/>
        </w:rPr>
        <w:t>pojedynczy</w:t>
      </w:r>
      <w:r w:rsidRPr="00916C75">
        <w:rPr>
          <w:lang w:val="pl-PL"/>
        </w:rPr>
        <w:t xml:space="preserve"> wektor kliniczny. Operacja uwagi przyjmuje wtedy postać</w:t>
      </w:r>
    </w:p>
    <w:p w14:paraId="25E28A90" w14:textId="77777777" w:rsidR="000D04F5" w:rsidRPr="00916C75" w:rsidRDefault="007A7DBF">
      <w:pPr>
        <w:pStyle w:val="PreformattedText"/>
        <w:spacing w:after="283"/>
        <w:rPr>
          <w:lang w:val="pl-PL"/>
        </w:rPr>
      </w:pPr>
      <w:proofErr w:type="spellStart"/>
      <w:r w:rsidRPr="00916C75">
        <w:rPr>
          <w:lang w:val="pl-PL"/>
        </w:rPr>
        <w:t>softmax</w:t>
      </w:r>
      <w:proofErr w:type="spellEnd"/>
      <w:r w:rsidRPr="00916C75">
        <w:rPr>
          <w:lang w:val="pl-PL"/>
        </w:rPr>
        <w:t>(QK</w:t>
      </w:r>
      <w:r>
        <w:t>ᵀ</w:t>
      </w:r>
      <w:r w:rsidRPr="00916C75">
        <w:rPr>
          <w:lang w:val="pl-PL"/>
        </w:rPr>
        <w:t>/√d) · V,   gdzie K, V ∈ ℝ^(1×d)</w:t>
      </w:r>
    </w:p>
    <w:p w14:paraId="7EEA6C1C" w14:textId="77777777" w:rsidR="000D04F5" w:rsidRPr="00916C75" w:rsidRDefault="007A7DBF">
      <w:pPr>
        <w:pStyle w:val="Textbody"/>
        <w:rPr>
          <w:lang w:val="pl-PL"/>
        </w:rPr>
      </w:pPr>
      <w:proofErr w:type="spellStart"/>
      <w:r w:rsidRPr="00916C75">
        <w:rPr>
          <w:lang w:val="pl-PL"/>
        </w:rPr>
        <w:t>Softmax</w:t>
      </w:r>
      <w:proofErr w:type="spellEnd"/>
      <w:r w:rsidRPr="00916C75">
        <w:rPr>
          <w:lang w:val="pl-PL"/>
        </w:rPr>
        <w:t xml:space="preserve"> po jednym elemencie wynosi tożsamościowo 1, zatem wyjście równa się dokładnie wartości V — </w:t>
      </w:r>
      <w:r w:rsidRPr="00916C75">
        <w:rPr>
          <w:b/>
          <w:lang w:val="pl-PL"/>
        </w:rPr>
        <w:t>niezależnie od zapytania</w:t>
      </w:r>
      <w:r w:rsidRPr="00916C75">
        <w:rPr>
          <w:lang w:val="pl-PL"/>
        </w:rPr>
        <w:t xml:space="preserve">. Blok nie wykonuje żadnej selekcji ani interakcji </w:t>
      </w:r>
      <w:proofErr w:type="spellStart"/>
      <w:r w:rsidRPr="00916C75">
        <w:rPr>
          <w:lang w:val="pl-PL"/>
        </w:rPr>
        <w:t>międzymodalnej</w:t>
      </w:r>
      <w:proofErr w:type="spellEnd"/>
      <w:r w:rsidRPr="00916C75">
        <w:rPr>
          <w:lang w:val="pl-PL"/>
        </w:rPr>
        <w:t>.</w:t>
      </w:r>
    </w:p>
    <w:p w14:paraId="6E8902EA" w14:textId="691D0C74" w:rsidR="007A3C1B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Weryfikacja numeryczna: dla dwóch niezależnie wylosowanych tensorów obrazowych przy identycznym wejściu klinicznym maksymalna różnica wyjść wyniosła </w:t>
      </w:r>
      <w:r w:rsidRPr="00916C75">
        <w:rPr>
          <w:b/>
          <w:lang w:val="pl-PL"/>
        </w:rPr>
        <w:t>0,000·10⁰</w:t>
      </w:r>
      <w:r w:rsidRPr="00916C75">
        <w:rPr>
          <w:lang w:val="pl-PL"/>
        </w:rPr>
        <w:t>, a wyjście było stałe wzdłuż wszystkich 49 pozycji przestrzennych</w:t>
      </w:r>
      <w:r w:rsidR="00DC7B8C">
        <w:rPr>
          <w:lang w:val="pl-PL"/>
        </w:rPr>
        <w:t xml:space="preserve"> </w:t>
      </w:r>
      <w:r w:rsidR="00DC7B8C" w:rsidRPr="00DC7B8C">
        <w:rPr>
          <w:b/>
          <w:bCs/>
          <w:lang w:val="pl-PL"/>
        </w:rPr>
        <w:t>(Ryciny 1-2)</w:t>
      </w:r>
      <w:r w:rsidRPr="00916C75">
        <w:rPr>
          <w:lang w:val="pl-PL"/>
        </w:rPr>
        <w:t>.</w:t>
      </w:r>
    </w:p>
    <w:p w14:paraId="1CAE5B25" w14:textId="16DB5FBD" w:rsidR="002C7AF3" w:rsidRPr="007A3C1B" w:rsidRDefault="002C7AF3" w:rsidP="007A3C1B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lastRenderedPageBreak/>
        <w:t>Rycina 1.</w:t>
      </w:r>
      <w:r w:rsidRPr="00916C75">
        <w:rPr>
          <w:lang w:val="pl-PL"/>
        </w:rPr>
        <w:t xml:space="preserve"> Schemat architektury z zaznaczeniem obu kierunków uwagi i ścieżek rezydualnych; wyróżnienie ścieżki, którą faktycznie płynie sygnał obrazowy.</w:t>
      </w:r>
    </w:p>
    <w:p w14:paraId="1AA7A785" w14:textId="01831CD6" w:rsidR="002C7AF3" w:rsidRPr="00916C75" w:rsidRDefault="002C7AF3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DF5E2C2" wp14:editId="58FE94D5">
            <wp:extent cx="5972175" cy="3800306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062" cy="38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1D28" w14:textId="5545FA45" w:rsidR="002C7AF3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Kierunek B→A nie jest jednak neutralny: jego połączenie rezydualne przepuszcza uśrednione </w:t>
      </w:r>
      <w:proofErr w:type="spellStart"/>
      <w:r w:rsidRPr="00916C75">
        <w:rPr>
          <w:lang w:val="pl-PL"/>
        </w:rPr>
        <w:t>tokeny</w:t>
      </w:r>
      <w:proofErr w:type="spellEnd"/>
      <w:r w:rsidRPr="00916C75">
        <w:rPr>
          <w:lang w:val="pl-PL"/>
        </w:rPr>
        <w:t xml:space="preserve"> obrazowe do wyjścia. Stanowi zatem </w:t>
      </w:r>
      <w:r w:rsidRPr="00916C75">
        <w:rPr>
          <w:b/>
          <w:lang w:val="pl-PL"/>
        </w:rPr>
        <w:t>addytywną fuzję równoważną konkatenacji</w:t>
      </w:r>
      <w:r w:rsidRPr="00916C75">
        <w:rPr>
          <w:lang w:val="pl-PL"/>
        </w:rPr>
        <w:t>, realizowaną kosztem 129 tysięcy parametrów (29% modelu).</w:t>
      </w:r>
    </w:p>
    <w:p w14:paraId="5F1943F4" w14:textId="77777777" w:rsidR="002C7AF3" w:rsidRPr="00916C75" w:rsidRDefault="002C7AF3" w:rsidP="002C7AF3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2.</w:t>
      </w:r>
      <w:r w:rsidRPr="00916C75">
        <w:rPr>
          <w:lang w:val="pl-PL"/>
        </w:rPr>
        <w:t xml:space="preserve"> Ilustracja degeneracji B→A: dwa różne wejścia obrazowe, identyczne wyjścia modułu.</w:t>
      </w:r>
    </w:p>
    <w:p w14:paraId="63841D7D" w14:textId="4320CBAC" w:rsidR="002C7AF3" w:rsidRPr="00916C75" w:rsidRDefault="002A1D1C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F8B2C15" wp14:editId="13FB5CB0">
            <wp:extent cx="6120130" cy="3615690"/>
            <wp:effectExtent l="0" t="0" r="0" b="381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B2B5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lastRenderedPageBreak/>
        <w:t xml:space="preserve">3.2. Dokładność: brak różnic między </w:t>
      </w:r>
      <w:proofErr w:type="spellStart"/>
      <w:r w:rsidRPr="00916C75">
        <w:rPr>
          <w:lang w:val="pl-PL"/>
        </w:rPr>
        <w:t>architekturami</w:t>
      </w:r>
      <w:proofErr w:type="spellEnd"/>
    </w:p>
    <w:p w14:paraId="1E8C6269" w14:textId="77777777" w:rsidR="00DC7B8C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1.</w:t>
      </w:r>
      <w:r w:rsidRPr="00916C75">
        <w:rPr>
          <w:lang w:val="pl-PL"/>
        </w:rPr>
        <w:t xml:space="preserve"> </w:t>
      </w:r>
    </w:p>
    <w:p w14:paraId="584587F1" w14:textId="208B641D" w:rsidR="000D04F5" w:rsidRPr="00DC7B8C" w:rsidRDefault="007A7DBF">
      <w:pPr>
        <w:pStyle w:val="Textbody"/>
        <w:rPr>
          <w:sz w:val="22"/>
          <w:szCs w:val="22"/>
          <w:lang w:val="pl-PL"/>
        </w:rPr>
      </w:pPr>
      <w:r w:rsidRPr="00DC7B8C">
        <w:rPr>
          <w:sz w:val="22"/>
          <w:szCs w:val="22"/>
          <w:lang w:val="pl-PL"/>
        </w:rPr>
        <w:t xml:space="preserve">AUC na poziomie pacjenta, średnia z 25 </w:t>
      </w:r>
      <w:proofErr w:type="spellStart"/>
      <w:r w:rsidRPr="00DC7B8C">
        <w:rPr>
          <w:sz w:val="22"/>
          <w:szCs w:val="22"/>
          <w:lang w:val="pl-PL"/>
        </w:rPr>
        <w:t>foldów</w:t>
      </w:r>
      <w:proofErr w:type="spellEnd"/>
      <w:r w:rsidRPr="00DC7B8C">
        <w:rPr>
          <w:sz w:val="22"/>
          <w:szCs w:val="22"/>
          <w:lang w:val="pl-PL"/>
        </w:rPr>
        <w:t xml:space="preserve"> po uśrednieniu trzech ziaren inicjalizacji</w:t>
      </w:r>
      <w:r w:rsidR="00DC7B8C" w:rsidRPr="00DC7B8C">
        <w:rPr>
          <w:sz w:val="22"/>
          <w:szCs w:val="22"/>
          <w:lang w:val="pl-PL"/>
        </w:rPr>
        <w:t xml:space="preserve"> </w:t>
      </w:r>
      <w:r w:rsidR="00DC7B8C" w:rsidRPr="00DC7B8C">
        <w:rPr>
          <w:b/>
          <w:bCs/>
          <w:sz w:val="22"/>
          <w:szCs w:val="22"/>
          <w:lang w:val="pl-PL"/>
        </w:rPr>
        <w:t>(Rycina 3)</w:t>
      </w:r>
      <w:r w:rsidRPr="00DC7B8C">
        <w:rPr>
          <w:sz w:val="22"/>
          <w:szCs w:val="22"/>
          <w:lang w:val="pl-PL"/>
        </w:rPr>
        <w:t>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09"/>
        <w:gridCol w:w="2409"/>
      </w:tblGrid>
      <w:tr w:rsidR="000D04F5" w14:paraId="0AAC3064" w14:textId="77777777">
        <w:trPr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D1F9C" w14:textId="77777777" w:rsidR="000D04F5" w:rsidRDefault="007A7DBF">
            <w:pPr>
              <w:pStyle w:val="TableHeading"/>
              <w:jc w:val="left"/>
            </w:pPr>
            <w:proofErr w:type="spellStart"/>
            <w:r>
              <w:t>Ramię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2AC91" w14:textId="77777777" w:rsidR="000D04F5" w:rsidRDefault="007A7DBF">
            <w:pPr>
              <w:pStyle w:val="TableHeading"/>
              <w:jc w:val="left"/>
            </w:pPr>
            <w:r>
              <w:t>AUC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30B1F" w14:textId="77777777" w:rsidR="000D04F5" w:rsidRDefault="007A7DBF">
            <w:pPr>
              <w:pStyle w:val="TableHeading"/>
              <w:jc w:val="left"/>
            </w:pPr>
            <w:r>
              <w:t>95% CI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E72EF" w14:textId="77777777" w:rsidR="000D04F5" w:rsidRDefault="007A7DBF">
            <w:pPr>
              <w:pStyle w:val="TableHeading"/>
              <w:jc w:val="left"/>
            </w:pPr>
            <w:r>
              <w:t>SD</w:t>
            </w:r>
          </w:p>
        </w:tc>
      </w:tr>
      <w:tr w:rsidR="000D04F5" w14:paraId="7730A1C4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91F95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D53E5" w14:textId="77777777" w:rsidR="000D04F5" w:rsidRDefault="007A7DBF">
            <w:pPr>
              <w:pStyle w:val="TableContents"/>
            </w:pPr>
            <w:r>
              <w:t>0,742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85DF2" w14:textId="77777777" w:rsidR="000D04F5" w:rsidRDefault="007A7DBF">
            <w:pPr>
              <w:pStyle w:val="TableContents"/>
            </w:pPr>
            <w:r>
              <w:t>[0,702; 0,781]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8DA05" w14:textId="77777777" w:rsidR="000D04F5" w:rsidRDefault="007A7DBF">
            <w:pPr>
              <w:pStyle w:val="TableContents"/>
            </w:pPr>
            <w:r>
              <w:t>0,100</w:t>
            </w:r>
          </w:p>
        </w:tc>
      </w:tr>
      <w:tr w:rsidR="000D04F5" w14:paraId="7C7FF515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AE600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659E7" w14:textId="77777777" w:rsidR="000D04F5" w:rsidRDefault="007A7DBF">
            <w:pPr>
              <w:pStyle w:val="TableContents"/>
            </w:pPr>
            <w:r>
              <w:t>0,741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3CCD5" w14:textId="77777777" w:rsidR="000D04F5" w:rsidRDefault="007A7DBF">
            <w:pPr>
              <w:pStyle w:val="TableContents"/>
            </w:pPr>
            <w:r>
              <w:t>[0,703; 0,779]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5E004" w14:textId="77777777" w:rsidR="000D04F5" w:rsidRDefault="007A7DBF">
            <w:pPr>
              <w:pStyle w:val="TableContents"/>
            </w:pPr>
            <w:r>
              <w:t>0,097</w:t>
            </w:r>
          </w:p>
        </w:tc>
      </w:tr>
      <w:tr w:rsidR="000D04F5" w14:paraId="364BD472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A1B97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15E86" w14:textId="77777777" w:rsidR="000D04F5" w:rsidRDefault="007A7DBF">
            <w:pPr>
              <w:pStyle w:val="TableContents"/>
            </w:pPr>
            <w:r>
              <w:t>0,740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41F63" w14:textId="77777777" w:rsidR="000D04F5" w:rsidRDefault="007A7DBF">
            <w:pPr>
              <w:pStyle w:val="TableContents"/>
            </w:pPr>
            <w:r>
              <w:t>[0,708; 0,772]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4D13C" w14:textId="77777777" w:rsidR="000D04F5" w:rsidRDefault="007A7DBF">
            <w:pPr>
              <w:pStyle w:val="TableContents"/>
            </w:pPr>
            <w:r>
              <w:t>0,082</w:t>
            </w:r>
          </w:p>
        </w:tc>
      </w:tr>
      <w:tr w:rsidR="000D04F5" w14:paraId="7BFBD92A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1F79A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48EC9" w14:textId="77777777" w:rsidR="000D04F5" w:rsidRDefault="007A7DBF">
            <w:pPr>
              <w:pStyle w:val="TableContents"/>
            </w:pPr>
            <w:r>
              <w:t>0,736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68592" w14:textId="77777777" w:rsidR="000D04F5" w:rsidRDefault="007A7DBF">
            <w:pPr>
              <w:pStyle w:val="TableContents"/>
            </w:pPr>
            <w:r>
              <w:t>[0,698; 0,773]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EEFA2" w14:textId="77777777" w:rsidR="000D04F5" w:rsidRDefault="007A7DBF">
            <w:pPr>
              <w:pStyle w:val="TableContents"/>
            </w:pPr>
            <w:r>
              <w:t>0,096</w:t>
            </w:r>
          </w:p>
        </w:tc>
      </w:tr>
      <w:tr w:rsidR="000D04F5" w14:paraId="227DC6BB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70CC2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tab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1228C" w14:textId="77777777" w:rsidR="000D04F5" w:rsidRDefault="007A7DBF">
            <w:pPr>
              <w:pStyle w:val="TableContents"/>
            </w:pPr>
            <w:r>
              <w:t>0,725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75E47" w14:textId="77777777" w:rsidR="000D04F5" w:rsidRDefault="007A7DBF">
            <w:pPr>
              <w:pStyle w:val="TableContents"/>
            </w:pPr>
            <w:r>
              <w:t>[0,690; 0,760]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8A8B9" w14:textId="77777777" w:rsidR="000D04F5" w:rsidRDefault="007A7DBF">
            <w:pPr>
              <w:pStyle w:val="TableContents"/>
            </w:pPr>
            <w:r>
              <w:t>0,089</w:t>
            </w:r>
          </w:p>
        </w:tc>
      </w:tr>
      <w:tr w:rsidR="000D04F5" w14:paraId="65CD5C4E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DC1C9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00B4B" w14:textId="77777777" w:rsidR="000D04F5" w:rsidRDefault="007A7DBF">
            <w:pPr>
              <w:pStyle w:val="TableContents"/>
            </w:pPr>
            <w:r>
              <w:t>0,709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E1CD4" w14:textId="77777777" w:rsidR="000D04F5" w:rsidRDefault="007A7DBF">
            <w:pPr>
              <w:pStyle w:val="TableContents"/>
            </w:pPr>
            <w:r>
              <w:t>[0,681; 0,737]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4D006" w14:textId="77777777" w:rsidR="000D04F5" w:rsidRDefault="007A7DBF">
            <w:pPr>
              <w:pStyle w:val="TableContents"/>
            </w:pPr>
            <w:r>
              <w:t>0,072</w:t>
            </w:r>
          </w:p>
        </w:tc>
      </w:tr>
    </w:tbl>
    <w:p w14:paraId="1ED76C63" w14:textId="77777777" w:rsidR="007A3C1B" w:rsidRDefault="007A3C1B">
      <w:pPr>
        <w:pStyle w:val="Textbody"/>
      </w:pPr>
    </w:p>
    <w:p w14:paraId="602653CA" w14:textId="67BC6FFB" w:rsidR="007A3C1B" w:rsidRPr="007A3C1B" w:rsidRDefault="007B2CFA" w:rsidP="007A3C1B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3.</w:t>
      </w:r>
      <w:r w:rsidRPr="00916C75">
        <w:rPr>
          <w:lang w:val="pl-PL"/>
        </w:rPr>
        <w:t xml:space="preserve"> Wykres pudełkowy AUC dla sześciu ramion, punkty = 25 </w:t>
      </w:r>
      <w:proofErr w:type="spellStart"/>
      <w:r w:rsidRPr="00916C75">
        <w:rPr>
          <w:lang w:val="pl-PL"/>
        </w:rPr>
        <w:t>foldów</w:t>
      </w:r>
      <w:proofErr w:type="spellEnd"/>
      <w:r w:rsidRPr="00916C75">
        <w:rPr>
          <w:lang w:val="pl-PL"/>
        </w:rPr>
        <w:t>.</w:t>
      </w:r>
    </w:p>
    <w:p w14:paraId="518101E3" w14:textId="106C47E3" w:rsidR="007B2CFA" w:rsidRPr="007B2CFA" w:rsidRDefault="007B2CFA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50E9A8C" wp14:editId="4E652DAF">
            <wp:extent cx="6120130" cy="3195320"/>
            <wp:effectExtent l="0" t="0" r="0" b="508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7BD" w14:textId="3F06A955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Żadne z 15 porównań par nie przetrwało korekty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>; najniższa skorygowana wartość p wyniosła 0,17 (</w:t>
      </w:r>
      <w:proofErr w:type="spellStart"/>
      <w:r w:rsidRPr="00916C75">
        <w:rPr>
          <w:rFonts w:ascii="Liberation Mono" w:hAnsi="Liberation Mono"/>
          <w:lang w:val="pl-PL"/>
        </w:rPr>
        <w:t>tab</w:t>
      </w:r>
      <w:proofErr w:type="spellEnd"/>
      <w:r w:rsidRPr="00916C75">
        <w:rPr>
          <w:lang w:val="pl-PL"/>
        </w:rPr>
        <w:t xml:space="preserve"> vs </w:t>
      </w:r>
      <w:proofErr w:type="spellStart"/>
      <w:r w:rsidRPr="00916C75">
        <w:rPr>
          <w:rFonts w:ascii="Liberation Mono" w:hAnsi="Liberation Mono"/>
          <w:lang w:val="pl-PL"/>
        </w:rPr>
        <w:t>concat</w:t>
      </w:r>
      <w:proofErr w:type="spellEnd"/>
      <w:r w:rsidRPr="00916C75">
        <w:rPr>
          <w:lang w:val="pl-PL"/>
        </w:rPr>
        <w:t>). Wszystkie warianty multimodalne nominalnie przewyższają warianty jednomodalne, lecz różnice mieszczą się w zakresie szumu.</w:t>
      </w:r>
    </w:p>
    <w:p w14:paraId="4F0C4491" w14:textId="035C6CEF" w:rsid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Kontrola pojemności wypadła jednoznacznie: </w:t>
      </w:r>
      <w:proofErr w:type="spellStart"/>
      <w:r w:rsidRPr="00916C75">
        <w:rPr>
          <w:rFonts w:ascii="Liberation Mono" w:hAnsi="Liberation Mono"/>
          <w:lang w:val="pl-PL"/>
        </w:rPr>
        <w:t>concat</w:t>
      </w:r>
      <w:proofErr w:type="spellEnd"/>
      <w:r w:rsidRPr="00916C75">
        <w:rPr>
          <w:lang w:val="pl-PL"/>
        </w:rPr>
        <w:t xml:space="preserve"> i </w:t>
      </w:r>
      <w:proofErr w:type="spellStart"/>
      <w:r w:rsidRPr="00916C75">
        <w:rPr>
          <w:rFonts w:ascii="Liberation Mono" w:hAnsi="Liberation Mono"/>
          <w:lang w:val="pl-PL"/>
        </w:rPr>
        <w:t>concat_wide</w:t>
      </w:r>
      <w:proofErr w:type="spellEnd"/>
      <w:r w:rsidRPr="00916C75">
        <w:rPr>
          <w:lang w:val="pl-PL"/>
        </w:rPr>
        <w:t>, różniące się 2,2-krotnie liczbą parametrów, dały praktycznie identyczną średnią AUC (różnica 0,001; p = 0,50). Pojemność modelu nie tłumaczy zatem żadnej z obserwowanych różnic.</w:t>
      </w:r>
    </w:p>
    <w:p w14:paraId="7F5D0564" w14:textId="52301765" w:rsidR="00DC7B8C" w:rsidRDefault="00DC7B8C">
      <w:pPr>
        <w:pStyle w:val="Textbody"/>
        <w:rPr>
          <w:lang w:val="pl-PL"/>
        </w:rPr>
      </w:pPr>
    </w:p>
    <w:p w14:paraId="19FE63F9" w14:textId="4F4DF89C" w:rsidR="00DC7B8C" w:rsidRDefault="00DC7B8C">
      <w:pPr>
        <w:pStyle w:val="Textbody"/>
        <w:rPr>
          <w:lang w:val="pl-PL"/>
        </w:rPr>
      </w:pPr>
    </w:p>
    <w:p w14:paraId="7D475880" w14:textId="351B32EB" w:rsidR="00DC7B8C" w:rsidRDefault="00DC7B8C">
      <w:pPr>
        <w:pStyle w:val="Textbody"/>
        <w:rPr>
          <w:lang w:val="pl-PL"/>
        </w:rPr>
      </w:pPr>
    </w:p>
    <w:p w14:paraId="6F7D2421" w14:textId="2EE0001F" w:rsidR="00DC7B8C" w:rsidRDefault="00DC7B8C">
      <w:pPr>
        <w:pStyle w:val="Textbody"/>
        <w:rPr>
          <w:lang w:val="pl-PL"/>
        </w:rPr>
      </w:pPr>
    </w:p>
    <w:p w14:paraId="62718219" w14:textId="77777777" w:rsidR="00DC7B8C" w:rsidRDefault="00DC7B8C">
      <w:pPr>
        <w:pStyle w:val="Textbody"/>
        <w:rPr>
          <w:lang w:val="pl-PL"/>
        </w:rPr>
      </w:pPr>
    </w:p>
    <w:p w14:paraId="308CA544" w14:textId="65D9823A" w:rsidR="00DC7B8C" w:rsidRDefault="007A7DBF" w:rsidP="00DC7B8C">
      <w:pPr>
        <w:pStyle w:val="Nagwek3"/>
        <w:rPr>
          <w:lang w:val="pl-PL"/>
        </w:rPr>
      </w:pPr>
      <w:r w:rsidRPr="00916C75">
        <w:rPr>
          <w:lang w:val="pl-PL"/>
        </w:rPr>
        <w:lastRenderedPageBreak/>
        <w:t>3.3. Poleganie na modalności: sygnał obrazowy pochodzi ze ścieżki rezydualnej</w:t>
      </w:r>
    </w:p>
    <w:p w14:paraId="6A2458BB" w14:textId="77777777" w:rsidR="00DC7B8C" w:rsidRPr="00DC7B8C" w:rsidRDefault="00DC7B8C" w:rsidP="00DC7B8C">
      <w:pPr>
        <w:pStyle w:val="Textbody"/>
        <w:rPr>
          <w:lang w:val="pl-PL"/>
        </w:rPr>
      </w:pPr>
    </w:p>
    <w:p w14:paraId="5EFD67D7" w14:textId="77777777" w:rsidR="00DC7B8C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2.</w:t>
      </w:r>
      <w:r w:rsidRPr="00916C75">
        <w:rPr>
          <w:lang w:val="pl-PL"/>
        </w:rPr>
        <w:t xml:space="preserve"> </w:t>
      </w:r>
    </w:p>
    <w:p w14:paraId="73BC69A8" w14:textId="0B8A9832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Miara </w:t>
      </w:r>
      <w:proofErr w:type="spellStart"/>
      <w:r w:rsidRPr="00916C75">
        <w:rPr>
          <w:rFonts w:ascii="Liberation Mono" w:hAnsi="Liberation Mono"/>
          <w:lang w:val="pl-PL"/>
        </w:rPr>
        <w:t>rely_img</w:t>
      </w:r>
      <w:proofErr w:type="spellEnd"/>
      <w:r w:rsidRPr="00916C75">
        <w:rPr>
          <w:lang w:val="pl-PL"/>
        </w:rPr>
        <w:t xml:space="preserve"> (spadek AUC po przetasowaniu wejścia obrazowego).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09"/>
        <w:gridCol w:w="2409"/>
      </w:tblGrid>
      <w:tr w:rsidR="000D04F5" w14:paraId="5E250D85" w14:textId="77777777">
        <w:trPr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E44F9" w14:textId="77777777" w:rsidR="000D04F5" w:rsidRDefault="007A7DBF">
            <w:pPr>
              <w:pStyle w:val="TableHeading"/>
              <w:jc w:val="left"/>
            </w:pPr>
            <w:proofErr w:type="spellStart"/>
            <w:r>
              <w:t>Ramię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8D082" w14:textId="77777777" w:rsidR="000D04F5" w:rsidRDefault="007A7DBF">
            <w:pPr>
              <w:pStyle w:val="TableHeading"/>
            </w:pPr>
            <w:proofErr w:type="spellStart"/>
            <w:r>
              <w:rPr>
                <w:rFonts w:ascii="Liberation Mono" w:hAnsi="Liberation Mono"/>
              </w:rPr>
              <w:t>rely_img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F315" w14:textId="77777777" w:rsidR="000D04F5" w:rsidRDefault="007A7DBF">
            <w:pPr>
              <w:pStyle w:val="TableHeading"/>
              <w:jc w:val="left"/>
            </w:pPr>
            <w:r>
              <w:t>95% CI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116D0" w14:textId="77777777" w:rsidR="000D04F5" w:rsidRDefault="007A7DBF">
            <w:pPr>
              <w:pStyle w:val="TableHeading"/>
              <w:jc w:val="left"/>
            </w:pPr>
            <w:r>
              <w:t>p (&gt;0)</w:t>
            </w:r>
          </w:p>
        </w:tc>
      </w:tr>
      <w:tr w:rsidR="000D04F5" w14:paraId="4BF14E03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47DA2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49348" w14:textId="77777777" w:rsidR="000D04F5" w:rsidRDefault="007A7DBF">
            <w:pPr>
              <w:pStyle w:val="TableContents"/>
            </w:pPr>
            <w:r>
              <w:t>+0,0178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30C6B" w14:textId="77777777" w:rsidR="000D04F5" w:rsidRDefault="007A7DBF">
            <w:pPr>
              <w:pStyle w:val="TableContents"/>
            </w:pPr>
            <w:r>
              <w:t>[+0,0100; +0,0257]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047DB" w14:textId="77777777" w:rsidR="000D04F5" w:rsidRDefault="007A7DBF">
            <w:pPr>
              <w:pStyle w:val="TableContents"/>
            </w:pPr>
            <w:r>
              <w:t>0,0002</w:t>
            </w:r>
          </w:p>
        </w:tc>
      </w:tr>
      <w:tr w:rsidR="000D04F5" w14:paraId="72511328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A9E70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CDDE4" w14:textId="77777777" w:rsidR="000D04F5" w:rsidRDefault="007A7DBF">
            <w:pPr>
              <w:pStyle w:val="TableContents"/>
            </w:pPr>
            <w:r>
              <w:t>+0,0167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95E4D" w14:textId="77777777" w:rsidR="000D04F5" w:rsidRDefault="007A7DBF">
            <w:pPr>
              <w:pStyle w:val="TableContents"/>
            </w:pPr>
            <w:r>
              <w:t>[+0,0084; +0,0251]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3A515" w14:textId="77777777" w:rsidR="000D04F5" w:rsidRDefault="007A7DBF">
            <w:pPr>
              <w:pStyle w:val="TableContents"/>
            </w:pPr>
            <w:r>
              <w:t>0,0001</w:t>
            </w:r>
          </w:p>
        </w:tc>
      </w:tr>
      <w:tr w:rsidR="000D04F5" w14:paraId="00B205FD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8E164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B768C" w14:textId="77777777" w:rsidR="000D04F5" w:rsidRDefault="007A7DBF">
            <w:pPr>
              <w:pStyle w:val="TableContents"/>
            </w:pPr>
            <w:r>
              <w:t>+0,0126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F9BB3" w14:textId="77777777" w:rsidR="000D04F5" w:rsidRDefault="007A7DBF">
            <w:pPr>
              <w:pStyle w:val="TableContents"/>
            </w:pPr>
            <w:r>
              <w:t>[+0,0067; +0,0185]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4D666" w14:textId="77777777" w:rsidR="000D04F5" w:rsidRDefault="007A7DBF">
            <w:pPr>
              <w:pStyle w:val="TableContents"/>
            </w:pPr>
            <w:r>
              <w:t>0,0002</w:t>
            </w:r>
          </w:p>
        </w:tc>
      </w:tr>
      <w:tr w:rsidR="000D04F5" w14:paraId="16E9ABB6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C62FF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EB14C" w14:textId="77777777" w:rsidR="000D04F5" w:rsidRDefault="007A7DBF">
            <w:pPr>
              <w:pStyle w:val="TableContents"/>
            </w:pPr>
            <w:r>
              <w:t>+0,0064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47BB0" w14:textId="77777777" w:rsidR="000D04F5" w:rsidRDefault="007A7DBF">
            <w:pPr>
              <w:pStyle w:val="TableContents"/>
            </w:pPr>
            <w:r>
              <w:t>[+0,0002; +0,0126]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9E8EE" w14:textId="77777777" w:rsidR="000D04F5" w:rsidRDefault="007A7DBF">
            <w:pPr>
              <w:pStyle w:val="TableContents"/>
            </w:pPr>
            <w:r>
              <w:t>0,0096</w:t>
            </w:r>
          </w:p>
        </w:tc>
      </w:tr>
    </w:tbl>
    <w:p w14:paraId="1D6D0FE7" w14:textId="77777777" w:rsidR="000D04F5" w:rsidRDefault="000D04F5">
      <w:pPr>
        <w:pStyle w:val="Textbody"/>
      </w:pPr>
    </w:p>
    <w:p w14:paraId="60A9958D" w14:textId="77777777" w:rsidR="00DC7B8C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3.</w:t>
      </w:r>
      <w:r w:rsidRPr="00916C75">
        <w:rPr>
          <w:lang w:val="pl-PL"/>
        </w:rPr>
        <w:t xml:space="preserve"> </w:t>
      </w:r>
    </w:p>
    <w:p w14:paraId="7C07DFE4" w14:textId="0F6CEC15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Porównania par dla </w:t>
      </w:r>
      <w:proofErr w:type="spellStart"/>
      <w:r w:rsidRPr="00916C75">
        <w:rPr>
          <w:rFonts w:ascii="Liberation Mono" w:hAnsi="Liberation Mono"/>
          <w:lang w:val="pl-PL"/>
        </w:rPr>
        <w:t>rely_img</w:t>
      </w:r>
      <w:proofErr w:type="spellEnd"/>
      <w:r w:rsidRPr="00916C75">
        <w:rPr>
          <w:lang w:val="pl-PL"/>
        </w:rPr>
        <w:t xml:space="preserve"> (</w:t>
      </w:r>
      <w:proofErr w:type="spellStart"/>
      <w:r w:rsidRPr="00916C75">
        <w:rPr>
          <w:lang w:val="pl-PL"/>
        </w:rPr>
        <w:t>Wilcoxon</w:t>
      </w:r>
      <w:proofErr w:type="spellEnd"/>
      <w:r w:rsidRPr="00916C75">
        <w:rPr>
          <w:lang w:val="pl-PL"/>
        </w:rPr>
        <w:t xml:space="preserve">, korekta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>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09"/>
        <w:gridCol w:w="2409"/>
      </w:tblGrid>
      <w:tr w:rsidR="000D04F5" w14:paraId="54532D60" w14:textId="77777777">
        <w:trPr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518E6" w14:textId="77777777" w:rsidR="000D04F5" w:rsidRDefault="007A7DBF">
            <w:pPr>
              <w:pStyle w:val="TableHeading"/>
              <w:jc w:val="left"/>
            </w:pPr>
            <w:proofErr w:type="spellStart"/>
            <w:r>
              <w:t>Porównanie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91F20" w14:textId="77777777" w:rsidR="000D04F5" w:rsidRDefault="007A7DBF">
            <w:pPr>
              <w:pStyle w:val="TableHeading"/>
              <w:jc w:val="left"/>
            </w:pPr>
            <w:r>
              <w:t>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BD3DC" w14:textId="77777777" w:rsidR="000D04F5" w:rsidRDefault="007A7DBF">
            <w:pPr>
              <w:pStyle w:val="TableHeading"/>
              <w:jc w:val="left"/>
            </w:pPr>
            <w:r>
              <w:t>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B7278" w14:textId="77777777" w:rsidR="000D04F5" w:rsidRDefault="007A7DBF">
            <w:pPr>
              <w:pStyle w:val="TableHeading"/>
              <w:jc w:val="left"/>
            </w:pPr>
            <w:proofErr w:type="spellStart"/>
            <w:r>
              <w:t>p_Holm</w:t>
            </w:r>
            <w:proofErr w:type="spellEnd"/>
          </w:p>
        </w:tc>
      </w:tr>
      <w:tr w:rsidR="000D04F5" w14:paraId="35303651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0962B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D9E61" w14:textId="77777777" w:rsidR="000D04F5" w:rsidRDefault="007A7DBF">
            <w:pPr>
              <w:pStyle w:val="TableContents"/>
            </w:pPr>
            <w:r>
              <w:t>+0,0115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1AFE6" w14:textId="77777777" w:rsidR="000D04F5" w:rsidRDefault="007A7DBF">
            <w:pPr>
              <w:pStyle w:val="TableContents"/>
            </w:pPr>
            <w:r>
              <w:t>0,0042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60164" w14:textId="77777777" w:rsidR="000D04F5" w:rsidRDefault="007A7DBF">
            <w:pPr>
              <w:pStyle w:val="TableContents"/>
            </w:pPr>
            <w:r>
              <w:rPr>
                <w:b/>
              </w:rPr>
              <w:t>0,0251</w:t>
            </w:r>
          </w:p>
        </w:tc>
      </w:tr>
      <w:tr w:rsidR="000D04F5" w14:paraId="138FE1E3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084DD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5D80B" w14:textId="77777777" w:rsidR="000D04F5" w:rsidRDefault="007A7DBF">
            <w:pPr>
              <w:pStyle w:val="TableContents"/>
            </w:pPr>
            <w:r>
              <w:t>+0,0104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DFBF5" w14:textId="77777777" w:rsidR="000D04F5" w:rsidRDefault="007A7DBF">
            <w:pPr>
              <w:pStyle w:val="TableContents"/>
            </w:pPr>
            <w:r>
              <w:t>0,0237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7B74E" w14:textId="77777777" w:rsidR="000D04F5" w:rsidRDefault="007A7DBF">
            <w:pPr>
              <w:pStyle w:val="TableContents"/>
            </w:pPr>
            <w:r>
              <w:t>0,1183</w:t>
            </w:r>
          </w:p>
        </w:tc>
      </w:tr>
      <w:tr w:rsidR="000D04F5" w14:paraId="7AEEB2BA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97DEF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  <w:r>
              <w:t xml:space="preserve"> vs </w:t>
            </w:r>
            <w:r>
              <w:rPr>
                <w:rFonts w:ascii="Liberation Mono" w:hAnsi="Liberation Mono"/>
              </w:rPr>
              <w:t>cross_a2b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103B4" w14:textId="77777777" w:rsidR="000D04F5" w:rsidRDefault="007A7DBF">
            <w:pPr>
              <w:pStyle w:val="TableContents"/>
            </w:pPr>
            <w:r>
              <w:t>+0,0062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7EDFB" w14:textId="77777777" w:rsidR="000D04F5" w:rsidRDefault="007A7DBF">
            <w:pPr>
              <w:pStyle w:val="TableContents"/>
            </w:pPr>
            <w:r>
              <w:t>0,0710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164A3" w14:textId="77777777" w:rsidR="000D04F5" w:rsidRDefault="007A7DBF">
            <w:pPr>
              <w:pStyle w:val="TableContents"/>
            </w:pPr>
            <w:r>
              <w:t>0,2839</w:t>
            </w:r>
          </w:p>
        </w:tc>
      </w:tr>
      <w:tr w:rsidR="000D04F5" w14:paraId="3C76FFCF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B90E4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25678" w14:textId="77777777" w:rsidR="000D04F5" w:rsidRDefault="007A7DBF">
            <w:pPr>
              <w:pStyle w:val="TableContents"/>
            </w:pPr>
            <w:r>
              <w:t>+0,0053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BF2B1" w14:textId="77777777" w:rsidR="000D04F5" w:rsidRDefault="007A7DBF">
            <w:pPr>
              <w:pStyle w:val="TableContents"/>
            </w:pPr>
            <w:r>
              <w:t>0,0926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A3383" w14:textId="77777777" w:rsidR="000D04F5" w:rsidRDefault="007A7DBF">
            <w:pPr>
              <w:pStyle w:val="TableContents"/>
            </w:pPr>
            <w:r>
              <w:t>0,2779</w:t>
            </w:r>
          </w:p>
        </w:tc>
      </w:tr>
      <w:tr w:rsidR="000D04F5" w14:paraId="6C1AD71D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06C29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23112" w14:textId="77777777" w:rsidR="000D04F5" w:rsidRDefault="007A7DBF">
            <w:pPr>
              <w:pStyle w:val="TableContents"/>
            </w:pPr>
            <w:r>
              <w:t>+0,0042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140A7" w14:textId="77777777" w:rsidR="000D04F5" w:rsidRDefault="007A7DBF">
            <w:pPr>
              <w:pStyle w:val="TableContents"/>
            </w:pPr>
            <w:r>
              <w:t>0,3666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A1A96" w14:textId="77777777" w:rsidR="000D04F5" w:rsidRDefault="007A7DBF">
            <w:pPr>
              <w:pStyle w:val="TableContents"/>
            </w:pPr>
            <w:r>
              <w:t>0,7332</w:t>
            </w:r>
          </w:p>
        </w:tc>
      </w:tr>
      <w:tr w:rsidR="000D04F5" w14:paraId="5EA52925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B5F95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  <w:r>
              <w:t xml:space="preserve"> vs </w:t>
            </w: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EAE46" w14:textId="77777777" w:rsidR="000D04F5" w:rsidRDefault="007A7DBF">
            <w:pPr>
              <w:pStyle w:val="TableContents"/>
            </w:pPr>
            <w:r>
              <w:t>+0,0011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0706C" w14:textId="77777777" w:rsidR="000D04F5" w:rsidRDefault="007A7DBF">
            <w:pPr>
              <w:pStyle w:val="TableContents"/>
            </w:pPr>
            <w:r>
              <w:t>0,8415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5B387" w14:textId="77777777" w:rsidR="000D04F5" w:rsidRDefault="007A7DBF">
            <w:pPr>
              <w:pStyle w:val="TableContents"/>
            </w:pPr>
            <w:r>
              <w:t>0,8415</w:t>
            </w:r>
          </w:p>
        </w:tc>
      </w:tr>
    </w:tbl>
    <w:p w14:paraId="1240B32F" w14:textId="77777777" w:rsidR="007A3C1B" w:rsidRDefault="007A3C1B">
      <w:pPr>
        <w:pStyle w:val="Textbody"/>
      </w:pPr>
    </w:p>
    <w:p w14:paraId="015A81F8" w14:textId="0FC06FD3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Poleganie na obrazie rośnie monotonicznie od wariantu jednokierunkowego (+0,006) przez pełną uwagę skrośną (+0,013) do konkatenacji (+0,018)</w:t>
      </w:r>
      <w:r w:rsidR="00DC7B8C">
        <w:rPr>
          <w:lang w:val="pl-PL"/>
        </w:rPr>
        <w:t xml:space="preserve"> </w:t>
      </w:r>
      <w:r w:rsidR="00DC7B8C">
        <w:rPr>
          <w:b/>
          <w:bCs/>
          <w:lang w:val="pl-PL"/>
        </w:rPr>
        <w:t>(Rycina 4)</w:t>
      </w:r>
      <w:r w:rsidRPr="00916C75">
        <w:rPr>
          <w:lang w:val="pl-PL"/>
        </w:rPr>
        <w:t xml:space="preserve">. Jedyne porównanie przeżywające korektę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to </w:t>
      </w:r>
      <w:proofErr w:type="spellStart"/>
      <w:r w:rsidRPr="00916C75">
        <w:rPr>
          <w:rFonts w:ascii="Liberation Mono" w:hAnsi="Liberation Mono"/>
          <w:lang w:val="pl-PL"/>
        </w:rPr>
        <w:t>concat</w:t>
      </w:r>
      <w:proofErr w:type="spellEnd"/>
      <w:r w:rsidRPr="00916C75">
        <w:rPr>
          <w:lang w:val="pl-PL"/>
        </w:rPr>
        <w:t xml:space="preserve"> wobec </w:t>
      </w:r>
      <w:r w:rsidRPr="00916C75">
        <w:rPr>
          <w:rFonts w:ascii="Liberation Mono" w:hAnsi="Liberation Mono"/>
          <w:lang w:val="pl-PL"/>
        </w:rPr>
        <w:t>cross_a2b</w:t>
      </w:r>
      <w:r w:rsidRPr="00916C75">
        <w:rPr>
          <w:lang w:val="pl-PL"/>
        </w:rPr>
        <w:t xml:space="preserve">. Kierunek A→B — jedyny realizujący prawdziwą uwagę — przenosi zatem niewielką, lecz mierzalnie niezerową ilość informacji obrazowej (p = 0,0096); jest ona jednak niemal trzykrotnie mniejsza niż w prostej konkatenacji. Ponieważ kierunek B→A nie wykonuje uwagi (rozdz. 3.1), a jego połączenie rezydualne przenosi uśrednione </w:t>
      </w:r>
      <w:proofErr w:type="spellStart"/>
      <w:r w:rsidRPr="00916C75">
        <w:rPr>
          <w:lang w:val="pl-PL"/>
        </w:rPr>
        <w:t>tokeny</w:t>
      </w:r>
      <w:proofErr w:type="spellEnd"/>
      <w:r w:rsidRPr="00916C75">
        <w:rPr>
          <w:lang w:val="pl-PL"/>
        </w:rPr>
        <w:t xml:space="preserve"> obrazowe, wniosek brzmi: </w:t>
      </w:r>
      <w:r w:rsidRPr="00916C75">
        <w:rPr>
          <w:b/>
          <w:lang w:val="pl-PL"/>
        </w:rPr>
        <w:t>sygnał obrazowy w pełnej architekturze pochodzi w przeważającej mierze ze ścieżki rezydualnej równoważnej konkatenacji, a wkład samego mechanizmu uwagi jest niewielki.</w:t>
      </w:r>
      <w:r w:rsidRPr="00916C75">
        <w:rPr>
          <w:lang w:val="pl-PL"/>
        </w:rPr>
        <w:t xml:space="preserve"> Warto odnotować, że we wcześniejszej iteracji analizy, przeprowadzonej przed odfiltrowaniem preparatów tkanki prawidłowej, </w:t>
      </w:r>
      <w:proofErr w:type="spellStart"/>
      <w:r w:rsidRPr="00916C75">
        <w:rPr>
          <w:rFonts w:ascii="Liberation Mono" w:hAnsi="Liberation Mono"/>
          <w:lang w:val="pl-PL"/>
        </w:rPr>
        <w:t>rely_img</w:t>
      </w:r>
      <w:proofErr w:type="spellEnd"/>
      <w:r w:rsidRPr="00916C75">
        <w:rPr>
          <w:lang w:val="pl-PL"/>
        </w:rPr>
        <w:t xml:space="preserve"> wariantu </w:t>
      </w:r>
      <w:r w:rsidRPr="00916C75">
        <w:rPr>
          <w:rFonts w:ascii="Liberation Mono" w:hAnsi="Liberation Mono"/>
          <w:lang w:val="pl-PL"/>
        </w:rPr>
        <w:t>cross_a2b</w:t>
      </w:r>
      <w:r w:rsidRPr="00916C75">
        <w:rPr>
          <w:lang w:val="pl-PL"/>
        </w:rPr>
        <w:t xml:space="preserve"> był nieodróżnialny od zera; oczyszczenie materiału ujawniło słaby, lecz istotny sygnał, co ilustruje wrażliwość tej miary na szum etykietowy.</w:t>
      </w:r>
    </w:p>
    <w:p w14:paraId="0838CAE9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Spójny z tym jest wynik ramienia </w:t>
      </w:r>
      <w:proofErr w:type="spellStart"/>
      <w:r w:rsidRPr="00916C75">
        <w:rPr>
          <w:rFonts w:ascii="Liberation Mono" w:hAnsi="Liberation Mono"/>
          <w:lang w:val="pl-PL"/>
        </w:rPr>
        <w:t>concat</w:t>
      </w:r>
      <w:proofErr w:type="spellEnd"/>
      <w:r w:rsidRPr="00916C75">
        <w:rPr>
          <w:lang w:val="pl-PL"/>
        </w:rPr>
        <w:t xml:space="preserve">, które przy 2,4-krotnie mniejszej liczbie parametrów </w:t>
      </w:r>
      <w:r w:rsidRPr="00916C75">
        <w:rPr>
          <w:lang w:val="pl-PL"/>
        </w:rPr>
        <w:lastRenderedPageBreak/>
        <w:t xml:space="preserve">wykorzystuje obraz skuteczniej niż </w:t>
      </w:r>
      <w:r w:rsidRPr="00916C75">
        <w:rPr>
          <w:rFonts w:ascii="Liberation Mono" w:hAnsi="Liberation Mono"/>
          <w:lang w:val="pl-PL"/>
        </w:rPr>
        <w:t>cross</w:t>
      </w:r>
      <w:r w:rsidRPr="00916C75">
        <w:rPr>
          <w:lang w:val="pl-PL"/>
        </w:rPr>
        <w:t xml:space="preserve"> (0,0178 vs 0,0126), choć różnica ta nie osiąga istotności po korekcie.</w:t>
      </w:r>
    </w:p>
    <w:p w14:paraId="1A49E440" w14:textId="1354971B" w:rsidR="008A5E5E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Miara </w:t>
      </w:r>
      <w:proofErr w:type="spellStart"/>
      <w:r w:rsidRPr="00916C75">
        <w:rPr>
          <w:rFonts w:ascii="Liberation Mono" w:hAnsi="Liberation Mono"/>
          <w:lang w:val="pl-PL"/>
        </w:rPr>
        <w:t>rely_tab</w:t>
      </w:r>
      <w:proofErr w:type="spellEnd"/>
      <w:r w:rsidRPr="00916C75">
        <w:rPr>
          <w:lang w:val="pl-PL"/>
        </w:rPr>
        <w:t xml:space="preserve"> okazała się zbyt zaszumiona, by wyciągać z niej wnioski (np. </w:t>
      </w:r>
      <w:r w:rsidRPr="00916C75">
        <w:rPr>
          <w:rFonts w:ascii="Liberation Mono" w:hAnsi="Liberation Mono"/>
          <w:lang w:val="pl-PL"/>
        </w:rPr>
        <w:t>cross</w:t>
      </w:r>
      <w:r w:rsidRPr="00916C75">
        <w:rPr>
          <w:lang w:val="pl-PL"/>
        </w:rPr>
        <w:t>: +0,152 przy SD 0,140), i nie jest raportowana jako wynik.</w:t>
      </w:r>
    </w:p>
    <w:p w14:paraId="40D4B7E0" w14:textId="77777777" w:rsidR="008A5E5E" w:rsidRPr="00916C75" w:rsidRDefault="008A5E5E" w:rsidP="008A5E5E">
      <w:pPr>
        <w:pStyle w:val="Textbody"/>
        <w:rPr>
          <w:lang w:val="pl-PL"/>
        </w:rPr>
      </w:pPr>
    </w:p>
    <w:p w14:paraId="3B9EE3AB" w14:textId="77777777" w:rsidR="008A5E5E" w:rsidRDefault="008A5E5E" w:rsidP="008A5E5E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4.</w:t>
      </w:r>
      <w:r w:rsidRPr="00916C75">
        <w:rPr>
          <w:lang w:val="pl-PL"/>
        </w:rPr>
        <w:t xml:space="preserve"> </w:t>
      </w:r>
      <w:r w:rsidRPr="00085EAF">
        <w:rPr>
          <w:lang w:val="pl-PL"/>
        </w:rPr>
        <w:t>Poleganie na obrazie (</w:t>
      </w:r>
      <w:proofErr w:type="spellStart"/>
      <w:r w:rsidRPr="00085EAF">
        <w:rPr>
          <w:lang w:val="pl-PL"/>
        </w:rPr>
        <w:t>rely_img</w:t>
      </w:r>
      <w:proofErr w:type="spellEnd"/>
      <w:r w:rsidRPr="00085EAF">
        <w:rPr>
          <w:lang w:val="pl-PL"/>
        </w:rPr>
        <w:t>) dla ramion multimodalnych z 95% przedziałami ufności; poleganie rośnie monotonicznie od wariantu jednokierunkowego do konkatenacji.</w:t>
      </w:r>
    </w:p>
    <w:p w14:paraId="5990E20C" w14:textId="77777777" w:rsidR="008A5E5E" w:rsidRPr="00916C75" w:rsidRDefault="008A5E5E" w:rsidP="008A5E5E">
      <w:pPr>
        <w:pStyle w:val="Textbody"/>
        <w:ind w:left="426"/>
        <w:rPr>
          <w:lang w:val="pl-PL"/>
        </w:rPr>
      </w:pPr>
    </w:p>
    <w:p w14:paraId="263CD8C7" w14:textId="77777777" w:rsidR="008A5E5E" w:rsidRDefault="008A5E5E" w:rsidP="008A5E5E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7550BC9" wp14:editId="64B1C80D">
            <wp:extent cx="6120130" cy="2990215"/>
            <wp:effectExtent l="0" t="0" r="0" b="63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D9A1" w14:textId="77777777" w:rsidR="008A5E5E" w:rsidRDefault="008A5E5E">
      <w:pPr>
        <w:pStyle w:val="Textbody"/>
        <w:rPr>
          <w:lang w:val="pl-PL"/>
        </w:rPr>
      </w:pPr>
    </w:p>
    <w:p w14:paraId="07D7EDCB" w14:textId="77777777" w:rsidR="00AC4E17" w:rsidRPr="00916C75" w:rsidRDefault="00AC4E17">
      <w:pPr>
        <w:pStyle w:val="Textbody"/>
        <w:rPr>
          <w:lang w:val="pl-PL"/>
        </w:rPr>
      </w:pPr>
    </w:p>
    <w:p w14:paraId="4454C5F8" w14:textId="033B8581" w:rsidR="00AC4E17" w:rsidRPr="00AC4E17" w:rsidRDefault="007A7DBF" w:rsidP="00AC4E17">
      <w:pPr>
        <w:pStyle w:val="Nagwek3"/>
        <w:rPr>
          <w:lang w:val="pl-PL"/>
        </w:rPr>
      </w:pPr>
      <w:r w:rsidRPr="00916C75">
        <w:rPr>
          <w:lang w:val="pl-PL"/>
        </w:rPr>
        <w:t>3.4. Dekompozycja wariancji</w:t>
      </w:r>
    </w:p>
    <w:p w14:paraId="1823CF4C" w14:textId="77777777" w:rsidR="009123F8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4.</w:t>
      </w:r>
      <w:r w:rsidRPr="00916C75">
        <w:rPr>
          <w:lang w:val="pl-PL"/>
        </w:rPr>
        <w:t xml:space="preserve"> </w:t>
      </w:r>
    </w:p>
    <w:p w14:paraId="5A239E8F" w14:textId="41CE085E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Źródła zmienności AUC</w:t>
      </w:r>
      <w:r w:rsidR="008A5E5E">
        <w:rPr>
          <w:lang w:val="pl-PL"/>
        </w:rPr>
        <w:t xml:space="preserve"> </w:t>
      </w:r>
      <w:r w:rsidR="008A5E5E">
        <w:rPr>
          <w:b/>
          <w:bCs/>
          <w:lang w:val="pl-PL"/>
        </w:rPr>
        <w:t>(Rycina 5)</w:t>
      </w:r>
      <w:r w:rsidRPr="00916C75">
        <w:rPr>
          <w:lang w:val="pl-PL"/>
        </w:rPr>
        <w:t>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D04F5" w14:paraId="28993956" w14:textId="77777777"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6AC41" w14:textId="77777777" w:rsidR="000D04F5" w:rsidRDefault="007A7DBF">
            <w:pPr>
              <w:pStyle w:val="TableHeading"/>
              <w:jc w:val="left"/>
            </w:pPr>
            <w:proofErr w:type="spellStart"/>
            <w:r>
              <w:t>Źródło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B02BF" w14:textId="77777777" w:rsidR="000D04F5" w:rsidRDefault="007A7DBF">
            <w:pPr>
              <w:pStyle w:val="TableHeading"/>
              <w:jc w:val="left"/>
            </w:pPr>
            <w:r>
              <w:t>SD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517A6" w14:textId="77777777" w:rsidR="000D04F5" w:rsidRDefault="007A7DBF">
            <w:pPr>
              <w:pStyle w:val="TableHeading"/>
              <w:jc w:val="left"/>
            </w:pPr>
            <w:proofErr w:type="spellStart"/>
            <w:r>
              <w:t>Udział</w:t>
            </w:r>
            <w:proofErr w:type="spellEnd"/>
            <w:r>
              <w:t xml:space="preserve"> w </w:t>
            </w:r>
            <w:proofErr w:type="spellStart"/>
            <w:r>
              <w:t>wariancji</w:t>
            </w:r>
            <w:proofErr w:type="spellEnd"/>
          </w:p>
        </w:tc>
      </w:tr>
      <w:tr w:rsidR="000D04F5" w14:paraId="094F0B5C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96B31" w14:textId="77777777" w:rsidR="000D04F5" w:rsidRDefault="007A7DBF">
            <w:pPr>
              <w:pStyle w:val="TableContents"/>
            </w:pPr>
            <w:proofErr w:type="spellStart"/>
            <w:r>
              <w:t>Podział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(fold)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1ED33" w14:textId="77777777" w:rsidR="000D04F5" w:rsidRDefault="007A7DBF">
            <w:pPr>
              <w:pStyle w:val="TableContents"/>
            </w:pPr>
            <w:r>
              <w:t>0,0797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5926B" w14:textId="77777777" w:rsidR="000D04F5" w:rsidRDefault="007A7DBF">
            <w:pPr>
              <w:pStyle w:val="TableContents"/>
            </w:pPr>
            <w:r>
              <w:t>86,2%</w:t>
            </w:r>
          </w:p>
        </w:tc>
      </w:tr>
      <w:tr w:rsidR="000D04F5" w14:paraId="13B8DF35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37EE5" w14:textId="77777777" w:rsidR="000D04F5" w:rsidRDefault="007A7DBF">
            <w:pPr>
              <w:pStyle w:val="TableContents"/>
            </w:pPr>
            <w:proofErr w:type="spellStart"/>
            <w:r>
              <w:t>Inicjalizacja</w:t>
            </w:r>
            <w:proofErr w:type="spellEnd"/>
            <w:r>
              <w:t xml:space="preserve"> wag (</w:t>
            </w:r>
            <w:proofErr w:type="spellStart"/>
            <w:r>
              <w:t>ziarno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F30E" w14:textId="77777777" w:rsidR="000D04F5" w:rsidRDefault="007A7DBF">
            <w:pPr>
              <w:pStyle w:val="TableContents"/>
            </w:pPr>
            <w:r>
              <w:t>0,0292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42E17" w14:textId="77777777" w:rsidR="000D04F5" w:rsidRDefault="007A7DBF">
            <w:pPr>
              <w:pStyle w:val="TableContents"/>
            </w:pPr>
            <w:r>
              <w:t>11,5%</w:t>
            </w:r>
          </w:p>
        </w:tc>
      </w:tr>
      <w:tr w:rsidR="000D04F5" w14:paraId="22185633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7A63B" w14:textId="77777777" w:rsidR="000D04F5" w:rsidRDefault="007A7DBF">
            <w:pPr>
              <w:pStyle w:val="TableContents"/>
            </w:pPr>
            <w:proofErr w:type="spellStart"/>
            <w:r>
              <w:t>Architektura</w:t>
            </w:r>
            <w:proofErr w:type="spellEnd"/>
            <w:r>
              <w:t xml:space="preserve"> (</w:t>
            </w:r>
            <w:proofErr w:type="spellStart"/>
            <w:r>
              <w:t>ramię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10531" w14:textId="77777777" w:rsidR="000D04F5" w:rsidRDefault="007A7DBF">
            <w:pPr>
              <w:pStyle w:val="TableContents"/>
            </w:pPr>
            <w:r>
              <w:t>0,0130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107E2" w14:textId="77777777" w:rsidR="000D04F5" w:rsidRDefault="007A7DBF">
            <w:pPr>
              <w:pStyle w:val="TableContents"/>
            </w:pPr>
            <w:r>
              <w:t>2,3%</w:t>
            </w:r>
          </w:p>
        </w:tc>
      </w:tr>
    </w:tbl>
    <w:p w14:paraId="1AAFA7FD" w14:textId="15F2B67C" w:rsidR="000D04F5" w:rsidRDefault="000D04F5">
      <w:pPr>
        <w:pStyle w:val="Textbody"/>
      </w:pPr>
    </w:p>
    <w:p w14:paraId="1B4F6EFE" w14:textId="5161C5BD" w:rsidR="009123F8" w:rsidRDefault="009123F8">
      <w:pPr>
        <w:pStyle w:val="Textbody"/>
      </w:pPr>
    </w:p>
    <w:p w14:paraId="2EEBB7BB" w14:textId="23F45322" w:rsidR="009123F8" w:rsidRDefault="009123F8">
      <w:pPr>
        <w:pStyle w:val="Textbody"/>
      </w:pPr>
    </w:p>
    <w:p w14:paraId="6F25FCCA" w14:textId="1F5FCF7D" w:rsidR="009123F8" w:rsidRDefault="009123F8">
      <w:pPr>
        <w:pStyle w:val="Textbody"/>
      </w:pPr>
    </w:p>
    <w:p w14:paraId="39A7BCDC" w14:textId="73052494" w:rsidR="009123F8" w:rsidRDefault="009123F8">
      <w:pPr>
        <w:pStyle w:val="Textbody"/>
      </w:pPr>
    </w:p>
    <w:p w14:paraId="275927BF" w14:textId="2256861B" w:rsidR="009123F8" w:rsidRDefault="009123F8">
      <w:pPr>
        <w:pStyle w:val="Textbody"/>
      </w:pPr>
    </w:p>
    <w:p w14:paraId="6C638ABB" w14:textId="77777777" w:rsidR="009123F8" w:rsidRDefault="009123F8">
      <w:pPr>
        <w:pStyle w:val="Textbody"/>
      </w:pPr>
    </w:p>
    <w:p w14:paraId="0182F61C" w14:textId="77777777" w:rsidR="007B2CFA" w:rsidRDefault="007B2CFA" w:rsidP="007B2CFA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5.</w:t>
      </w:r>
      <w:r w:rsidRPr="00916C75">
        <w:rPr>
          <w:lang w:val="pl-PL"/>
        </w:rPr>
        <w:t xml:space="preserve"> Dekompozycja wariancji — wykres słupkowy trzech źródeł.</w:t>
      </w:r>
    </w:p>
    <w:p w14:paraId="29BE384F" w14:textId="62AEF80F" w:rsidR="007B2CFA" w:rsidRPr="007B2CFA" w:rsidRDefault="007B2CFA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D6F39FA" wp14:editId="509EBCB2">
            <wp:extent cx="6120130" cy="2773045"/>
            <wp:effectExtent l="0" t="0" r="0" b="825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56FF" w14:textId="1D7D5825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Wariancja wynikająca z inicjalizacji wag przewyższa wariancję między wszystkimi badanymi </w:t>
      </w:r>
      <w:proofErr w:type="spellStart"/>
      <w:r w:rsidRPr="00916C75">
        <w:rPr>
          <w:lang w:val="pl-PL"/>
        </w:rPr>
        <w:t>architekturami</w:t>
      </w:r>
      <w:proofErr w:type="spellEnd"/>
      <w:r w:rsidRPr="00916C75">
        <w:rPr>
          <w:lang w:val="pl-PL"/>
        </w:rPr>
        <w:t xml:space="preserve"> </w:t>
      </w:r>
      <w:r w:rsidRPr="00916C75">
        <w:rPr>
          <w:b/>
          <w:lang w:val="pl-PL"/>
        </w:rPr>
        <w:t>5,1-krotnie</w:t>
      </w:r>
      <w:r w:rsidRPr="00916C75">
        <w:rPr>
          <w:lang w:val="pl-PL"/>
        </w:rPr>
        <w:t>. Wynik ten uzyskano na danych po odfiltrowaniu preparatów tkanki prawidłowej; przed filtrowaniem stosunek wynosił 2,9, co wskazuje, że oczyszczenie materiału zbliżyło architektury do siebie bardziej, niż ustabilizowało trening.</w:t>
      </w:r>
    </w:p>
    <w:p w14:paraId="6CAB3259" w14:textId="77777777" w:rsidR="00AC4E17" w:rsidRPr="00916C75" w:rsidRDefault="00AC4E17">
      <w:pPr>
        <w:pStyle w:val="Textbody"/>
        <w:rPr>
          <w:lang w:val="pl-PL"/>
        </w:rPr>
      </w:pPr>
    </w:p>
    <w:p w14:paraId="3D32566B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3.5. Odporność na podział po ośrodku</w:t>
      </w:r>
    </w:p>
    <w:p w14:paraId="4F2A224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Analizę tę przeprowadzono na danych </w:t>
      </w:r>
      <w:r w:rsidRPr="00916C75">
        <w:rPr>
          <w:b/>
          <w:lang w:val="pl-PL"/>
        </w:rPr>
        <w:t>sprzed filtrowania materiału</w:t>
      </w:r>
      <w:r w:rsidRPr="00916C75">
        <w:rPr>
          <w:lang w:val="pl-PL"/>
        </w:rPr>
        <w:t xml:space="preserve"> (kohorta 255 pacjentek, z udziałem preparatów tkanki prawidłowej); traktujemy ją jako analizę pomocniczą, a jej wartości bezwzględne nie są porównywalne z tabelami 1–4.</w:t>
      </w:r>
    </w:p>
    <w:p w14:paraId="5F49F033" w14:textId="77777777" w:rsidR="009123F8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5.</w:t>
      </w:r>
      <w:r w:rsidRPr="00916C75">
        <w:rPr>
          <w:lang w:val="pl-PL"/>
        </w:rPr>
        <w:t xml:space="preserve"> </w:t>
      </w:r>
    </w:p>
    <w:p w14:paraId="1E721513" w14:textId="30D46596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Porównanie schematów podziału (25 </w:t>
      </w:r>
      <w:proofErr w:type="spellStart"/>
      <w:r w:rsidRPr="00916C75">
        <w:rPr>
          <w:lang w:val="pl-PL"/>
        </w:rPr>
        <w:t>foldów</w:t>
      </w:r>
      <w:proofErr w:type="spellEnd"/>
      <w:r w:rsidRPr="00916C75">
        <w:rPr>
          <w:lang w:val="pl-PL"/>
        </w:rPr>
        <w:t xml:space="preserve"> każdy, jedno ziarno; dane sprzed filtrowania).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7"/>
        <w:gridCol w:w="1928"/>
        <w:gridCol w:w="1928"/>
        <w:gridCol w:w="1928"/>
      </w:tblGrid>
      <w:tr w:rsidR="000D04F5" w14:paraId="01C635E0" w14:textId="77777777"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F497B" w14:textId="77777777" w:rsidR="000D04F5" w:rsidRDefault="007A7DBF">
            <w:pPr>
              <w:pStyle w:val="TableHeading"/>
              <w:jc w:val="left"/>
            </w:pPr>
            <w:proofErr w:type="spellStart"/>
            <w:r>
              <w:t>Ramię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2A36B" w14:textId="77777777" w:rsidR="000D04F5" w:rsidRDefault="007A7DBF">
            <w:pPr>
              <w:pStyle w:val="TableHeading"/>
              <w:jc w:val="left"/>
            </w:pPr>
            <w:proofErr w:type="spellStart"/>
            <w:r>
              <w:t>Podział</w:t>
            </w:r>
            <w:proofErr w:type="spellEnd"/>
            <w:r>
              <w:t xml:space="preserve"> </w:t>
            </w:r>
            <w:proofErr w:type="spellStart"/>
            <w:r>
              <w:t>losowy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3E808" w14:textId="77777777" w:rsidR="000D04F5" w:rsidRDefault="007A7DBF">
            <w:pPr>
              <w:pStyle w:val="TableHeading"/>
              <w:jc w:val="left"/>
            </w:pPr>
            <w:proofErr w:type="spellStart"/>
            <w:r>
              <w:t>Podział</w:t>
            </w:r>
            <w:proofErr w:type="spellEnd"/>
            <w:r>
              <w:t xml:space="preserve"> po </w:t>
            </w:r>
            <w:proofErr w:type="spellStart"/>
            <w:r>
              <w:t>ośrodku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96287" w14:textId="77777777" w:rsidR="000D04F5" w:rsidRDefault="007A7DBF">
            <w:pPr>
              <w:pStyle w:val="TableHeading"/>
              <w:jc w:val="left"/>
            </w:pPr>
            <w:r>
              <w:t>Δ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5DD43" w14:textId="77777777" w:rsidR="000D04F5" w:rsidRDefault="007A7DBF">
            <w:pPr>
              <w:pStyle w:val="TableHeading"/>
              <w:jc w:val="left"/>
            </w:pPr>
            <w:r>
              <w:t xml:space="preserve">SD (po </w:t>
            </w:r>
            <w:proofErr w:type="spellStart"/>
            <w:r>
              <w:t>ośrodku</w:t>
            </w:r>
            <w:proofErr w:type="spellEnd"/>
            <w:r>
              <w:t>)</w:t>
            </w:r>
          </w:p>
        </w:tc>
      </w:tr>
      <w:tr w:rsidR="000D04F5" w14:paraId="37B411E8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D8062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2F750" w14:textId="77777777" w:rsidR="000D04F5" w:rsidRDefault="007A7DBF">
            <w:pPr>
              <w:pStyle w:val="TableContents"/>
            </w:pPr>
            <w:r>
              <w:t>0,694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67C06" w14:textId="77777777" w:rsidR="000D04F5" w:rsidRDefault="007A7DBF">
            <w:pPr>
              <w:pStyle w:val="TableContents"/>
            </w:pPr>
            <w:r>
              <w:t>0,697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0C25A" w14:textId="77777777" w:rsidR="000D04F5" w:rsidRDefault="007A7DBF">
            <w:pPr>
              <w:pStyle w:val="TableContents"/>
            </w:pPr>
            <w:r>
              <w:rPr>
                <w:b/>
              </w:rPr>
              <w:t>+0,003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CDE2B" w14:textId="77777777" w:rsidR="000D04F5" w:rsidRDefault="007A7DBF">
            <w:pPr>
              <w:pStyle w:val="TableContents"/>
            </w:pPr>
            <w:r>
              <w:t>0,112</w:t>
            </w:r>
          </w:p>
        </w:tc>
      </w:tr>
      <w:tr w:rsidR="000D04F5" w14:paraId="78FC7FA5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FB58B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tab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45B2D" w14:textId="77777777" w:rsidR="000D04F5" w:rsidRDefault="007A7DBF">
            <w:pPr>
              <w:pStyle w:val="TableContents"/>
            </w:pPr>
            <w:r>
              <w:t>0,643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ACAB4" w14:textId="77777777" w:rsidR="000D04F5" w:rsidRDefault="007A7DBF">
            <w:pPr>
              <w:pStyle w:val="TableContents"/>
            </w:pPr>
            <w:r>
              <w:t>0,622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F30CF" w14:textId="77777777" w:rsidR="000D04F5" w:rsidRDefault="007A7DBF">
            <w:pPr>
              <w:pStyle w:val="TableContents"/>
            </w:pPr>
            <w:r>
              <w:t>−0,021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051BD" w14:textId="77777777" w:rsidR="000D04F5" w:rsidRDefault="007A7DBF">
            <w:pPr>
              <w:pStyle w:val="TableContents"/>
            </w:pPr>
            <w:r>
              <w:t>0,172</w:t>
            </w:r>
          </w:p>
        </w:tc>
      </w:tr>
      <w:tr w:rsidR="000D04F5" w14:paraId="205FE7FB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E1CB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7DE2C" w14:textId="77777777" w:rsidR="000D04F5" w:rsidRDefault="007A7DBF">
            <w:pPr>
              <w:pStyle w:val="TableContents"/>
            </w:pPr>
            <w:r>
              <w:t>0,677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30505" w14:textId="77777777" w:rsidR="000D04F5" w:rsidRDefault="007A7DBF">
            <w:pPr>
              <w:pStyle w:val="TableContents"/>
            </w:pPr>
            <w:r>
              <w:t>0,650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44BC8" w14:textId="77777777" w:rsidR="000D04F5" w:rsidRDefault="007A7DBF">
            <w:pPr>
              <w:pStyle w:val="TableContents"/>
            </w:pPr>
            <w:r>
              <w:t>−0,027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C35FD" w14:textId="77777777" w:rsidR="000D04F5" w:rsidRDefault="007A7DBF">
            <w:pPr>
              <w:pStyle w:val="TableContents"/>
            </w:pPr>
            <w:r>
              <w:t>0,179</w:t>
            </w:r>
          </w:p>
        </w:tc>
      </w:tr>
      <w:tr w:rsidR="000D04F5" w14:paraId="31B2238E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33D16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concat_wide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B319D" w14:textId="77777777" w:rsidR="000D04F5" w:rsidRDefault="007A7DBF">
            <w:pPr>
              <w:pStyle w:val="TableContents"/>
            </w:pPr>
            <w:r>
              <w:t>0,677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B057C" w14:textId="77777777" w:rsidR="000D04F5" w:rsidRDefault="007A7DBF">
            <w:pPr>
              <w:pStyle w:val="TableContents"/>
            </w:pPr>
            <w:r>
              <w:t>0,648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E61C1" w14:textId="77777777" w:rsidR="000D04F5" w:rsidRDefault="007A7DBF">
            <w:pPr>
              <w:pStyle w:val="TableContents"/>
            </w:pPr>
            <w:r>
              <w:t>−0,029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8FEC2" w14:textId="77777777" w:rsidR="000D04F5" w:rsidRDefault="007A7DBF">
            <w:pPr>
              <w:pStyle w:val="TableContents"/>
            </w:pPr>
            <w:r>
              <w:t>0,185</w:t>
            </w:r>
          </w:p>
        </w:tc>
      </w:tr>
      <w:tr w:rsidR="000D04F5" w14:paraId="4838E3BA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AD894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35F03" w14:textId="77777777" w:rsidR="000D04F5" w:rsidRDefault="007A7DBF">
            <w:pPr>
              <w:pStyle w:val="TableContents"/>
            </w:pPr>
            <w:r>
              <w:t>0,660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0C73D" w14:textId="77777777" w:rsidR="000D04F5" w:rsidRDefault="007A7DBF">
            <w:pPr>
              <w:pStyle w:val="TableContents"/>
            </w:pPr>
            <w:r>
              <w:t>0,625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83E22" w14:textId="77777777" w:rsidR="000D04F5" w:rsidRDefault="007A7DBF">
            <w:pPr>
              <w:pStyle w:val="TableContents"/>
            </w:pPr>
            <w:r>
              <w:t>−0,035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4896C" w14:textId="77777777" w:rsidR="000D04F5" w:rsidRDefault="007A7DBF">
            <w:pPr>
              <w:pStyle w:val="TableContents"/>
            </w:pPr>
            <w:r>
              <w:t>0,173</w:t>
            </w:r>
          </w:p>
        </w:tc>
      </w:tr>
    </w:tbl>
    <w:p w14:paraId="49853B33" w14:textId="77777777" w:rsidR="000D04F5" w:rsidRDefault="000D04F5">
      <w:pPr>
        <w:pStyle w:val="Textbody"/>
      </w:pPr>
    </w:p>
    <w:p w14:paraId="173CEB32" w14:textId="3290C406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Wariant wyłącznie obrazowy jako jedyny nie traci na dokładności przy podziale po ośrodku i wykazuje najmniejszy rozrzut. Wszystkie warianty zawierające gałąź kliniczną tracą 0,02–0,035. Sugeruje to, że </w:t>
      </w:r>
      <w:r w:rsidRPr="00916C75">
        <w:rPr>
          <w:b/>
          <w:lang w:val="pl-PL"/>
        </w:rPr>
        <w:t xml:space="preserve">to dane kliniczne, a nie obraz, są źródłem zmienności </w:t>
      </w:r>
      <w:proofErr w:type="spellStart"/>
      <w:r w:rsidRPr="00916C75">
        <w:rPr>
          <w:b/>
          <w:lang w:val="pl-PL"/>
        </w:rPr>
        <w:t>międzyośrodkowej</w:t>
      </w:r>
      <w:proofErr w:type="spellEnd"/>
      <w:r w:rsidRPr="00916C75">
        <w:rPr>
          <w:lang w:val="pl-PL"/>
        </w:rPr>
        <w:t xml:space="preserve"> — wynik przeciwny do typowej obawy o artefakt barwienia.</w:t>
      </w:r>
    </w:p>
    <w:p w14:paraId="76BCD871" w14:textId="77777777" w:rsidR="009123F8" w:rsidRPr="00916C75" w:rsidRDefault="009123F8">
      <w:pPr>
        <w:pStyle w:val="Textbody"/>
        <w:rPr>
          <w:lang w:val="pl-PL"/>
        </w:rPr>
      </w:pPr>
    </w:p>
    <w:p w14:paraId="1717A493" w14:textId="595088A4" w:rsidR="000D04F5" w:rsidRDefault="007A7DBF">
      <w:pPr>
        <w:pStyle w:val="Textbody"/>
        <w:rPr>
          <w:b/>
          <w:bCs/>
          <w:i/>
          <w:iCs/>
          <w:lang w:val="pl-PL"/>
        </w:rPr>
      </w:pPr>
      <w:r w:rsidRPr="00916C75">
        <w:rPr>
          <w:lang w:val="pl-PL"/>
        </w:rPr>
        <w:lastRenderedPageBreak/>
        <w:t xml:space="preserve">Przy podziale po ośrodku odchylenie standardowe między </w:t>
      </w:r>
      <w:proofErr w:type="spellStart"/>
      <w:r w:rsidRPr="00916C75">
        <w:rPr>
          <w:lang w:val="pl-PL"/>
        </w:rPr>
        <w:t>foldami</w:t>
      </w:r>
      <w:proofErr w:type="spellEnd"/>
      <w:r w:rsidRPr="00916C75">
        <w:rPr>
          <w:lang w:val="pl-PL"/>
        </w:rPr>
        <w:t xml:space="preserve"> rośnie z 0,096 do 0,147 i żadne porównanie nie przetrwało korekty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(najniższe </w:t>
      </w:r>
      <w:proofErr w:type="spellStart"/>
      <w:r w:rsidRPr="00916C75">
        <w:rPr>
          <w:lang w:val="pl-PL"/>
        </w:rPr>
        <w:t>p_Holm</w:t>
      </w:r>
      <w:proofErr w:type="spellEnd"/>
      <w:r w:rsidRPr="00916C75">
        <w:rPr>
          <w:lang w:val="pl-PL"/>
        </w:rPr>
        <w:t xml:space="preserve"> = 0,164).</w:t>
      </w:r>
      <w:r w:rsidR="00A30ABF">
        <w:rPr>
          <w:lang w:val="pl-PL"/>
        </w:rPr>
        <w:t xml:space="preserve"> </w:t>
      </w:r>
      <w:r w:rsidR="00A30ABF" w:rsidRPr="005742E3">
        <w:rPr>
          <w:lang w:val="pl-PL"/>
        </w:rPr>
        <w:t>[</w:t>
      </w:r>
      <w:r w:rsidR="005742E3">
        <w:rPr>
          <w:lang w:val="pl-PL"/>
        </w:rPr>
        <w:t>4</w:t>
      </w:r>
      <w:r w:rsidR="00A30ABF" w:rsidRPr="005742E3">
        <w:rPr>
          <w:lang w:val="pl-PL"/>
        </w:rPr>
        <w:t>]</w:t>
      </w:r>
    </w:p>
    <w:p w14:paraId="5CCE675A" w14:textId="77777777" w:rsidR="00AC4E17" w:rsidRPr="00A729D0" w:rsidRDefault="00AC4E17">
      <w:pPr>
        <w:pStyle w:val="Textbody"/>
        <w:rPr>
          <w:b/>
          <w:bCs/>
          <w:i/>
          <w:iCs/>
          <w:lang w:val="pl-PL"/>
        </w:rPr>
      </w:pPr>
    </w:p>
    <w:p w14:paraId="011152DA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3.6. Niestabilność replikacji</w:t>
      </w:r>
    </w:p>
    <w:p w14:paraId="10A4388F" w14:textId="7A3C2D9B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Porównanie </w:t>
      </w:r>
      <w:proofErr w:type="spellStart"/>
      <w:r w:rsidRPr="00916C75">
        <w:rPr>
          <w:rFonts w:ascii="Liberation Mono" w:hAnsi="Liberation Mono"/>
          <w:lang w:val="pl-PL"/>
        </w:rPr>
        <w:t>concat</w:t>
      </w:r>
      <w:proofErr w:type="spellEnd"/>
      <w:r w:rsidRPr="00916C75">
        <w:rPr>
          <w:lang w:val="pl-PL"/>
        </w:rPr>
        <w:t xml:space="preserve"> vs </w:t>
      </w:r>
      <w:r w:rsidRPr="00916C75">
        <w:rPr>
          <w:rFonts w:ascii="Liberation Mono" w:hAnsi="Liberation Mono"/>
          <w:lang w:val="pl-PL"/>
        </w:rPr>
        <w:t>cross</w:t>
      </w:r>
      <w:r w:rsidRPr="00916C75">
        <w:rPr>
          <w:lang w:val="pl-PL"/>
        </w:rPr>
        <w:t xml:space="preserve"> w mierze </w:t>
      </w:r>
      <w:proofErr w:type="spellStart"/>
      <w:r w:rsidRPr="00916C75">
        <w:rPr>
          <w:rFonts w:ascii="Liberation Mono" w:hAnsi="Liberation Mono"/>
          <w:lang w:val="pl-PL"/>
        </w:rPr>
        <w:t>rely_img</w:t>
      </w:r>
      <w:proofErr w:type="spellEnd"/>
      <w:r w:rsidRPr="00916C75">
        <w:rPr>
          <w:lang w:val="pl-PL"/>
        </w:rPr>
        <w:t xml:space="preserve"> wykonano czterokrotnie w różnych konfiguracjach</w:t>
      </w:r>
      <w:r w:rsidR="008A5E5E">
        <w:rPr>
          <w:lang w:val="pl-PL"/>
        </w:rPr>
        <w:t xml:space="preserve"> </w:t>
      </w:r>
      <w:r w:rsidR="008A5E5E">
        <w:rPr>
          <w:b/>
          <w:bCs/>
          <w:lang w:val="pl-PL"/>
        </w:rPr>
        <w:t>(Rycina 6)</w:t>
      </w:r>
      <w:r w:rsidRPr="00916C75">
        <w:rPr>
          <w:lang w:val="pl-PL"/>
        </w:rPr>
        <w:t>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D04F5" w14:paraId="6AA18F90" w14:textId="77777777"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A84BE" w14:textId="77777777" w:rsidR="000D04F5" w:rsidRDefault="007A7DBF">
            <w:pPr>
              <w:pStyle w:val="TableHeading"/>
              <w:jc w:val="left"/>
            </w:pPr>
            <w:proofErr w:type="spellStart"/>
            <w:r>
              <w:t>Konfiguracja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3343F" w14:textId="77777777" w:rsidR="000D04F5" w:rsidRDefault="007A7DBF">
            <w:pPr>
              <w:pStyle w:val="TableHeading"/>
              <w:jc w:val="left"/>
            </w:pPr>
            <w:r>
              <w:t>Δ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80E18" w14:textId="77777777" w:rsidR="000D04F5" w:rsidRDefault="007A7DBF">
            <w:pPr>
              <w:pStyle w:val="TableHeading"/>
              <w:jc w:val="left"/>
            </w:pPr>
            <w:r>
              <w:t>p</w:t>
            </w:r>
          </w:p>
        </w:tc>
      </w:tr>
      <w:tr w:rsidR="000D04F5" w14:paraId="1AEB258D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D6B91" w14:textId="77777777" w:rsidR="000D04F5" w:rsidRPr="00916C75" w:rsidRDefault="007A7DBF">
            <w:pPr>
              <w:pStyle w:val="TableContents"/>
              <w:rPr>
                <w:lang w:val="pl-PL"/>
              </w:rPr>
            </w:pPr>
            <w:r w:rsidRPr="00916C75">
              <w:rPr>
                <w:lang w:val="pl-PL"/>
              </w:rPr>
              <w:t>pojedyncze ziarno, podział losowy (przebieg 1)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474DD" w14:textId="77777777" w:rsidR="000D04F5" w:rsidRDefault="007A7DBF">
            <w:pPr>
              <w:pStyle w:val="TableContents"/>
            </w:pPr>
            <w:r>
              <w:t>+0,0291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41E4D" w14:textId="77777777" w:rsidR="000D04F5" w:rsidRDefault="007A7DBF">
            <w:pPr>
              <w:pStyle w:val="TableContents"/>
            </w:pPr>
            <w:r>
              <w:t>0,0005</w:t>
            </w:r>
          </w:p>
        </w:tc>
      </w:tr>
      <w:tr w:rsidR="000D04F5" w14:paraId="5F0712EA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C40D4" w14:textId="77777777" w:rsidR="000D04F5" w:rsidRPr="00916C75" w:rsidRDefault="007A7DBF">
            <w:pPr>
              <w:pStyle w:val="TableContents"/>
              <w:rPr>
                <w:lang w:val="pl-PL"/>
              </w:rPr>
            </w:pPr>
            <w:r w:rsidRPr="00916C75">
              <w:rPr>
                <w:lang w:val="pl-PL"/>
              </w:rPr>
              <w:t>pojedyncze ziarno, podział losowy (przebieg 2)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FDE1B" w14:textId="77777777" w:rsidR="000D04F5" w:rsidRDefault="007A7DBF">
            <w:pPr>
              <w:pStyle w:val="TableContents"/>
            </w:pPr>
            <w:r>
              <w:t>+0,0125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88A87" w14:textId="77777777" w:rsidR="000D04F5" w:rsidRDefault="007A7DBF">
            <w:pPr>
              <w:pStyle w:val="TableContents"/>
            </w:pPr>
            <w:r>
              <w:t>0,106</w:t>
            </w:r>
          </w:p>
        </w:tc>
      </w:tr>
      <w:tr w:rsidR="000D04F5" w14:paraId="2BF93A17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D8BDA" w14:textId="77777777" w:rsidR="000D04F5" w:rsidRPr="00916C75" w:rsidRDefault="007A7DBF">
            <w:pPr>
              <w:pStyle w:val="TableContents"/>
              <w:rPr>
                <w:lang w:val="pl-PL"/>
              </w:rPr>
            </w:pPr>
            <w:r w:rsidRPr="00916C75">
              <w:rPr>
                <w:lang w:val="pl-PL"/>
              </w:rPr>
              <w:t>pojedyncze ziarno, podział po ośrodku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AF2CD" w14:textId="77777777" w:rsidR="000D04F5" w:rsidRDefault="007A7DBF">
            <w:pPr>
              <w:pStyle w:val="TableContents"/>
            </w:pPr>
            <w:r>
              <w:t>+0,0126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17CAF" w14:textId="77777777" w:rsidR="000D04F5" w:rsidRDefault="007A7DBF">
            <w:pPr>
              <w:pStyle w:val="TableContents"/>
            </w:pPr>
            <w:r>
              <w:t>0,202</w:t>
            </w:r>
          </w:p>
        </w:tc>
      </w:tr>
      <w:tr w:rsidR="000D04F5" w14:paraId="0F9269CE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64938" w14:textId="77777777" w:rsidR="000D04F5" w:rsidRDefault="007A7DBF">
            <w:pPr>
              <w:pStyle w:val="TableContents"/>
            </w:pPr>
            <w:proofErr w:type="spellStart"/>
            <w:r>
              <w:t>trzy</w:t>
            </w:r>
            <w:proofErr w:type="spellEnd"/>
            <w:r>
              <w:t xml:space="preserve"> </w:t>
            </w:r>
            <w:proofErr w:type="spellStart"/>
            <w:r>
              <w:t>ziarna</w:t>
            </w:r>
            <w:proofErr w:type="spellEnd"/>
            <w:r>
              <w:t xml:space="preserve">, </w:t>
            </w:r>
            <w:proofErr w:type="spellStart"/>
            <w:r>
              <w:t>podział</w:t>
            </w:r>
            <w:proofErr w:type="spellEnd"/>
            <w:r>
              <w:t xml:space="preserve"> </w:t>
            </w:r>
            <w:proofErr w:type="spellStart"/>
            <w:r>
              <w:t>losowy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39A0D" w14:textId="77777777" w:rsidR="000D04F5" w:rsidRDefault="007A7DBF">
            <w:pPr>
              <w:pStyle w:val="TableContents"/>
            </w:pPr>
            <w:r>
              <w:t>+0,0091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99ABF" w14:textId="77777777" w:rsidR="000D04F5" w:rsidRDefault="007A7DBF">
            <w:pPr>
              <w:pStyle w:val="TableContents"/>
            </w:pPr>
            <w:r>
              <w:t>0,0275</w:t>
            </w:r>
          </w:p>
        </w:tc>
      </w:tr>
    </w:tbl>
    <w:p w14:paraId="7EF1C432" w14:textId="434D8FF5" w:rsidR="000D04F5" w:rsidRDefault="000D04F5">
      <w:pPr>
        <w:pStyle w:val="Textbody"/>
      </w:pPr>
    </w:p>
    <w:p w14:paraId="23A7BFE7" w14:textId="77777777" w:rsidR="007B2CFA" w:rsidRDefault="007B2CFA" w:rsidP="007B2CFA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6.</w:t>
      </w:r>
      <w:r w:rsidRPr="00916C75">
        <w:rPr>
          <w:lang w:val="pl-PL"/>
        </w:rPr>
        <w:t xml:space="preserve"> Niestabilność replikacji — te same porównania w czterech konfiguracjach.</w:t>
      </w:r>
    </w:p>
    <w:p w14:paraId="7579B357" w14:textId="77777777" w:rsidR="007B2CFA" w:rsidRPr="00916C75" w:rsidRDefault="007B2CFA" w:rsidP="007B2CFA">
      <w:pPr>
        <w:pStyle w:val="Textbody"/>
        <w:rPr>
          <w:lang w:val="pl-PL"/>
        </w:rPr>
      </w:pPr>
    </w:p>
    <w:p w14:paraId="58E21A2C" w14:textId="77777777" w:rsidR="007B2CFA" w:rsidRPr="00916C75" w:rsidRDefault="007B2CFA" w:rsidP="007B2CFA">
      <w:pPr>
        <w:pStyle w:val="Textbod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512F6B4" wp14:editId="738F46BB">
            <wp:extent cx="5774448" cy="3214123"/>
            <wp:effectExtent l="0" t="0" r="0" b="571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448" cy="32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880B" w14:textId="77777777" w:rsidR="007B2CFA" w:rsidRDefault="007B2CFA">
      <w:pPr>
        <w:pStyle w:val="Textbody"/>
      </w:pPr>
    </w:p>
    <w:p w14:paraId="1C00B37E" w14:textId="64F35CD2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Kierunek efektu jest zgodny we wszystkich czterech przypadkach, ale istotność pojawia się niekonsekwentnie. Dwa pierwsze wiersze pochodzą z </w:t>
      </w:r>
      <w:r w:rsidRPr="00916C75">
        <w:rPr>
          <w:b/>
          <w:lang w:val="pl-PL"/>
        </w:rPr>
        <w:t>identycznego kodu, identycznych podziałów i identycznych ziaren nominalnych</w:t>
      </w:r>
      <w:r w:rsidRPr="00916C75">
        <w:rPr>
          <w:lang w:val="pl-PL"/>
        </w:rPr>
        <w:t>, uruchomionego dwukrotnie przed włączeniem pełnego determinizmu obliczeń; wartość p przesunęła się o ponad dwa rzędy wielkości.</w:t>
      </w:r>
    </w:p>
    <w:p w14:paraId="673CC5C5" w14:textId="217BFC79" w:rsidR="009123F8" w:rsidRDefault="009123F8">
      <w:pPr>
        <w:pStyle w:val="Textbody"/>
        <w:rPr>
          <w:lang w:val="pl-PL"/>
        </w:rPr>
      </w:pPr>
    </w:p>
    <w:p w14:paraId="2C9162A2" w14:textId="77777777" w:rsidR="009123F8" w:rsidRPr="00916C75" w:rsidRDefault="009123F8">
      <w:pPr>
        <w:pStyle w:val="Textbody"/>
        <w:rPr>
          <w:lang w:val="pl-PL"/>
        </w:rPr>
      </w:pPr>
    </w:p>
    <w:p w14:paraId="61F2B00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lastRenderedPageBreak/>
        <w:t xml:space="preserve">Odwrotny wzorzec wystąpił dla porównania </w:t>
      </w:r>
      <w:r w:rsidRPr="00916C75">
        <w:rPr>
          <w:rFonts w:ascii="Liberation Mono" w:hAnsi="Liberation Mono"/>
          <w:lang w:val="pl-PL"/>
        </w:rPr>
        <w:t>cross</w:t>
      </w:r>
      <w:r w:rsidRPr="00916C75">
        <w:rPr>
          <w:lang w:val="pl-PL"/>
        </w:rPr>
        <w:t xml:space="preserve"> vs </w:t>
      </w:r>
      <w:r w:rsidRPr="00916C75">
        <w:rPr>
          <w:rFonts w:ascii="Liberation Mono" w:hAnsi="Liberation Mono"/>
          <w:lang w:val="pl-PL"/>
        </w:rPr>
        <w:t>cross_a2b</w:t>
      </w:r>
      <w:r w:rsidRPr="00916C75">
        <w:rPr>
          <w:lang w:val="pl-PL"/>
        </w:rPr>
        <w:t>: przy pojedynczym ziarnie efekt był graniczny (p = 0,087), a po uśrednieniu po trzech ziarnach wzmocnił się i przetrwał korektę. Uśrednianie po ziarnach osłabia wyniki pozorne i wzmacnia rzeczywiste.</w:t>
      </w:r>
    </w:p>
    <w:p w14:paraId="3657F2C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Trzecim źródłem niestabilności okazała się jakość materiału: odfiltrowanie preparatów tkanki prawidłowej (rozdz. 2.1) podniosło AUC wszystkich ramion o 0,06–0,08 i odwróciło nominalny ranking (warianty multimodalne wyprzedziły wariant obrazowy), nie zmieniając przy tym żadnego wniosku istotnego statystycznie. Wyniki wrażliwe na skład materiału w stopniu porównywalnym z badanym efektem stanowią dodatkowy argument za ostrożnością w interpretacji ablacji.</w:t>
      </w:r>
    </w:p>
    <w:p w14:paraId="6709AE42" w14:textId="755FC654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Dla ilustracji skali problemu: gdyby analizę oprzeć na pojedynczym przebiegu 5-fold — jak czyni większość publikacji — pięć kolejnych ziaren podziału wskazałoby </w:t>
      </w:r>
      <w:r w:rsidRPr="00916C75">
        <w:rPr>
          <w:b/>
          <w:lang w:val="pl-PL"/>
        </w:rPr>
        <w:t>czterech różnych zwycięzców</w:t>
      </w:r>
      <w:r w:rsidRPr="00916C75">
        <w:rPr>
          <w:lang w:val="pl-PL"/>
        </w:rPr>
        <w:t xml:space="preserve">. Pojedyncze </w:t>
      </w:r>
      <w:proofErr w:type="spellStart"/>
      <w:r w:rsidRPr="00916C75">
        <w:rPr>
          <w:lang w:val="pl-PL"/>
        </w:rPr>
        <w:t>foldy</w:t>
      </w:r>
      <w:proofErr w:type="spellEnd"/>
      <w:r w:rsidRPr="00916C75">
        <w:rPr>
          <w:lang w:val="pl-PL"/>
        </w:rPr>
        <w:t xml:space="preserve"> dawały AUC od 0,427 do 0,878.</w:t>
      </w:r>
    </w:p>
    <w:p w14:paraId="76486E29" w14:textId="02ED7C67" w:rsidR="00AC4E17" w:rsidRDefault="00AC4E17">
      <w:pPr>
        <w:pStyle w:val="Textbody"/>
        <w:rPr>
          <w:lang w:val="pl-PL"/>
        </w:rPr>
      </w:pPr>
    </w:p>
    <w:p w14:paraId="3A066E41" w14:textId="23C08C08" w:rsidR="00AC4E17" w:rsidRDefault="00AC4E17">
      <w:pPr>
        <w:pStyle w:val="Textbody"/>
        <w:rPr>
          <w:lang w:val="pl-PL"/>
        </w:rPr>
      </w:pPr>
    </w:p>
    <w:p w14:paraId="2CC8CF45" w14:textId="2EC46508" w:rsidR="00AC4E17" w:rsidRDefault="00AC4E17">
      <w:pPr>
        <w:pStyle w:val="Textbody"/>
        <w:rPr>
          <w:lang w:val="pl-PL"/>
        </w:rPr>
      </w:pPr>
    </w:p>
    <w:p w14:paraId="3F64AB03" w14:textId="77777777" w:rsidR="00AC4E17" w:rsidRPr="00916C75" w:rsidRDefault="00AC4E17">
      <w:pPr>
        <w:pStyle w:val="Textbody"/>
        <w:rPr>
          <w:lang w:val="pl-PL"/>
        </w:rPr>
      </w:pPr>
    </w:p>
    <w:p w14:paraId="796EFE61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3.7. Fuzja późna i zgodność modalności</w:t>
      </w:r>
    </w:p>
    <w:p w14:paraId="3221B85D" w14:textId="74DCD9D4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Predykcje modeli jednomodalnych na poziomie pacjenta wykazały niską wzajemną korelację (średni współczynnik Pearsona 0,173), co wskazuje, że modalności niosą w znacznej mierze </w:t>
      </w:r>
      <w:r w:rsidRPr="00916C75">
        <w:rPr>
          <w:b/>
          <w:lang w:val="pl-PL"/>
        </w:rPr>
        <w:t>komplementarną</w:t>
      </w:r>
      <w:r w:rsidRPr="00916C75">
        <w:rPr>
          <w:lang w:val="pl-PL"/>
        </w:rPr>
        <w:t xml:space="preserve"> informację. Uzasadnia to sprawdzenie fuzji późnej, która — w odróżnieniu od fuzji wczesnej — nie wymusza wspólnej reprezentacji.</w:t>
      </w:r>
    </w:p>
    <w:p w14:paraId="579D8A68" w14:textId="77777777" w:rsidR="00AC4E17" w:rsidRPr="00916C75" w:rsidRDefault="00AC4E17">
      <w:pPr>
        <w:pStyle w:val="Textbody"/>
        <w:rPr>
          <w:lang w:val="pl-PL"/>
        </w:rPr>
      </w:pPr>
    </w:p>
    <w:p w14:paraId="33DA9E30" w14:textId="77777777" w:rsidR="009123F8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6.</w:t>
      </w:r>
      <w:r w:rsidRPr="00916C75">
        <w:rPr>
          <w:lang w:val="pl-PL"/>
        </w:rPr>
        <w:t xml:space="preserve"> </w:t>
      </w:r>
    </w:p>
    <w:p w14:paraId="52AA9BA1" w14:textId="45C86515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Fuzja późna w zestawieniu z fuzją wczesną (AUC, 25 </w:t>
      </w:r>
      <w:proofErr w:type="spellStart"/>
      <w:r w:rsidRPr="00916C75">
        <w:rPr>
          <w:lang w:val="pl-PL"/>
        </w:rPr>
        <w:t>foldów</w:t>
      </w:r>
      <w:proofErr w:type="spellEnd"/>
      <w:r w:rsidRPr="00916C75">
        <w:rPr>
          <w:lang w:val="pl-PL"/>
        </w:rPr>
        <w:t>)</w:t>
      </w:r>
      <w:r w:rsidR="008A5E5E">
        <w:rPr>
          <w:lang w:val="pl-PL"/>
        </w:rPr>
        <w:t xml:space="preserve"> </w:t>
      </w:r>
      <w:r w:rsidR="008A5E5E">
        <w:rPr>
          <w:b/>
          <w:bCs/>
          <w:lang w:val="pl-PL"/>
        </w:rPr>
        <w:t>(Rycina 7)</w:t>
      </w:r>
      <w:r w:rsidRPr="00916C75">
        <w:rPr>
          <w:lang w:val="pl-PL"/>
        </w:rPr>
        <w:t>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D04F5" w14:paraId="366934C0" w14:textId="77777777"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15324" w14:textId="77777777" w:rsidR="000D04F5" w:rsidRDefault="007A7DBF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F7C3E" w14:textId="77777777" w:rsidR="000D04F5" w:rsidRDefault="007A7DBF">
            <w:pPr>
              <w:pStyle w:val="TableHeading"/>
              <w:jc w:val="left"/>
            </w:pPr>
            <w:r>
              <w:t>AUC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E5393" w14:textId="77777777" w:rsidR="000D04F5" w:rsidRDefault="007A7DBF">
            <w:pPr>
              <w:pStyle w:val="TableHeading"/>
              <w:jc w:val="left"/>
            </w:pPr>
            <w:r>
              <w:t>95% CI</w:t>
            </w:r>
          </w:p>
        </w:tc>
      </w:tr>
      <w:tr w:rsidR="000D04F5" w14:paraId="29A504B4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97772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late_rank</w:t>
            </w:r>
            <w:proofErr w:type="spellEnd"/>
            <w:r>
              <w:t xml:space="preserve"> (</w:t>
            </w:r>
            <w:proofErr w:type="spellStart"/>
            <w:r>
              <w:t>uśrednienie</w:t>
            </w:r>
            <w:proofErr w:type="spellEnd"/>
            <w:r>
              <w:t xml:space="preserve"> </w:t>
            </w:r>
            <w:proofErr w:type="spellStart"/>
            <w:r>
              <w:t>rangowe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85E7A" w14:textId="77777777" w:rsidR="000D04F5" w:rsidRDefault="007A7DBF">
            <w:pPr>
              <w:pStyle w:val="TableContents"/>
            </w:pPr>
            <w:r>
              <w:rPr>
                <w:b/>
              </w:rPr>
              <w:t>0,772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D5725" w14:textId="77777777" w:rsidR="000D04F5" w:rsidRDefault="007A7DBF">
            <w:pPr>
              <w:pStyle w:val="TableContents"/>
            </w:pPr>
            <w:r>
              <w:t>[0,742; 0,803]</w:t>
            </w:r>
          </w:p>
        </w:tc>
      </w:tr>
      <w:tr w:rsidR="000D04F5" w14:paraId="7738243F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23433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late_mean</w:t>
            </w:r>
            <w:proofErr w:type="spellEnd"/>
            <w:r>
              <w:t xml:space="preserve"> (</w:t>
            </w:r>
            <w:proofErr w:type="spellStart"/>
            <w:r>
              <w:t>uśrednienie</w:t>
            </w:r>
            <w:proofErr w:type="spellEnd"/>
            <w:r>
              <w:t xml:space="preserve"> </w:t>
            </w:r>
            <w:proofErr w:type="spellStart"/>
            <w:r>
              <w:t>arytmetyczne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954F4" w14:textId="77777777" w:rsidR="000D04F5" w:rsidRDefault="007A7DBF">
            <w:pPr>
              <w:pStyle w:val="TableContents"/>
            </w:pPr>
            <w:r>
              <w:t>0,763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CF8F8" w14:textId="77777777" w:rsidR="000D04F5" w:rsidRDefault="007A7DBF">
            <w:pPr>
              <w:pStyle w:val="TableContents"/>
            </w:pPr>
            <w:r>
              <w:t>[0,732; 0,795]</w:t>
            </w:r>
          </w:p>
        </w:tc>
      </w:tr>
      <w:tr w:rsidR="000D04F5" w14:paraId="3A5CB213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3834B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09835" w14:textId="77777777" w:rsidR="000D04F5" w:rsidRDefault="007A7DBF">
            <w:pPr>
              <w:pStyle w:val="TableContents"/>
            </w:pPr>
            <w:r>
              <w:t>0,742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F96E" w14:textId="77777777" w:rsidR="000D04F5" w:rsidRDefault="007A7DBF">
            <w:pPr>
              <w:pStyle w:val="TableContents"/>
            </w:pPr>
            <w:r>
              <w:t>[0,702; 0,781]</w:t>
            </w:r>
          </w:p>
        </w:tc>
      </w:tr>
      <w:tr w:rsidR="000D04F5" w14:paraId="0878BB4C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856D3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7A0E9" w14:textId="77777777" w:rsidR="000D04F5" w:rsidRDefault="007A7DBF">
            <w:pPr>
              <w:pStyle w:val="TableContents"/>
            </w:pPr>
            <w:r>
              <w:t>0,736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4F6B0" w14:textId="77777777" w:rsidR="000D04F5" w:rsidRDefault="007A7DBF">
            <w:pPr>
              <w:pStyle w:val="TableContents"/>
            </w:pPr>
            <w:r>
              <w:t>[0,698; 0,773]</w:t>
            </w:r>
          </w:p>
        </w:tc>
      </w:tr>
      <w:tr w:rsidR="000D04F5" w14:paraId="5D545E45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601BE" w14:textId="77777777" w:rsidR="000D04F5" w:rsidRDefault="007A7DBF">
            <w:pPr>
              <w:pStyle w:val="TableContents"/>
            </w:pPr>
            <w:r>
              <w:rPr>
                <w:rFonts w:ascii="Liberation Mono" w:hAnsi="Liberation Mono"/>
              </w:rPr>
              <w:t>tab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D932A" w14:textId="77777777" w:rsidR="000D04F5" w:rsidRDefault="007A7DBF">
            <w:pPr>
              <w:pStyle w:val="TableContents"/>
            </w:pPr>
            <w:r>
              <w:t>0,725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3947E" w14:textId="77777777" w:rsidR="000D04F5" w:rsidRDefault="007A7DBF">
            <w:pPr>
              <w:pStyle w:val="TableContents"/>
            </w:pPr>
            <w:r>
              <w:t>[0,690; 0,760]</w:t>
            </w:r>
          </w:p>
        </w:tc>
      </w:tr>
      <w:tr w:rsidR="000D04F5" w14:paraId="463249AC" w14:textId="77777777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15543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096CD" w14:textId="77777777" w:rsidR="000D04F5" w:rsidRDefault="007A7DBF">
            <w:pPr>
              <w:pStyle w:val="TableContents"/>
            </w:pPr>
            <w:r>
              <w:t>0,709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5F76F" w14:textId="77777777" w:rsidR="000D04F5" w:rsidRDefault="007A7DBF">
            <w:pPr>
              <w:pStyle w:val="TableContents"/>
            </w:pPr>
            <w:r>
              <w:t>[0,681; 0,737]</w:t>
            </w:r>
          </w:p>
        </w:tc>
      </w:tr>
    </w:tbl>
    <w:p w14:paraId="12411824" w14:textId="79415AE1" w:rsidR="000D04F5" w:rsidRDefault="000D04F5">
      <w:pPr>
        <w:pStyle w:val="Textbody"/>
      </w:pPr>
    </w:p>
    <w:p w14:paraId="10F617B4" w14:textId="29B7DBB9" w:rsidR="007B2CFA" w:rsidRPr="00AC4E17" w:rsidRDefault="007B2CFA" w:rsidP="007B2CFA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lastRenderedPageBreak/>
        <w:t>Rycina 7.</w:t>
      </w:r>
      <w:r w:rsidRPr="00916C75">
        <w:rPr>
          <w:lang w:val="pl-PL"/>
        </w:rPr>
        <w:t xml:space="preserve"> Fuzja późna w zestawieniu z wczesną i wariantami jednomodalnymi.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FFC449" wp14:editId="33A6365F">
            <wp:simplePos x="0" y="0"/>
            <wp:positionH relativeFrom="column">
              <wp:posOffset>194310</wp:posOffset>
            </wp:positionH>
            <wp:positionV relativeFrom="paragraph">
              <wp:posOffset>340995</wp:posOffset>
            </wp:positionV>
            <wp:extent cx="5842635" cy="4297680"/>
            <wp:effectExtent l="0" t="0" r="5715" b="7620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B5E79" w14:textId="77777777" w:rsidR="00AC4E17" w:rsidRPr="00AC4E17" w:rsidRDefault="00AC4E17" w:rsidP="00AC4E17">
      <w:pPr>
        <w:pStyle w:val="Textbody"/>
        <w:ind w:left="709"/>
        <w:rPr>
          <w:lang w:val="pl-PL"/>
        </w:rPr>
      </w:pPr>
    </w:p>
    <w:p w14:paraId="4BF80D69" w14:textId="689C4DA3" w:rsidR="007B2CFA" w:rsidRDefault="007B2CFA" w:rsidP="007B2CFA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t>Rycina 8.</w:t>
      </w:r>
      <w:r w:rsidRPr="00916C75">
        <w:rPr>
          <w:lang w:val="pl-PL"/>
        </w:rPr>
        <w:t xml:space="preserve"> Zgodność modalności: dokładność w podgrupie zgodnej i niezgodnej.</w:t>
      </w:r>
    </w:p>
    <w:p w14:paraId="062757C1" w14:textId="427FB54F" w:rsidR="007B2CFA" w:rsidRDefault="007B2CFA" w:rsidP="007B2CFA">
      <w:pPr>
        <w:pStyle w:val="Textbody"/>
        <w:rPr>
          <w:lang w:val="pl-PL"/>
        </w:rPr>
      </w:pPr>
    </w:p>
    <w:p w14:paraId="385B7895" w14:textId="282DC0A6" w:rsidR="009123F8" w:rsidRDefault="009123F8" w:rsidP="007B2CFA">
      <w:pPr>
        <w:pStyle w:val="Textbody"/>
        <w:rPr>
          <w:lang w:val="pl-PL"/>
        </w:rPr>
      </w:pPr>
    </w:p>
    <w:p w14:paraId="7E4475F2" w14:textId="77777777" w:rsidR="009123F8" w:rsidRPr="00916C75" w:rsidRDefault="009123F8" w:rsidP="007B2CFA">
      <w:pPr>
        <w:pStyle w:val="Textbody"/>
        <w:rPr>
          <w:lang w:val="pl-PL"/>
        </w:rPr>
      </w:pPr>
    </w:p>
    <w:p w14:paraId="2E5E3C17" w14:textId="77777777" w:rsidR="007B2CFA" w:rsidRPr="00916C75" w:rsidRDefault="007B2CFA" w:rsidP="007B2CFA">
      <w:pPr>
        <w:pStyle w:val="Textbody"/>
        <w:rPr>
          <w:lang w:val="pl-P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E43C40" wp14:editId="21E8521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851200"/>
            <wp:effectExtent l="0" t="0" r="0" b="6300"/>
            <wp:wrapSquare wrapText="bothSides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401F0" w14:textId="77777777" w:rsidR="007B2CFA" w:rsidRPr="00916C75" w:rsidRDefault="007B2CFA" w:rsidP="007B2CFA">
      <w:pPr>
        <w:pStyle w:val="Textbody"/>
        <w:numPr>
          <w:ilvl w:val="0"/>
          <w:numId w:val="8"/>
        </w:numPr>
        <w:rPr>
          <w:lang w:val="pl-PL"/>
        </w:rPr>
      </w:pPr>
      <w:r w:rsidRPr="00916C75">
        <w:rPr>
          <w:b/>
          <w:lang w:val="pl-PL"/>
        </w:rPr>
        <w:lastRenderedPageBreak/>
        <w:t>Rycina 9.</w:t>
      </w:r>
      <w:r w:rsidRPr="00916C75">
        <w:rPr>
          <w:lang w:val="pl-PL"/>
        </w:rPr>
        <w:t xml:space="preserve"> Krzywa predykcji selektywnej — niezgodność modalności wobec pewności modelu.</w:t>
      </w:r>
    </w:p>
    <w:p w14:paraId="163B4E40" w14:textId="77777777" w:rsidR="007B2CFA" w:rsidRDefault="007B2CFA" w:rsidP="007B2CFA">
      <w:pPr>
        <w:pStyle w:val="Textbody"/>
        <w:rPr>
          <w:lang w:val="pl-PL"/>
        </w:rPr>
      </w:pPr>
    </w:p>
    <w:p w14:paraId="1A2DD817" w14:textId="236DB65C" w:rsidR="00AC4E17" w:rsidRDefault="007B2CFA">
      <w:pPr>
        <w:pStyle w:val="Textbody"/>
        <w:rPr>
          <w:lang w:val="pl-P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A148E4" wp14:editId="0E76303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91880" cy="3397320"/>
            <wp:effectExtent l="0" t="0" r="8820" b="0"/>
            <wp:wrapSquare wrapText="bothSides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880" cy="339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47FA4" w14:textId="77777777" w:rsidR="00AC4E17" w:rsidRPr="007B2CFA" w:rsidRDefault="00AC4E17">
      <w:pPr>
        <w:pStyle w:val="Textbody"/>
        <w:rPr>
          <w:lang w:val="pl-PL"/>
        </w:rPr>
      </w:pPr>
    </w:p>
    <w:p w14:paraId="7CC3BAB5" w14:textId="77777777" w:rsidR="009123F8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Tabela 7.</w:t>
      </w:r>
      <w:r w:rsidRPr="00916C75">
        <w:rPr>
          <w:lang w:val="pl-PL"/>
        </w:rPr>
        <w:t xml:space="preserve"> </w:t>
      </w:r>
    </w:p>
    <w:p w14:paraId="6647C995" w14:textId="42F99B33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Porównania par dla fuzji późnej (</w:t>
      </w:r>
      <w:proofErr w:type="spellStart"/>
      <w:r w:rsidRPr="00916C75">
        <w:rPr>
          <w:lang w:val="pl-PL"/>
        </w:rPr>
        <w:t>Wilcoxon</w:t>
      </w:r>
      <w:proofErr w:type="spellEnd"/>
      <w:r w:rsidRPr="00916C75">
        <w:rPr>
          <w:lang w:val="pl-PL"/>
        </w:rPr>
        <w:t xml:space="preserve">, korekta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>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09"/>
        <w:gridCol w:w="2409"/>
      </w:tblGrid>
      <w:tr w:rsidR="000D04F5" w14:paraId="4C60E209" w14:textId="77777777">
        <w:trPr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D5548" w14:textId="77777777" w:rsidR="000D04F5" w:rsidRDefault="007A7DBF">
            <w:pPr>
              <w:pStyle w:val="TableHeading"/>
              <w:jc w:val="left"/>
            </w:pPr>
            <w:proofErr w:type="spellStart"/>
            <w:r>
              <w:t>Porównanie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DAA88" w14:textId="77777777" w:rsidR="000D04F5" w:rsidRDefault="007A7DBF">
            <w:pPr>
              <w:pStyle w:val="TableHeading"/>
              <w:jc w:val="left"/>
            </w:pPr>
            <w:r>
              <w:t>ΔAUC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41B84" w14:textId="77777777" w:rsidR="000D04F5" w:rsidRDefault="007A7DBF">
            <w:pPr>
              <w:pStyle w:val="TableHeading"/>
              <w:jc w:val="left"/>
            </w:pPr>
            <w:r>
              <w:t>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07763" w14:textId="77777777" w:rsidR="000D04F5" w:rsidRDefault="007A7DBF">
            <w:pPr>
              <w:pStyle w:val="TableHeading"/>
              <w:jc w:val="left"/>
            </w:pPr>
            <w:proofErr w:type="spellStart"/>
            <w:r>
              <w:t>p_Holm</w:t>
            </w:r>
            <w:proofErr w:type="spellEnd"/>
          </w:p>
        </w:tc>
      </w:tr>
      <w:tr w:rsidR="000D04F5" w14:paraId="0ECC09AA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C61A4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late_rank</w:t>
            </w:r>
            <w:proofErr w:type="spellEnd"/>
            <w:r>
              <w:t xml:space="preserve"> vs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A9969" w14:textId="77777777" w:rsidR="000D04F5" w:rsidRDefault="007A7DBF">
            <w:pPr>
              <w:pStyle w:val="TableContents"/>
            </w:pPr>
            <w:r>
              <w:t>+0,064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C19E7" w14:textId="77777777" w:rsidR="000D04F5" w:rsidRDefault="007A7DBF">
            <w:pPr>
              <w:pStyle w:val="TableContents"/>
            </w:pPr>
            <w:r>
              <w:t>2·10⁻⁵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A74B6" w14:textId="77777777" w:rsidR="000D04F5" w:rsidRDefault="007A7DBF">
            <w:pPr>
              <w:pStyle w:val="TableContents"/>
            </w:pPr>
            <w:r>
              <w:rPr>
                <w:b/>
              </w:rPr>
              <w:t>0,00008</w:t>
            </w:r>
          </w:p>
        </w:tc>
      </w:tr>
      <w:tr w:rsidR="000D04F5" w14:paraId="65A1A3DC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B844B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late_rank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tab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F114E" w14:textId="77777777" w:rsidR="000D04F5" w:rsidRDefault="007A7DBF">
            <w:pPr>
              <w:pStyle w:val="TableContents"/>
            </w:pPr>
            <w:r>
              <w:t>+0,048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7B1EE" w14:textId="77777777" w:rsidR="000D04F5" w:rsidRDefault="007A7DBF">
            <w:pPr>
              <w:pStyle w:val="TableContents"/>
            </w:pPr>
            <w:r>
              <w:t>0,0002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1D412" w14:textId="77777777" w:rsidR="000D04F5" w:rsidRDefault="007A7DBF">
            <w:pPr>
              <w:pStyle w:val="TableContents"/>
            </w:pPr>
            <w:r>
              <w:rPr>
                <w:b/>
              </w:rPr>
              <w:t>0,0007</w:t>
            </w:r>
          </w:p>
        </w:tc>
      </w:tr>
      <w:tr w:rsidR="000D04F5" w14:paraId="6B60A5D9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8095D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late_rank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BF17B" w14:textId="77777777" w:rsidR="000D04F5" w:rsidRDefault="007A7DBF">
            <w:pPr>
              <w:pStyle w:val="TableContents"/>
            </w:pPr>
            <w:r>
              <w:t>+0,037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BB41A" w14:textId="77777777" w:rsidR="000D04F5" w:rsidRDefault="007A7DBF">
            <w:pPr>
              <w:pStyle w:val="TableContents"/>
            </w:pPr>
            <w:r>
              <w:t>0,0027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4108" w14:textId="77777777" w:rsidR="000D04F5" w:rsidRDefault="007A7DBF">
            <w:pPr>
              <w:pStyle w:val="TableContents"/>
            </w:pPr>
            <w:r>
              <w:rPr>
                <w:b/>
              </w:rPr>
              <w:t>0,0081</w:t>
            </w:r>
          </w:p>
        </w:tc>
      </w:tr>
      <w:tr w:rsidR="000D04F5" w14:paraId="616FB1DC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75CC8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late_rank</w:t>
            </w:r>
            <w:proofErr w:type="spellEnd"/>
            <w:r>
              <w:t xml:space="preserve"> vs </w:t>
            </w:r>
            <w:proofErr w:type="spellStart"/>
            <w:r>
              <w:rPr>
                <w:rFonts w:ascii="Liberation Mono" w:hAnsi="Liberation Mono"/>
              </w:rPr>
              <w:t>concat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F54AC" w14:textId="77777777" w:rsidR="000D04F5" w:rsidRDefault="007A7DBF">
            <w:pPr>
              <w:pStyle w:val="TableContents"/>
            </w:pPr>
            <w:r>
              <w:t>+0,031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0399B" w14:textId="77777777" w:rsidR="000D04F5" w:rsidRDefault="007A7DBF">
            <w:pPr>
              <w:pStyle w:val="TableContents"/>
            </w:pPr>
            <w:r>
              <w:t>0,0214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EB12C" w14:textId="77777777" w:rsidR="000D04F5" w:rsidRDefault="007A7DBF">
            <w:pPr>
              <w:pStyle w:val="TableContents"/>
            </w:pPr>
            <w:r>
              <w:rPr>
                <w:b/>
              </w:rPr>
              <w:t>0,0428</w:t>
            </w:r>
          </w:p>
        </w:tc>
      </w:tr>
      <w:tr w:rsidR="000D04F5" w14:paraId="7B415BAD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72CB3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late_mean</w:t>
            </w:r>
            <w:proofErr w:type="spellEnd"/>
            <w:r>
              <w:t xml:space="preserve"> vs </w:t>
            </w:r>
            <w:proofErr w:type="spellStart"/>
            <w:r>
              <w:rPr>
                <w:rFonts w:ascii="Liberation Mono" w:hAnsi="Liberation Mono"/>
              </w:rPr>
              <w:t>img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A9875" w14:textId="77777777" w:rsidR="000D04F5" w:rsidRDefault="007A7DBF">
            <w:pPr>
              <w:pStyle w:val="TableContents"/>
            </w:pPr>
            <w:r>
              <w:t>+0,054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79AA4" w14:textId="77777777" w:rsidR="000D04F5" w:rsidRDefault="007A7DBF">
            <w:pPr>
              <w:pStyle w:val="TableContents"/>
            </w:pPr>
            <w:r>
              <w:t>0,0001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47320" w14:textId="77777777" w:rsidR="000D04F5" w:rsidRDefault="007A7DBF">
            <w:pPr>
              <w:pStyle w:val="TableContents"/>
            </w:pPr>
            <w:r>
              <w:rPr>
                <w:b/>
              </w:rPr>
              <w:t>0,0005</w:t>
            </w:r>
          </w:p>
        </w:tc>
      </w:tr>
      <w:tr w:rsidR="000D04F5" w14:paraId="2194D89D" w14:textId="77777777"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6FFE0" w14:textId="77777777" w:rsidR="000D04F5" w:rsidRDefault="007A7DBF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late_mean</w:t>
            </w:r>
            <w:proofErr w:type="spellEnd"/>
            <w:r>
              <w:t xml:space="preserve"> vs </w:t>
            </w:r>
            <w:r>
              <w:rPr>
                <w:rFonts w:ascii="Liberation Mono" w:hAnsi="Liberation Mono"/>
              </w:rPr>
              <w:t>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2E9F3" w14:textId="77777777" w:rsidR="000D04F5" w:rsidRDefault="007A7DBF">
            <w:pPr>
              <w:pStyle w:val="TableContents"/>
            </w:pPr>
            <w:r>
              <w:t>+0,028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5E43E" w14:textId="77777777" w:rsidR="000D04F5" w:rsidRDefault="007A7DBF">
            <w:pPr>
              <w:pStyle w:val="TableContents"/>
            </w:pPr>
            <w:r>
              <w:t>0,0160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21DFB" w14:textId="77777777" w:rsidR="000D04F5" w:rsidRDefault="007A7DBF">
            <w:pPr>
              <w:pStyle w:val="TableContents"/>
            </w:pPr>
            <w:r>
              <w:t>0,0640</w:t>
            </w:r>
          </w:p>
        </w:tc>
      </w:tr>
    </w:tbl>
    <w:p w14:paraId="6646BBE0" w14:textId="77777777" w:rsidR="000D04F5" w:rsidRDefault="000D04F5">
      <w:pPr>
        <w:pStyle w:val="Textbody"/>
      </w:pPr>
    </w:p>
    <w:p w14:paraId="42A26D19" w14:textId="7BDEA105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>Uśrednienie rangowe przewyższa arytmetyczne nominalnie (</w:t>
      </w:r>
      <w:r>
        <w:t>Δ</w:t>
      </w:r>
      <w:r w:rsidRPr="00916C75">
        <w:rPr>
          <w:lang w:val="pl-PL"/>
        </w:rPr>
        <w:t>AUC = +0,009; p = 0,085), co jest spójne z odmienną kalibracją obu modeli składowych, choć różnica ta na oczyszczonych danych nie osiąga istotności.</w:t>
      </w:r>
    </w:p>
    <w:p w14:paraId="26D432FB" w14:textId="35B48BE5" w:rsidR="009123F8" w:rsidRDefault="009123F8">
      <w:pPr>
        <w:pStyle w:val="Textbody"/>
        <w:rPr>
          <w:lang w:val="pl-PL"/>
        </w:rPr>
      </w:pPr>
    </w:p>
    <w:p w14:paraId="6A679952" w14:textId="77777777" w:rsidR="009123F8" w:rsidRPr="00916C75" w:rsidRDefault="009123F8">
      <w:pPr>
        <w:pStyle w:val="Textbody"/>
        <w:rPr>
          <w:lang w:val="pl-PL"/>
        </w:rPr>
      </w:pPr>
    </w:p>
    <w:p w14:paraId="6C40210F" w14:textId="77777777" w:rsidR="000D04F5" w:rsidRPr="00916C75" w:rsidRDefault="007A7DBF">
      <w:pPr>
        <w:pStyle w:val="Textbody"/>
        <w:rPr>
          <w:lang w:val="pl-PL"/>
        </w:rPr>
      </w:pPr>
      <w:proofErr w:type="spellStart"/>
      <w:r w:rsidRPr="00916C75">
        <w:rPr>
          <w:rFonts w:ascii="Liberation Mono" w:hAnsi="Liberation Mono"/>
          <w:b/>
          <w:lang w:val="pl-PL"/>
        </w:rPr>
        <w:lastRenderedPageBreak/>
        <w:t>late_rank</w:t>
      </w:r>
      <w:proofErr w:type="spellEnd"/>
      <w:r w:rsidRPr="00916C75">
        <w:rPr>
          <w:b/>
          <w:lang w:val="pl-PL"/>
        </w:rPr>
        <w:t xml:space="preserve"> jest jedynym modelem w całej pracy, który przewyższa wszystkie pozostałe warianty po korekcie na wielokrotne testowanie</w:t>
      </w:r>
      <w:r w:rsidRPr="00916C75">
        <w:rPr>
          <w:lang w:val="pl-PL"/>
        </w:rPr>
        <w:t>, w tym najlepszy wariant jednomodalny. Jednocześnie oba warianty fuzji późnej przewyższają obie architektury fuzji wczesnej, co wskazuje, że wymuszenie wspólnej reprezentacji na komplementarnych, słabo skorelowanych sygnałach prowadzi do utraty informacji.</w:t>
      </w:r>
    </w:p>
    <w:p w14:paraId="73413980" w14:textId="3177B841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Zgodność modalności.</w:t>
      </w:r>
      <w:r w:rsidRPr="00916C75">
        <w:rPr>
          <w:lang w:val="pl-PL"/>
        </w:rPr>
        <w:t xml:space="preserve"> Przy progu 0,5 modele jednomodalne wskazywały ten sam status u </w:t>
      </w:r>
      <w:r w:rsidRPr="00916C75">
        <w:rPr>
          <w:b/>
          <w:lang w:val="pl-PL"/>
        </w:rPr>
        <w:t>71,1%</w:t>
      </w:r>
      <w:r w:rsidRPr="00916C75">
        <w:rPr>
          <w:lang w:val="pl-PL"/>
        </w:rPr>
        <w:t xml:space="preserve"> pacjentek. Dokładność fuzji późnej w podgrupie zgodnej wyniosła 0,879, a w podgrupie niezgodnej 0,647 (różnica +0,232; p &lt; 10⁻⁵)</w:t>
      </w:r>
      <w:r w:rsidR="00F8555F">
        <w:rPr>
          <w:lang w:val="pl-PL"/>
        </w:rPr>
        <w:t xml:space="preserve"> </w:t>
      </w:r>
      <w:r w:rsidR="00F8555F">
        <w:rPr>
          <w:b/>
          <w:bCs/>
          <w:lang w:val="pl-PL"/>
        </w:rPr>
        <w:t>(Rycina 8)</w:t>
      </w:r>
      <w:r w:rsidRPr="00916C75">
        <w:rPr>
          <w:lang w:val="pl-PL"/>
        </w:rPr>
        <w:t>. Zgodność modalności jest zatem silnie związana z poprawnością predykcji.</w:t>
      </w:r>
    </w:p>
    <w:p w14:paraId="2847E9D9" w14:textId="0DF042D4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Predykcja selektywna.</w:t>
      </w:r>
      <w:r w:rsidRPr="00916C75">
        <w:rPr>
          <w:lang w:val="pl-PL"/>
        </w:rPr>
        <w:t xml:space="preserve"> Sprawdzono, czy niezgodność modalności stanowi użyteczną miarę niepewności. Jako odniesienie przyjęto pewność samej predykcji złożonej, </w:t>
      </w:r>
      <w:r w:rsidRPr="00916C75">
        <w:rPr>
          <w:rFonts w:ascii="Liberation Mono" w:hAnsi="Liberation Mono"/>
          <w:lang w:val="pl-PL"/>
        </w:rPr>
        <w:t>1 − |2p − 1|</w:t>
      </w:r>
      <w:r w:rsidRPr="00916C75">
        <w:rPr>
          <w:lang w:val="pl-PL"/>
        </w:rPr>
        <w:t>. Przy pokryciu 50% dokładność wyniosła 0,851 przy porządkowaniu według niezgodności i 0,915 przy porządkowaniu według pewności predykcji</w:t>
      </w:r>
      <w:r w:rsidR="00F8555F">
        <w:rPr>
          <w:lang w:val="pl-PL"/>
        </w:rPr>
        <w:t xml:space="preserve"> </w:t>
      </w:r>
      <w:r w:rsidR="00F8555F">
        <w:rPr>
          <w:b/>
          <w:bCs/>
          <w:lang w:val="pl-PL"/>
        </w:rPr>
        <w:t>(Rycina 9)</w:t>
      </w:r>
      <w:r w:rsidRPr="00916C75">
        <w:rPr>
          <w:lang w:val="pl-PL"/>
        </w:rPr>
        <w:t xml:space="preserve"> (różnica −0,064; p = 2·10⁻⁵). </w:t>
      </w:r>
      <w:r w:rsidRPr="00916C75">
        <w:rPr>
          <w:b/>
          <w:lang w:val="pl-PL"/>
        </w:rPr>
        <w:t>Niezgodność modalności nie wnosi zatem informacji ponad tę zawartą w pewności modelu złożonego</w:t>
      </w:r>
      <w:r w:rsidRPr="00916C75">
        <w:rPr>
          <w:lang w:val="pl-PL"/>
        </w:rPr>
        <w:t xml:space="preserve"> i nie stanowi lepszej podstawy do wyznaczania przypadków wymagających weryfikacji.</w:t>
      </w:r>
    </w:p>
    <w:p w14:paraId="4A7CA4DA" w14:textId="2371C36B" w:rsidR="00AC4E17" w:rsidRPr="009123F8" w:rsidRDefault="007A7DBF" w:rsidP="00AC4E17">
      <w:pPr>
        <w:pStyle w:val="Textbody"/>
        <w:rPr>
          <w:b/>
          <w:bCs/>
          <w:i/>
          <w:iCs/>
          <w:lang w:val="pl-PL"/>
        </w:rPr>
      </w:pPr>
      <w:r w:rsidRPr="00916C75">
        <w:rPr>
          <w:lang w:val="pl-PL"/>
        </w:rPr>
        <w:t xml:space="preserve">Wyniki te nie są sprzeczne. Zgodność modalności jest </w:t>
      </w:r>
      <w:proofErr w:type="spellStart"/>
      <w:r w:rsidRPr="00916C75">
        <w:rPr>
          <w:lang w:val="pl-PL"/>
        </w:rPr>
        <w:t>informatywna</w:t>
      </w:r>
      <w:proofErr w:type="spellEnd"/>
      <w:r w:rsidRPr="00916C75">
        <w:rPr>
          <w:lang w:val="pl-PL"/>
        </w:rPr>
        <w:t>, lecz pewność modelu złożonego zawiera tę informację i dodatkową: model złożony korzysta z pełnych rozkładów prawdopodobieństwa, nie tylko ze znaku różnicy między nimi.</w:t>
      </w:r>
      <w:r w:rsidR="00EC6C66">
        <w:rPr>
          <w:lang w:val="pl-PL"/>
        </w:rPr>
        <w:t xml:space="preserve"> </w:t>
      </w:r>
      <w:r w:rsidR="00EC6C66" w:rsidRPr="00F8555F">
        <w:rPr>
          <w:lang w:val="pl-PL"/>
        </w:rPr>
        <w:t>[12]</w:t>
      </w:r>
    </w:p>
    <w:p w14:paraId="1AC76E9D" w14:textId="77777777" w:rsidR="00AC4E17" w:rsidRPr="00AC4E17" w:rsidRDefault="00AC4E17" w:rsidP="00AC4E17">
      <w:pPr>
        <w:pStyle w:val="Textbody"/>
        <w:rPr>
          <w:lang w:val="pl-PL"/>
        </w:rPr>
      </w:pPr>
    </w:p>
    <w:p w14:paraId="638D68A2" w14:textId="5E62B789" w:rsidR="000D04F5" w:rsidRDefault="007A7DBF">
      <w:pPr>
        <w:pStyle w:val="Nagwek2"/>
        <w:rPr>
          <w:lang w:val="pl-PL"/>
        </w:rPr>
      </w:pPr>
      <w:r w:rsidRPr="00916C75">
        <w:rPr>
          <w:lang w:val="pl-PL"/>
        </w:rPr>
        <w:t>4. Dyskusja</w:t>
      </w:r>
    </w:p>
    <w:p w14:paraId="0C27F08B" w14:textId="77777777" w:rsidR="009123F8" w:rsidRPr="009123F8" w:rsidRDefault="009123F8" w:rsidP="009123F8">
      <w:pPr>
        <w:pStyle w:val="Textbody"/>
        <w:rPr>
          <w:lang w:val="pl-PL"/>
        </w:rPr>
      </w:pPr>
    </w:p>
    <w:p w14:paraId="42F3ED1D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4.1. Dlaczego uwaga skrośna zawodzi w tej konfiguracji</w:t>
      </w:r>
    </w:p>
    <w:p w14:paraId="22DC385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Wykazany mechanizm ma dwa składniki.</w:t>
      </w:r>
    </w:p>
    <w:p w14:paraId="756A5465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Degeneracja wymiarowa.</w:t>
      </w:r>
      <w:r w:rsidRPr="00916C75">
        <w:rPr>
          <w:lang w:val="pl-PL"/>
        </w:rPr>
        <w:t xml:space="preserve"> Uwaga skrośna wymaga, by strona dostarczająca klucze i wartości była </w:t>
      </w:r>
      <w:r w:rsidRPr="00916C75">
        <w:rPr>
          <w:b/>
          <w:lang w:val="pl-PL"/>
        </w:rPr>
        <w:t>sekwencją</w:t>
      </w:r>
      <w:r w:rsidRPr="00916C75">
        <w:rPr>
          <w:lang w:val="pl-PL"/>
        </w:rPr>
        <w:t xml:space="preserve">. Wektor kliniczny jest pojedynczym </w:t>
      </w:r>
      <w:proofErr w:type="spellStart"/>
      <w:r w:rsidRPr="00916C75">
        <w:rPr>
          <w:lang w:val="pl-PL"/>
        </w:rPr>
        <w:t>tokenem</w:t>
      </w:r>
      <w:proofErr w:type="spellEnd"/>
      <w:r w:rsidRPr="00916C75">
        <w:rPr>
          <w:lang w:val="pl-PL"/>
        </w:rPr>
        <w:t xml:space="preserve">, więc kierunek, w którym pełni on rolę klucza, redukuje się do stałego odwzorowania. Nie jest to błąd implementacji, lecz konsekwencja asymetrii modalności: obraz naturalnie rozkłada się na </w:t>
      </w:r>
      <w:proofErr w:type="spellStart"/>
      <w:r w:rsidRPr="00916C75">
        <w:rPr>
          <w:lang w:val="pl-PL"/>
        </w:rPr>
        <w:t>tokeny</w:t>
      </w:r>
      <w:proofErr w:type="spellEnd"/>
      <w:r w:rsidRPr="00916C75">
        <w:rPr>
          <w:lang w:val="pl-PL"/>
        </w:rPr>
        <w:t xml:space="preserve"> przestrzenne, wektor tabelaryczny nie.</w:t>
      </w:r>
    </w:p>
    <w:p w14:paraId="0B348B06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Skrót rezydualny.</w:t>
      </w:r>
      <w:r w:rsidRPr="00916C75">
        <w:rPr>
          <w:lang w:val="pl-PL"/>
        </w:rPr>
        <w:t xml:space="preserve"> W kierunku A→B zapytaniem jest wektor kliniczny, a połączenie rezydualne </w:t>
      </w:r>
      <w:proofErr w:type="spellStart"/>
      <w:r w:rsidRPr="00916C75">
        <w:rPr>
          <w:rFonts w:ascii="Liberation Mono" w:hAnsi="Liberation Mono"/>
          <w:lang w:val="pl-PL"/>
        </w:rPr>
        <w:t>LayerNorm</w:t>
      </w:r>
      <w:proofErr w:type="spellEnd"/>
      <w:r w:rsidRPr="00916C75">
        <w:rPr>
          <w:rFonts w:ascii="Liberation Mono" w:hAnsi="Liberation Mono"/>
          <w:lang w:val="pl-PL"/>
        </w:rPr>
        <w:t xml:space="preserve">(q + </w:t>
      </w:r>
      <w:proofErr w:type="spellStart"/>
      <w:r w:rsidRPr="00916C75">
        <w:rPr>
          <w:rFonts w:ascii="Liberation Mono" w:hAnsi="Liberation Mono"/>
          <w:lang w:val="pl-PL"/>
        </w:rPr>
        <w:t>Attention</w:t>
      </w:r>
      <w:proofErr w:type="spellEnd"/>
      <w:r w:rsidRPr="00916C75">
        <w:rPr>
          <w:rFonts w:ascii="Liberation Mono" w:hAnsi="Liberation Mono"/>
          <w:lang w:val="pl-PL"/>
        </w:rPr>
        <w:t>(</w:t>
      </w:r>
      <w:proofErr w:type="spellStart"/>
      <w:r w:rsidRPr="00916C75">
        <w:rPr>
          <w:rFonts w:ascii="Liberation Mono" w:hAnsi="Liberation Mono"/>
          <w:lang w:val="pl-PL"/>
        </w:rPr>
        <w:t>q,K,V</w:t>
      </w:r>
      <w:proofErr w:type="spellEnd"/>
      <w:r w:rsidRPr="00916C75">
        <w:rPr>
          <w:rFonts w:ascii="Liberation Mono" w:hAnsi="Liberation Mono"/>
          <w:lang w:val="pl-PL"/>
        </w:rPr>
        <w:t>))</w:t>
      </w:r>
      <w:r w:rsidRPr="00916C75">
        <w:rPr>
          <w:lang w:val="pl-PL"/>
        </w:rPr>
        <w:t xml:space="preserve"> przepuszcza go bezpośrednio na wyjście. Model może zatem wyzerować wagi uwagi bez utraty sygnału klinicznego, co czyni obraz opcjonalnym.</w:t>
      </w:r>
    </w:p>
    <w:p w14:paraId="79C6210B" w14:textId="6709EB33" w:rsidR="000D04F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Warto odnotować, że eksperyment usuwający sam skrót rezydualny (bez usuwania kierunku B→A) </w:t>
      </w:r>
      <w:r w:rsidRPr="00916C75">
        <w:rPr>
          <w:b/>
          <w:lang w:val="pl-PL"/>
        </w:rPr>
        <w:t>nie</w:t>
      </w:r>
      <w:r w:rsidRPr="00916C75">
        <w:rPr>
          <w:lang w:val="pl-PL"/>
        </w:rPr>
        <w:t xml:space="preserve"> podniósł polegania na obrazie i obniżył AUC. Interpretacja: skrót nie jest przyczyną, lecz umożliwia niemal bezkarne pomijanie mechanizmu, którego własny wkład informacyjny jest niewielki (</w:t>
      </w:r>
      <w:proofErr w:type="spellStart"/>
      <w:r w:rsidRPr="00916C75">
        <w:rPr>
          <w:lang w:val="pl-PL"/>
        </w:rPr>
        <w:t>rely_img</w:t>
      </w:r>
      <w:proofErr w:type="spellEnd"/>
      <w:r w:rsidRPr="00916C75">
        <w:rPr>
          <w:lang w:val="pl-PL"/>
        </w:rPr>
        <w:t xml:space="preserve"> wariantu jednokierunkowego +0,006 wobec +0,018 dla konkatenacji).</w:t>
      </w:r>
    </w:p>
    <w:p w14:paraId="0290F86B" w14:textId="0E96E223" w:rsidR="009123F8" w:rsidRDefault="009123F8">
      <w:pPr>
        <w:pStyle w:val="Textbody"/>
        <w:rPr>
          <w:lang w:val="pl-PL"/>
        </w:rPr>
      </w:pPr>
    </w:p>
    <w:p w14:paraId="4D6E1436" w14:textId="130A2EA4" w:rsidR="009123F8" w:rsidRDefault="009123F8">
      <w:pPr>
        <w:pStyle w:val="Textbody"/>
        <w:rPr>
          <w:lang w:val="pl-PL"/>
        </w:rPr>
      </w:pPr>
    </w:p>
    <w:p w14:paraId="08AC06F3" w14:textId="77777777" w:rsidR="009123F8" w:rsidRPr="00916C75" w:rsidRDefault="009123F8">
      <w:pPr>
        <w:pStyle w:val="Textbody"/>
        <w:rPr>
          <w:lang w:val="pl-PL"/>
        </w:rPr>
      </w:pPr>
    </w:p>
    <w:p w14:paraId="40EEA838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lastRenderedPageBreak/>
        <w:t xml:space="preserve">4.2. Implikacje dla projektowania </w:t>
      </w:r>
      <w:proofErr w:type="spellStart"/>
      <w:r w:rsidRPr="00916C75">
        <w:rPr>
          <w:lang w:val="pl-PL"/>
        </w:rPr>
        <w:t>architektur</w:t>
      </w:r>
      <w:proofErr w:type="spellEnd"/>
      <w:r w:rsidRPr="00916C75">
        <w:rPr>
          <w:lang w:val="pl-PL"/>
        </w:rPr>
        <w:t xml:space="preserve"> fuzji</w:t>
      </w:r>
    </w:p>
    <w:p w14:paraId="1EB844B0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Diagnoza z rozdziału 4.1 wskazuje warunek konieczny poprawnego zastosowania uwagi skrośnej: </w:t>
      </w:r>
      <w:r w:rsidRPr="00916C75">
        <w:rPr>
          <w:b/>
          <w:lang w:val="pl-PL"/>
        </w:rPr>
        <w:t>obie strony operacji muszą być sekwencjami</w:t>
      </w:r>
      <w:r w:rsidRPr="00916C75">
        <w:rPr>
          <w:lang w:val="pl-PL"/>
        </w:rPr>
        <w:t>. Modalność obrazowa spełnia go naturalnie (</w:t>
      </w:r>
      <w:proofErr w:type="spellStart"/>
      <w:r w:rsidRPr="00916C75">
        <w:rPr>
          <w:lang w:val="pl-PL"/>
        </w:rPr>
        <w:t>tokeny</w:t>
      </w:r>
      <w:proofErr w:type="spellEnd"/>
      <w:r w:rsidRPr="00916C75">
        <w:rPr>
          <w:lang w:val="pl-PL"/>
        </w:rPr>
        <w:t xml:space="preserve"> przestrzenne), modalność tabelaryczna — nie. Poniżej cztery rozwiązania uporządkowane według tego, jak radzą sobie z tą asymetrią.</w:t>
      </w:r>
    </w:p>
    <w:p w14:paraId="1E2FCD56" w14:textId="58DEC83F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(a) Modulacja cech zamiast uwagi.</w:t>
      </w:r>
      <w:r w:rsidRPr="00916C75">
        <w:rPr>
          <w:lang w:val="pl-PL"/>
        </w:rPr>
        <w:t xml:space="preserve"> Mechanizm </w:t>
      </w:r>
      <w:proofErr w:type="spellStart"/>
      <w:r w:rsidRPr="00916C75">
        <w:rPr>
          <w:lang w:val="pl-PL"/>
        </w:rPr>
        <w:t>FiLM</w:t>
      </w:r>
      <w:proofErr w:type="spellEnd"/>
      <w:r w:rsidRPr="00916C75">
        <w:rPr>
          <w:lang w:val="pl-PL"/>
        </w:rPr>
        <w:t xml:space="preserve"> </w:t>
      </w:r>
      <w:r w:rsidR="005742E3">
        <w:rPr>
          <w:lang w:val="pl-PL"/>
        </w:rPr>
        <w:t>[10]</w:t>
      </w:r>
      <w:r w:rsidRPr="00916C75">
        <w:rPr>
          <w:lang w:val="pl-PL"/>
        </w:rPr>
        <w:t xml:space="preserve"> realizuje pierwotną intencję — wpływ kontekstu klinicznego na przetwarzanie obrazu — bez wymogu sekwencyjności strony klinicznej. Wektor kliniczny generuje parametry skali i przesunięcia modulujące kanały mapy cech:</w:t>
      </w:r>
    </w:p>
    <w:p w14:paraId="2AE514F7" w14:textId="77777777" w:rsidR="000D04F5" w:rsidRPr="00916C75" w:rsidRDefault="007A7DBF">
      <w:pPr>
        <w:pStyle w:val="PreformattedText"/>
        <w:spacing w:after="283"/>
        <w:rPr>
          <w:lang w:val="pl-PL"/>
        </w:rPr>
      </w:pPr>
      <w:r w:rsidRPr="00916C75">
        <w:rPr>
          <w:lang w:val="pl-PL"/>
        </w:rPr>
        <w:t xml:space="preserve">h' = </w:t>
      </w:r>
      <w:r>
        <w:t>γ</w:t>
      </w:r>
      <w:r w:rsidRPr="00916C75">
        <w:rPr>
          <w:lang w:val="pl-PL"/>
        </w:rPr>
        <w:t>(</w:t>
      </w:r>
      <w:proofErr w:type="spellStart"/>
      <w:r w:rsidRPr="00916C75">
        <w:rPr>
          <w:lang w:val="pl-PL"/>
        </w:rPr>
        <w:t>x_klin</w:t>
      </w:r>
      <w:proofErr w:type="spellEnd"/>
      <w:r w:rsidRPr="00916C75">
        <w:rPr>
          <w:lang w:val="pl-PL"/>
        </w:rPr>
        <w:t xml:space="preserve">) ⊙ </w:t>
      </w:r>
      <w:proofErr w:type="spellStart"/>
      <w:r w:rsidRPr="00916C75">
        <w:rPr>
          <w:lang w:val="pl-PL"/>
        </w:rPr>
        <w:t>h_obraz</w:t>
      </w:r>
      <w:proofErr w:type="spellEnd"/>
      <w:r w:rsidRPr="00916C75">
        <w:rPr>
          <w:lang w:val="pl-PL"/>
        </w:rPr>
        <w:t xml:space="preserve"> + </w:t>
      </w:r>
      <w:r>
        <w:t>β</w:t>
      </w:r>
      <w:r w:rsidRPr="00916C75">
        <w:rPr>
          <w:lang w:val="pl-PL"/>
        </w:rPr>
        <w:t>(</w:t>
      </w:r>
      <w:proofErr w:type="spellStart"/>
      <w:r w:rsidRPr="00916C75">
        <w:rPr>
          <w:lang w:val="pl-PL"/>
        </w:rPr>
        <w:t>x_klin</w:t>
      </w:r>
      <w:proofErr w:type="spellEnd"/>
      <w:r w:rsidRPr="00916C75">
        <w:rPr>
          <w:lang w:val="pl-PL"/>
        </w:rPr>
        <w:t>)</w:t>
      </w:r>
    </w:p>
    <w:p w14:paraId="31620E77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Nie występuje tu połączenie rezydualne na zapytaniu, więc nie powstaje ścieżka pozwalająca ominąć obraz: przy </w:t>
      </w:r>
      <w:r>
        <w:t>γ</w:t>
      </w:r>
      <w:r w:rsidRPr="00916C75">
        <w:rPr>
          <w:lang w:val="pl-PL"/>
        </w:rPr>
        <w:t xml:space="preserve"> → 0 model traci obraz, ale traci również możliwość różnicowania predykcji. Jest to zatem architektura, w której wykorzystanie obrazu jest strukturalnie wymuszone, a nie opcjonalne.</w:t>
      </w:r>
    </w:p>
    <w:p w14:paraId="19D1B0B1" w14:textId="06A3B93B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 xml:space="preserve">(b) </w:t>
      </w:r>
      <w:proofErr w:type="spellStart"/>
      <w:r w:rsidRPr="00916C75">
        <w:rPr>
          <w:b/>
          <w:lang w:val="pl-PL"/>
        </w:rPr>
        <w:t>Tokenizacja</w:t>
      </w:r>
      <w:proofErr w:type="spellEnd"/>
      <w:r w:rsidRPr="00916C75">
        <w:rPr>
          <w:b/>
          <w:lang w:val="pl-PL"/>
        </w:rPr>
        <w:t xml:space="preserve"> modalności tabelarycznej.</w:t>
      </w:r>
      <w:r w:rsidRPr="00916C75">
        <w:rPr>
          <w:lang w:val="pl-PL"/>
        </w:rPr>
        <w:t xml:space="preserve"> Reprezentowanie każdej cechy klinicznej osobnym wyuczonym osadzeniem (podejście FT-Transformer</w:t>
      </w:r>
      <w:r w:rsidR="005742E3">
        <w:rPr>
          <w:lang w:val="pl-PL"/>
        </w:rPr>
        <w:t xml:space="preserve"> [11]</w:t>
      </w:r>
      <w:r w:rsidRPr="00916C75">
        <w:rPr>
          <w:lang w:val="pl-PL"/>
        </w:rPr>
        <w:t xml:space="preserve">) zamienia pojedynczy wektor w sekwencję o długości równej liczbie cech — w niniejszej pracy 26 </w:t>
      </w:r>
      <w:proofErr w:type="spellStart"/>
      <w:r w:rsidRPr="00916C75">
        <w:rPr>
          <w:lang w:val="pl-PL"/>
        </w:rPr>
        <w:t>tokenów</w:t>
      </w:r>
      <w:proofErr w:type="spellEnd"/>
      <w:r w:rsidRPr="00916C75">
        <w:rPr>
          <w:lang w:val="pl-PL"/>
        </w:rPr>
        <w:t xml:space="preserve">. Kierunek B→A przestaje wtedy być zdegenerowany: </w:t>
      </w:r>
      <w:proofErr w:type="spellStart"/>
      <w:r w:rsidRPr="00916C75">
        <w:rPr>
          <w:lang w:val="pl-PL"/>
        </w:rPr>
        <w:t>softmax</w:t>
      </w:r>
      <w:proofErr w:type="spellEnd"/>
      <w:r w:rsidRPr="00916C75">
        <w:rPr>
          <w:lang w:val="pl-PL"/>
        </w:rPr>
        <w:t xml:space="preserve"> obejmuje 26 elementów, więc każdy region obrazu może selektywnie odwołać się do konkretnych zmiennych klinicznych. Jest to rozwiązanie najbliższe pierwotnej intencji architektury i jednocześnie bezpośredni test postawionej tu diagnozy: jeśli przyczyną pustki mechanizmu jest degeneracja wymiarowa, </w:t>
      </w:r>
      <w:proofErr w:type="spellStart"/>
      <w:r w:rsidRPr="00916C75">
        <w:rPr>
          <w:lang w:val="pl-PL"/>
        </w:rPr>
        <w:t>tokenizacja</w:t>
      </w:r>
      <w:proofErr w:type="spellEnd"/>
      <w:r w:rsidRPr="00916C75">
        <w:rPr>
          <w:lang w:val="pl-PL"/>
        </w:rPr>
        <w:t xml:space="preserve"> powinna ją usunąć. Koszt: wzrost liczby parametrów i ryzyko przeuczenia przy małej kohorcie.</w:t>
      </w:r>
    </w:p>
    <w:p w14:paraId="1C743864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(c) Fuzja bramkowana.</w:t>
      </w:r>
      <w:r w:rsidRPr="00916C75">
        <w:rPr>
          <w:lang w:val="pl-PL"/>
        </w:rPr>
        <w:t xml:space="preserve"> Wyuczona bramka </w:t>
      </w:r>
      <w:r w:rsidRPr="00916C75">
        <w:rPr>
          <w:rFonts w:ascii="Liberation Mono" w:hAnsi="Liberation Mono"/>
          <w:lang w:val="pl-PL"/>
        </w:rPr>
        <w:t xml:space="preserve">g = </w:t>
      </w:r>
      <w:r>
        <w:rPr>
          <w:rFonts w:ascii="Liberation Mono" w:hAnsi="Liberation Mono"/>
        </w:rPr>
        <w:t>σ</w:t>
      </w:r>
      <w:r w:rsidRPr="00916C75">
        <w:rPr>
          <w:rFonts w:ascii="Liberation Mono" w:hAnsi="Liberation Mono"/>
          <w:lang w:val="pl-PL"/>
        </w:rPr>
        <w:t>(W[</w:t>
      </w:r>
      <w:proofErr w:type="spellStart"/>
      <w:r w:rsidRPr="00916C75">
        <w:rPr>
          <w:rFonts w:ascii="Liberation Mono" w:hAnsi="Liberation Mono"/>
          <w:lang w:val="pl-PL"/>
        </w:rPr>
        <w:t>h_obraz</w:t>
      </w:r>
      <w:proofErr w:type="spellEnd"/>
      <w:r w:rsidRPr="00916C75">
        <w:rPr>
          <w:rFonts w:ascii="Liberation Mono" w:hAnsi="Liberation Mono"/>
          <w:lang w:val="pl-PL"/>
        </w:rPr>
        <w:t xml:space="preserve">; </w:t>
      </w:r>
      <w:proofErr w:type="spellStart"/>
      <w:r w:rsidRPr="00916C75">
        <w:rPr>
          <w:rFonts w:ascii="Liberation Mono" w:hAnsi="Liberation Mono"/>
          <w:lang w:val="pl-PL"/>
        </w:rPr>
        <w:t>h_klin</w:t>
      </w:r>
      <w:proofErr w:type="spellEnd"/>
      <w:r w:rsidRPr="00916C75">
        <w:rPr>
          <w:rFonts w:ascii="Liberation Mono" w:hAnsi="Liberation Mono"/>
          <w:lang w:val="pl-PL"/>
        </w:rPr>
        <w:t>])</w:t>
      </w:r>
      <w:r w:rsidRPr="00916C75">
        <w:rPr>
          <w:lang w:val="pl-PL"/>
        </w:rPr>
        <w:t xml:space="preserve"> waży modalności per pacjent: </w:t>
      </w:r>
      <w:r w:rsidRPr="00916C75">
        <w:rPr>
          <w:rFonts w:ascii="Liberation Mono" w:hAnsi="Liberation Mono"/>
          <w:lang w:val="pl-PL"/>
        </w:rPr>
        <w:t xml:space="preserve">h = g ⊙ </w:t>
      </w:r>
      <w:proofErr w:type="spellStart"/>
      <w:r w:rsidRPr="00916C75">
        <w:rPr>
          <w:rFonts w:ascii="Liberation Mono" w:hAnsi="Liberation Mono"/>
          <w:lang w:val="pl-PL"/>
        </w:rPr>
        <w:t>h_obraz</w:t>
      </w:r>
      <w:proofErr w:type="spellEnd"/>
      <w:r w:rsidRPr="00916C75">
        <w:rPr>
          <w:rFonts w:ascii="Liberation Mono" w:hAnsi="Liberation Mono"/>
          <w:lang w:val="pl-PL"/>
        </w:rPr>
        <w:t xml:space="preserve"> + (1−g) ⊙ </w:t>
      </w:r>
      <w:proofErr w:type="spellStart"/>
      <w:r w:rsidRPr="00916C75">
        <w:rPr>
          <w:rFonts w:ascii="Liberation Mono" w:hAnsi="Liberation Mono"/>
          <w:lang w:val="pl-PL"/>
        </w:rPr>
        <w:t>h_klin</w:t>
      </w:r>
      <w:proofErr w:type="spellEnd"/>
      <w:r w:rsidRPr="00916C75">
        <w:rPr>
          <w:lang w:val="pl-PL"/>
        </w:rPr>
        <w:t>. Rozwiązanie tanie parametrycznie, a rozkład wartości bramki jest bezpośrednio interpretowalny — pozwala zaraportować, dla jakiego odsetka pacjentów model faktycznie opiera się na morfologii.</w:t>
      </w:r>
    </w:p>
    <w:p w14:paraId="31A40FBF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(d) Fuzja późna — rozwiązanie zweryfikowane empirycznie.</w:t>
      </w:r>
      <w:r w:rsidRPr="00916C75">
        <w:rPr>
          <w:lang w:val="pl-PL"/>
        </w:rPr>
        <w:t xml:space="preserve"> Kierunek ten został przetestowany na tej samej kohorcie (rozdz. 3.7) i okazał się najskuteczniejszy z wszystkich badanych. Uśrednienie rangowe predykcji dwóch modeli jednomodalnych osiągnęło AUC 0,772, przewyższając po korekcie </w:t>
      </w:r>
      <w:proofErr w:type="spellStart"/>
      <w:r w:rsidRPr="00916C75">
        <w:rPr>
          <w:lang w:val="pl-PL"/>
        </w:rPr>
        <w:t>Holma</w:t>
      </w:r>
      <w:proofErr w:type="spellEnd"/>
      <w:r w:rsidRPr="00916C75">
        <w:rPr>
          <w:lang w:val="pl-PL"/>
        </w:rPr>
        <w:t xml:space="preserve"> zarówno obie architektury fuzji wczesnej (</w:t>
      </w:r>
      <w:r>
        <w:t>Δ</w:t>
      </w:r>
      <w:r w:rsidRPr="00916C75">
        <w:rPr>
          <w:lang w:val="pl-PL"/>
        </w:rPr>
        <w:t>AUC +0,031 wobec konkatenacji, +0,037 wobec uwagi skrośnej), jak i oba warianty jednomodalne (+0,064 wobec obrazu, +0,048 wobec danych klinicznych). Jest to jedyny model w pracy przewyższający wszystkie pozostałe po korekcie.</w:t>
      </w:r>
    </w:p>
    <w:p w14:paraId="7DFCEDCC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Wyjaśnienie tkwi w komplementarności: predykcje modelu klinicznego i obrazowego korelowały ze sobą jedynie na poziomie 0,173. Fuzja wczesna wymusza na takich sygnałach wspólną reprezentację, co prowadzi do ich uśrednienia ze stratą; fuzja późna pozwala każdemu modelowi zachować własną charakterystykę i łączy je dopiero na poziomie decyzji.</w:t>
      </w:r>
    </w:p>
    <w:p w14:paraId="6B3B9C06" w14:textId="6EF544AB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(e) Zgodność modalności jako sygnał kontrolny — wynik częściowo negatywny.</w:t>
      </w:r>
      <w:r w:rsidRPr="00916C75">
        <w:rPr>
          <w:lang w:val="pl-PL"/>
        </w:rPr>
        <w:t xml:space="preserve"> Zgodność modeli jednomodalnych okazała się silnie związana z poprawnością: dokładność w podgrupie zgodnej wyniosła 0,879 wobec 0,647 w niezgodnej (p &lt; 10⁻⁵).</w:t>
      </w:r>
    </w:p>
    <w:p w14:paraId="68DD8831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Nie przekłada się to jednak na użyteczne narzędzie </w:t>
      </w:r>
      <w:proofErr w:type="spellStart"/>
      <w:r w:rsidRPr="00916C75">
        <w:rPr>
          <w:lang w:val="pl-PL"/>
        </w:rPr>
        <w:t>triage'u</w:t>
      </w:r>
      <w:proofErr w:type="spellEnd"/>
      <w:r w:rsidRPr="00916C75">
        <w:rPr>
          <w:lang w:val="pl-PL"/>
        </w:rPr>
        <w:t xml:space="preserve">. Przy porządkowaniu przypadków według niezgodności modalności dokładność przy pokryciu 50% wyniosła 0,851, podczas gdy </w:t>
      </w:r>
      <w:r w:rsidRPr="00916C75">
        <w:rPr>
          <w:lang w:val="pl-PL"/>
        </w:rPr>
        <w:lastRenderedPageBreak/>
        <w:t>porządkowanie według zwykłej pewności modelu złożonego dało 0,915 (p = 2·10⁻⁵ na niekorzyść niezgodności). Miara oparta na zgodności nie wnosi więc informacji ponad tę, którą zawiera już rozkład prawdopodobieństwa modelu złożonego.</w:t>
      </w:r>
    </w:p>
    <w:p w14:paraId="15BE9CF1" w14:textId="71440D3A" w:rsidR="000D04F5" w:rsidRPr="00CC7973" w:rsidRDefault="007A7DBF">
      <w:pPr>
        <w:pStyle w:val="Textbody"/>
        <w:rPr>
          <w:b/>
          <w:bCs/>
          <w:i/>
          <w:iCs/>
          <w:lang w:val="pl-PL"/>
        </w:rPr>
      </w:pPr>
      <w:r w:rsidRPr="00916C75">
        <w:rPr>
          <w:lang w:val="pl-PL"/>
        </w:rPr>
        <w:t xml:space="preserve">Wniosek praktyczny: fuzja późna jest wartościowa jako </w:t>
      </w:r>
      <w:r w:rsidRPr="00916C75">
        <w:rPr>
          <w:b/>
          <w:lang w:val="pl-PL"/>
        </w:rPr>
        <w:t>metoda predykcji</w:t>
      </w:r>
      <w:r w:rsidRPr="00916C75">
        <w:rPr>
          <w:lang w:val="pl-PL"/>
        </w:rPr>
        <w:t xml:space="preserve">, ale różnica między modalnościami nie jest lepszą </w:t>
      </w:r>
      <w:r w:rsidRPr="00916C75">
        <w:rPr>
          <w:b/>
          <w:lang w:val="pl-PL"/>
        </w:rPr>
        <w:t>miarą niepewności</w:t>
      </w:r>
      <w:r w:rsidRPr="00916C75">
        <w:rPr>
          <w:lang w:val="pl-PL"/>
        </w:rPr>
        <w:t xml:space="preserve"> niż standardowa pewność modelu. Selektywna predykcja oparta na tej ostatniej pozostaje właściwym rozwiązaniem dla scenariusza </w:t>
      </w:r>
      <w:proofErr w:type="spellStart"/>
      <w:r w:rsidRPr="00916C75">
        <w:rPr>
          <w:lang w:val="pl-PL"/>
        </w:rPr>
        <w:t>triage'u</w:t>
      </w:r>
      <w:proofErr w:type="spellEnd"/>
      <w:r w:rsidRPr="00916C75">
        <w:rPr>
          <w:lang w:val="pl-PL"/>
        </w:rPr>
        <w:t>.</w:t>
      </w:r>
    </w:p>
    <w:p w14:paraId="4C97748F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4.3. Implikacje dla protokołu ewaluacji</w:t>
      </w:r>
    </w:p>
    <w:p w14:paraId="695F75D4" w14:textId="669F2782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Dekompozycja wariancji</w:t>
      </w:r>
      <w:r w:rsidR="00A30ABF">
        <w:rPr>
          <w:lang w:val="pl-PL"/>
        </w:rPr>
        <w:t xml:space="preserve"> </w:t>
      </w:r>
      <w:r w:rsidR="00A30ABF" w:rsidRPr="00F7157E">
        <w:rPr>
          <w:lang w:val="pl-PL"/>
        </w:rPr>
        <w:t>[</w:t>
      </w:r>
      <w:r w:rsidR="00A729D0" w:rsidRPr="00F7157E">
        <w:rPr>
          <w:lang w:val="pl-PL"/>
        </w:rPr>
        <w:t>9</w:t>
      </w:r>
      <w:r w:rsidR="00A30ABF" w:rsidRPr="00F7157E">
        <w:rPr>
          <w:lang w:val="pl-PL"/>
        </w:rPr>
        <w:t>]</w:t>
      </w:r>
      <w:r w:rsidRPr="00916C75">
        <w:rPr>
          <w:lang w:val="pl-PL"/>
        </w:rPr>
        <w:t xml:space="preserve"> (rozdz. 3.4) prowadzi do konkretnej rekomendacji: </w:t>
      </w:r>
      <w:r w:rsidRPr="00916C75">
        <w:rPr>
          <w:b/>
          <w:lang w:val="pl-PL"/>
        </w:rPr>
        <w:t>ablacje architektoniczne na kohortach rzędu setek pacjentów wymagają uśredniania zarówno po podziałach, jak i po ziarnach inicjalizacji.</w:t>
      </w:r>
      <w:r w:rsidRPr="00916C75">
        <w:rPr>
          <w:lang w:val="pl-PL"/>
        </w:rPr>
        <w:t xml:space="preserve"> Uśrednianie wyłącznie po podziałach pozostawia niekontrolowane 11,5% wariancji — trzykrotnie więcej, niż wynosi cały badany efekt architektoniczny.</w:t>
      </w:r>
    </w:p>
    <w:p w14:paraId="0E3824BA" w14:textId="77777777" w:rsidR="000D04F5" w:rsidRDefault="007A7DBF">
      <w:pPr>
        <w:pStyle w:val="Textbody"/>
      </w:pPr>
      <w:proofErr w:type="spellStart"/>
      <w:r>
        <w:t>Zalecany</w:t>
      </w:r>
      <w:proofErr w:type="spellEnd"/>
      <w:r>
        <w:t xml:space="preserve"> </w:t>
      </w:r>
      <w:proofErr w:type="spellStart"/>
      <w:r>
        <w:t>minimalny</w:t>
      </w:r>
      <w:proofErr w:type="spellEnd"/>
      <w:r>
        <w:t xml:space="preserve"> </w:t>
      </w:r>
      <w:proofErr w:type="spellStart"/>
      <w:r>
        <w:t>protokół</w:t>
      </w:r>
      <w:proofErr w:type="spellEnd"/>
      <w:r>
        <w:t xml:space="preserve"> </w:t>
      </w:r>
      <w:proofErr w:type="spellStart"/>
      <w:r>
        <w:t>raportowania</w:t>
      </w:r>
      <w:proofErr w:type="spellEnd"/>
      <w:r>
        <w:t>:</w:t>
      </w:r>
    </w:p>
    <w:p w14:paraId="1AE5BDD4" w14:textId="77777777" w:rsidR="000D04F5" w:rsidRPr="00916C75" w:rsidRDefault="007A7DBF">
      <w:pPr>
        <w:pStyle w:val="Textbody"/>
        <w:numPr>
          <w:ilvl w:val="0"/>
          <w:numId w:val="5"/>
        </w:numPr>
        <w:rPr>
          <w:lang w:val="pl-PL"/>
        </w:rPr>
      </w:pPr>
      <w:r w:rsidRPr="00916C75">
        <w:rPr>
          <w:lang w:val="pl-PL"/>
        </w:rPr>
        <w:t>powtórzona walidacja krzyżowa (≥ 5 powtórzeń), nie pojedynczy podział;</w:t>
      </w:r>
    </w:p>
    <w:p w14:paraId="7AB021B7" w14:textId="77777777" w:rsidR="000D04F5" w:rsidRDefault="007A7DBF">
      <w:pPr>
        <w:pStyle w:val="Textbody"/>
        <w:numPr>
          <w:ilvl w:val="0"/>
          <w:numId w:val="5"/>
        </w:numPr>
      </w:pPr>
      <w:r>
        <w:t xml:space="preserve">≥ 3 </w:t>
      </w:r>
      <w:proofErr w:type="spellStart"/>
      <w:r>
        <w:t>ziarna</w:t>
      </w:r>
      <w:proofErr w:type="spellEnd"/>
      <w:r>
        <w:t xml:space="preserve"> </w:t>
      </w:r>
      <w:proofErr w:type="spellStart"/>
      <w:r>
        <w:t>inicjalizacji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fold;</w:t>
      </w:r>
    </w:p>
    <w:p w14:paraId="520A500E" w14:textId="77777777" w:rsidR="000D04F5" w:rsidRPr="00916C75" w:rsidRDefault="007A7DBF">
      <w:pPr>
        <w:pStyle w:val="Textbody"/>
        <w:numPr>
          <w:ilvl w:val="0"/>
          <w:numId w:val="5"/>
        </w:numPr>
        <w:rPr>
          <w:lang w:val="pl-PL"/>
        </w:rPr>
      </w:pPr>
      <w:r w:rsidRPr="00916C75">
        <w:rPr>
          <w:lang w:val="pl-PL"/>
        </w:rPr>
        <w:t>jawna dekompozycja wariancji na podział, inicjalizację i architekturę;</w:t>
      </w:r>
    </w:p>
    <w:p w14:paraId="70AE1C8C" w14:textId="77777777" w:rsidR="000D04F5" w:rsidRPr="00916C75" w:rsidRDefault="007A7DBF">
      <w:pPr>
        <w:pStyle w:val="Textbody"/>
        <w:numPr>
          <w:ilvl w:val="0"/>
          <w:numId w:val="5"/>
        </w:numPr>
        <w:rPr>
          <w:lang w:val="pl-PL"/>
        </w:rPr>
      </w:pPr>
      <w:r w:rsidRPr="00916C75">
        <w:rPr>
          <w:lang w:val="pl-PL"/>
        </w:rPr>
        <w:t>ramię kontrolne o zrównanym budżecie parametrów;</w:t>
      </w:r>
    </w:p>
    <w:p w14:paraId="628A238A" w14:textId="77777777" w:rsidR="000D04F5" w:rsidRPr="00916C75" w:rsidRDefault="007A7DBF">
      <w:pPr>
        <w:pStyle w:val="Textbody"/>
        <w:numPr>
          <w:ilvl w:val="0"/>
          <w:numId w:val="5"/>
        </w:numPr>
        <w:rPr>
          <w:lang w:val="pl-PL"/>
        </w:rPr>
      </w:pPr>
      <w:r w:rsidRPr="00916C75">
        <w:rPr>
          <w:lang w:val="pl-PL"/>
        </w:rPr>
        <w:t>deterministyczne wykonanie obliczeń z udokumentowaną weryfikacją odtwarzalności;</w:t>
      </w:r>
    </w:p>
    <w:p w14:paraId="301ABBF3" w14:textId="60EB119B" w:rsidR="00AC4E17" w:rsidRDefault="007A7DBF" w:rsidP="00AC4E17">
      <w:pPr>
        <w:pStyle w:val="Textbody"/>
        <w:numPr>
          <w:ilvl w:val="0"/>
          <w:numId w:val="5"/>
        </w:numPr>
        <w:rPr>
          <w:lang w:val="pl-PL"/>
        </w:rPr>
      </w:pPr>
      <w:r w:rsidRPr="00916C75">
        <w:rPr>
          <w:lang w:val="pl-PL"/>
        </w:rPr>
        <w:t>diagnostyka faktycznego wykorzystania modalności, nie wyłącznie metryka końcowa.</w:t>
      </w:r>
    </w:p>
    <w:p w14:paraId="350F40C6" w14:textId="77777777" w:rsidR="00AC4E17" w:rsidRPr="00AC4E17" w:rsidRDefault="00AC4E17" w:rsidP="00AC4E17">
      <w:pPr>
        <w:pStyle w:val="Textbody"/>
        <w:rPr>
          <w:lang w:val="pl-PL"/>
        </w:rPr>
      </w:pPr>
    </w:p>
    <w:p w14:paraId="69269793" w14:textId="77777777" w:rsidR="000D04F5" w:rsidRPr="00916C75" w:rsidRDefault="007A7DBF">
      <w:pPr>
        <w:pStyle w:val="Nagwek3"/>
        <w:rPr>
          <w:lang w:val="pl-PL"/>
        </w:rPr>
      </w:pPr>
      <w:r w:rsidRPr="00916C75">
        <w:rPr>
          <w:lang w:val="pl-PL"/>
        </w:rPr>
        <w:t>4.4. Odporność sygnału obrazowego</w:t>
      </w:r>
    </w:p>
    <w:p w14:paraId="0891C563" w14:textId="48B69278" w:rsidR="000D04F5" w:rsidRPr="005742E3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Obserwacja, że wariant wyłącznie obrazowy nie traci na dokładności przy podziale po ośrodku, jest zachęcająca, ale nie dowodzi braku artefaktu barwienia. Dowodzi jedynie, że model nie polega na cechach specyficznych dla ośrodków </w:t>
      </w:r>
      <w:r w:rsidRPr="00916C75">
        <w:rPr>
          <w:b/>
          <w:lang w:val="pl-PL"/>
        </w:rPr>
        <w:t>nieobecnych w zbiorze treningowym</w:t>
      </w:r>
      <w:r w:rsidRPr="00916C75">
        <w:rPr>
          <w:lang w:val="pl-PL"/>
        </w:rPr>
        <w:t xml:space="preserve">; przy 33 ośrodkach i podziale 4:1 zbiór treningowy pokrywa większość zmienności protokołów. Rozstrzygający byłby test z normalizacją barwienia metodą </w:t>
      </w:r>
      <w:proofErr w:type="spellStart"/>
      <w:r w:rsidRPr="00916C75">
        <w:rPr>
          <w:lang w:val="pl-PL"/>
        </w:rPr>
        <w:t>Macenko</w:t>
      </w:r>
      <w:proofErr w:type="spellEnd"/>
      <w:r w:rsidRPr="00916C75">
        <w:rPr>
          <w:lang w:val="pl-PL"/>
        </w:rPr>
        <w:t xml:space="preserve"> lub walidacja na kohorcie zewnętrznej.</w:t>
      </w:r>
      <w:r w:rsidR="00A30ABF">
        <w:rPr>
          <w:lang w:val="pl-PL"/>
        </w:rPr>
        <w:t xml:space="preserve"> </w:t>
      </w:r>
      <w:r w:rsidR="00A30ABF" w:rsidRPr="005742E3">
        <w:rPr>
          <w:lang w:val="pl-PL"/>
        </w:rPr>
        <w:t>[</w:t>
      </w:r>
      <w:r w:rsidR="005742E3" w:rsidRPr="005742E3">
        <w:rPr>
          <w:lang w:val="pl-PL"/>
        </w:rPr>
        <w:t>4</w:t>
      </w:r>
      <w:r w:rsidR="00A30ABF" w:rsidRPr="005742E3">
        <w:rPr>
          <w:lang w:val="pl-PL"/>
        </w:rPr>
        <w:t>] [</w:t>
      </w:r>
      <w:r w:rsidR="00A729D0" w:rsidRPr="005742E3">
        <w:rPr>
          <w:lang w:val="pl-PL"/>
        </w:rPr>
        <w:t>8</w:t>
      </w:r>
      <w:r w:rsidR="00A30ABF" w:rsidRPr="005742E3">
        <w:rPr>
          <w:lang w:val="pl-PL"/>
        </w:rPr>
        <w:t>]</w:t>
      </w:r>
    </w:p>
    <w:p w14:paraId="5B4E186B" w14:textId="77777777" w:rsidR="000D04F5" w:rsidRPr="00916C75" w:rsidRDefault="000D04F5">
      <w:pPr>
        <w:pStyle w:val="HorizontalLine"/>
        <w:rPr>
          <w:lang w:val="pl-PL"/>
        </w:rPr>
      </w:pPr>
    </w:p>
    <w:p w14:paraId="5E0B9637" w14:textId="77777777" w:rsidR="000D04F5" w:rsidRDefault="007A7DBF">
      <w:pPr>
        <w:pStyle w:val="Nagwek2"/>
      </w:pPr>
      <w:r>
        <w:t xml:space="preserve">5. </w:t>
      </w:r>
      <w:proofErr w:type="spellStart"/>
      <w:r>
        <w:t>Ograniczenia</w:t>
      </w:r>
      <w:proofErr w:type="spellEnd"/>
    </w:p>
    <w:p w14:paraId="7D8E918C" w14:textId="77777777" w:rsidR="000D04F5" w:rsidRPr="00916C75" w:rsidRDefault="007A7DBF">
      <w:pPr>
        <w:pStyle w:val="Textbody"/>
        <w:numPr>
          <w:ilvl w:val="0"/>
          <w:numId w:val="6"/>
        </w:numPr>
        <w:rPr>
          <w:lang w:val="pl-PL"/>
        </w:rPr>
      </w:pPr>
      <w:r w:rsidRPr="00916C75">
        <w:rPr>
          <w:b/>
          <w:lang w:val="pl-PL"/>
        </w:rPr>
        <w:t>Liczebność.</w:t>
      </w:r>
      <w:r w:rsidRPr="00916C75">
        <w:rPr>
          <w:lang w:val="pl-PL"/>
        </w:rPr>
        <w:t xml:space="preserve"> 229 pacjentek to zbyt mało, by wykryć różnice AUC mniejsze niż ~0,035 przy mocy 80%. Wszystkie obserwowane różnice architektoniczne mieszczą się poniżej tego progu. Praca dokumentuje zatem </w:t>
      </w:r>
      <w:r w:rsidRPr="00916C75">
        <w:rPr>
          <w:b/>
          <w:lang w:val="pl-PL"/>
        </w:rPr>
        <w:t>brak wykrywalnych różnic</w:t>
      </w:r>
      <w:r w:rsidRPr="00916C75">
        <w:rPr>
          <w:lang w:val="pl-PL"/>
        </w:rPr>
        <w:t>, a nie ich brak.</w:t>
      </w:r>
    </w:p>
    <w:p w14:paraId="61729255" w14:textId="77777777" w:rsidR="000D04F5" w:rsidRDefault="007A7DBF">
      <w:pPr>
        <w:pStyle w:val="Textbody"/>
        <w:numPr>
          <w:ilvl w:val="0"/>
          <w:numId w:val="6"/>
        </w:numPr>
      </w:pPr>
      <w:r w:rsidRPr="00916C75">
        <w:rPr>
          <w:b/>
          <w:lang w:val="pl-PL"/>
        </w:rPr>
        <w:t>Wąskie gardło danych obrazowych.</w:t>
      </w:r>
      <w:r w:rsidRPr="00916C75">
        <w:rPr>
          <w:lang w:val="pl-PL"/>
        </w:rPr>
        <w:t xml:space="preserve"> Dane kliniczne dostępne były dla 1097 pacjentek, preparaty — dla 298, z czego po filtrowaniu materiału pozostały 264. </w:t>
      </w:r>
      <w:proofErr w:type="spellStart"/>
      <w:r>
        <w:t>Powiększenie</w:t>
      </w:r>
      <w:proofErr w:type="spellEnd"/>
      <w:r>
        <w:t xml:space="preserve"> </w:t>
      </w:r>
      <w:proofErr w:type="spellStart"/>
      <w:r>
        <w:t>zbioru</w:t>
      </w:r>
      <w:proofErr w:type="spellEnd"/>
      <w:r>
        <w:t xml:space="preserve"> </w:t>
      </w:r>
      <w:proofErr w:type="spellStart"/>
      <w:r>
        <w:t>preparatów</w:t>
      </w:r>
      <w:proofErr w:type="spellEnd"/>
      <w:r>
        <w:t xml:space="preserve"> jest </w:t>
      </w:r>
      <w:proofErr w:type="spellStart"/>
      <w:r>
        <w:t>najprostszą</w:t>
      </w:r>
      <w:proofErr w:type="spellEnd"/>
      <w:r>
        <w:t xml:space="preserve"> </w:t>
      </w:r>
      <w:proofErr w:type="spellStart"/>
      <w:r>
        <w:t>drogą</w:t>
      </w:r>
      <w:proofErr w:type="spellEnd"/>
      <w:r>
        <w:t xml:space="preserve"> do </w:t>
      </w:r>
      <w:proofErr w:type="spellStart"/>
      <w:r>
        <w:t>zwiększenia</w:t>
      </w:r>
      <w:proofErr w:type="spellEnd"/>
      <w:r>
        <w:t xml:space="preserve"> </w:t>
      </w:r>
      <w:proofErr w:type="spellStart"/>
      <w:r>
        <w:t>mocy</w:t>
      </w:r>
      <w:proofErr w:type="spellEnd"/>
      <w:r>
        <w:t>.</w:t>
      </w:r>
    </w:p>
    <w:p w14:paraId="0364A511" w14:textId="78D5DE9C" w:rsidR="000D04F5" w:rsidRDefault="007A7DBF">
      <w:pPr>
        <w:pStyle w:val="Textbody"/>
        <w:numPr>
          <w:ilvl w:val="0"/>
          <w:numId w:val="6"/>
        </w:numPr>
        <w:rPr>
          <w:lang w:val="pl-PL"/>
        </w:rPr>
      </w:pPr>
      <w:r w:rsidRPr="00916C75">
        <w:rPr>
          <w:b/>
          <w:lang w:val="pl-PL"/>
        </w:rPr>
        <w:t>Brak stopnia złośliwości.</w:t>
      </w:r>
      <w:r w:rsidRPr="00916C75">
        <w:rPr>
          <w:lang w:val="pl-PL"/>
        </w:rPr>
        <w:t xml:space="preserve"> TCGA-BRCA nie rejestruje </w:t>
      </w:r>
      <w:proofErr w:type="spellStart"/>
      <w:r w:rsidRPr="00916C75">
        <w:rPr>
          <w:lang w:val="pl-PL"/>
        </w:rPr>
        <w:t>grade</w:t>
      </w:r>
      <w:proofErr w:type="spellEnd"/>
      <w:r w:rsidRPr="00916C75">
        <w:rPr>
          <w:lang w:val="pl-PL"/>
        </w:rPr>
        <w:t>, co osłabia gałąź kliniczną i prawdopodobnie zaniża jej wkład.</w:t>
      </w:r>
    </w:p>
    <w:p w14:paraId="3FC9ECF3" w14:textId="77777777" w:rsidR="00817D87" w:rsidRPr="00916C75" w:rsidRDefault="00817D87" w:rsidP="00817D87">
      <w:pPr>
        <w:pStyle w:val="Textbody"/>
        <w:rPr>
          <w:lang w:val="pl-PL"/>
        </w:rPr>
      </w:pPr>
    </w:p>
    <w:p w14:paraId="471D3D04" w14:textId="77777777" w:rsidR="000D04F5" w:rsidRPr="00916C75" w:rsidRDefault="007A7DBF">
      <w:pPr>
        <w:pStyle w:val="Textbody"/>
        <w:numPr>
          <w:ilvl w:val="0"/>
          <w:numId w:val="6"/>
        </w:numPr>
        <w:rPr>
          <w:lang w:val="pl-PL"/>
        </w:rPr>
      </w:pPr>
      <w:r w:rsidRPr="00916C75">
        <w:rPr>
          <w:b/>
          <w:lang w:val="pl-PL"/>
        </w:rPr>
        <w:lastRenderedPageBreak/>
        <w:t xml:space="preserve">Zamrożony </w:t>
      </w:r>
      <w:proofErr w:type="spellStart"/>
      <w:r w:rsidRPr="00916C75">
        <w:rPr>
          <w:b/>
          <w:lang w:val="pl-PL"/>
        </w:rPr>
        <w:t>enkoder</w:t>
      </w:r>
      <w:proofErr w:type="spellEnd"/>
      <w:r w:rsidRPr="00916C75">
        <w:rPr>
          <w:b/>
          <w:lang w:val="pl-PL"/>
        </w:rPr>
        <w:t>.</w:t>
      </w:r>
      <w:r w:rsidRPr="00916C75">
        <w:rPr>
          <w:lang w:val="pl-PL"/>
        </w:rPr>
        <w:t xml:space="preserve"> Dostrajanie </w:t>
      </w:r>
      <w:proofErr w:type="spellStart"/>
      <w:r w:rsidRPr="00916C75">
        <w:rPr>
          <w:lang w:val="pl-PL"/>
        </w:rPr>
        <w:t>enkodera</w:t>
      </w:r>
      <w:proofErr w:type="spellEnd"/>
      <w:r w:rsidRPr="00916C75">
        <w:rPr>
          <w:lang w:val="pl-PL"/>
        </w:rPr>
        <w:t xml:space="preserve"> obrazu mogłoby zmienić bilans między modalnościami. Decyzja o zamrożeniu wynikała z ograniczeń sprzętowych i liczebności kohorty.</w:t>
      </w:r>
    </w:p>
    <w:p w14:paraId="47BA9300" w14:textId="77777777" w:rsidR="000D04F5" w:rsidRPr="00916C75" w:rsidRDefault="007A7DBF">
      <w:pPr>
        <w:pStyle w:val="Textbody"/>
        <w:numPr>
          <w:ilvl w:val="0"/>
          <w:numId w:val="6"/>
        </w:numPr>
        <w:rPr>
          <w:lang w:val="pl-PL"/>
        </w:rPr>
      </w:pPr>
      <w:r w:rsidRPr="00916C75">
        <w:rPr>
          <w:b/>
          <w:lang w:val="pl-PL"/>
        </w:rPr>
        <w:t>Skrawki mrożone.</w:t>
      </w:r>
      <w:r w:rsidRPr="00916C75">
        <w:rPr>
          <w:lang w:val="pl-PL"/>
        </w:rPr>
        <w:t xml:space="preserve"> Po odfiltrowaniu tkanki prawidłowej 58% kafelków (15 923 z 27 573) nadal pochodzi ze skrawków mrożonych (TS/BS/MS), obarczonych artefaktami kryształów lodu i odmienną charakterystyką barwienia; 113 z 229 pacjentek nie dysponuje żadnym preparatem diagnostycznym FFPE. Standardem w patologii cyfrowej jest praca wyłącznie na preparatach diagnostycznych; ograniczenie kohorty do nich zmniejszyłoby ją jednak do ok. 105 pacjentek, co uznano za nieakceptowalne statystycznie.</w:t>
      </w:r>
    </w:p>
    <w:p w14:paraId="5BA64AF4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5a. </w:t>
      </w:r>
      <w:r w:rsidRPr="00916C75">
        <w:rPr>
          <w:b/>
          <w:lang w:val="pl-PL"/>
        </w:rPr>
        <w:t>Brak normalizacji barwienia i powiększenia.</w:t>
      </w:r>
      <w:r w:rsidRPr="00916C75">
        <w:rPr>
          <w:lang w:val="pl-PL"/>
        </w:rPr>
        <w:t xml:space="preserve"> Preparaty TCGA są mieszanką skanów 20× i 40× (w analizowanej próbce </w:t>
      </w:r>
      <w:proofErr w:type="spellStart"/>
      <w:r w:rsidRPr="00916C75">
        <w:rPr>
          <w:rFonts w:ascii="Liberation Mono" w:hAnsi="Liberation Mono"/>
          <w:lang w:val="pl-PL"/>
        </w:rPr>
        <w:t>AppMag</w:t>
      </w:r>
      <w:proofErr w:type="spellEnd"/>
      <w:r w:rsidRPr="00916C75">
        <w:rPr>
          <w:lang w:val="pl-PL"/>
        </w:rPr>
        <w:t xml:space="preserve"> = 40, </w:t>
      </w:r>
      <w:proofErr w:type="spellStart"/>
      <w:r w:rsidRPr="00916C75">
        <w:rPr>
          <w:rFonts w:ascii="Liberation Mono" w:hAnsi="Liberation Mono"/>
          <w:lang w:val="pl-PL"/>
        </w:rPr>
        <w:t>mpp</w:t>
      </w:r>
      <w:proofErr w:type="spellEnd"/>
      <w:r w:rsidRPr="00916C75">
        <w:rPr>
          <w:lang w:val="pl-PL"/>
        </w:rPr>
        <w:t xml:space="preserve"> = 0,252), a kafelki pobierano na poziomie 0, co daje różną skalę fizyczną między preparatami.</w:t>
      </w:r>
    </w:p>
    <w:p w14:paraId="15965852" w14:textId="77777777" w:rsidR="000D04F5" w:rsidRPr="00916C75" w:rsidRDefault="007A7DBF">
      <w:pPr>
        <w:pStyle w:val="Textbody"/>
        <w:numPr>
          <w:ilvl w:val="0"/>
          <w:numId w:val="7"/>
        </w:numPr>
        <w:rPr>
          <w:lang w:val="pl-PL"/>
        </w:rPr>
      </w:pPr>
      <w:r w:rsidRPr="00916C75">
        <w:rPr>
          <w:b/>
          <w:lang w:val="pl-PL"/>
        </w:rPr>
        <w:t>Etykieta oparta na IHC, nie na profilowaniu ekspresji.</w:t>
      </w:r>
      <w:r w:rsidRPr="00916C75">
        <w:rPr>
          <w:lang w:val="pl-PL"/>
        </w:rPr>
        <w:t xml:space="preserve"> Zgodność surogatu IHC z klasyfikacją PAM50 wynosi 75–80%, więc część błędów może odzwierciedlać ograniczenia etykiety.</w:t>
      </w:r>
    </w:p>
    <w:p w14:paraId="43C707EC" w14:textId="77777777" w:rsidR="000D04F5" w:rsidRPr="00916C75" w:rsidRDefault="007A7DBF">
      <w:pPr>
        <w:pStyle w:val="Textbody"/>
        <w:numPr>
          <w:ilvl w:val="0"/>
          <w:numId w:val="7"/>
        </w:numPr>
        <w:rPr>
          <w:lang w:val="pl-PL"/>
        </w:rPr>
      </w:pPr>
      <w:r w:rsidRPr="00916C75">
        <w:rPr>
          <w:b/>
          <w:lang w:val="pl-PL"/>
        </w:rPr>
        <w:t xml:space="preserve">Nierówne rozmiary </w:t>
      </w:r>
      <w:proofErr w:type="spellStart"/>
      <w:r w:rsidRPr="00916C75">
        <w:rPr>
          <w:b/>
          <w:lang w:val="pl-PL"/>
        </w:rPr>
        <w:t>foldów</w:t>
      </w:r>
      <w:proofErr w:type="spellEnd"/>
      <w:r w:rsidRPr="00916C75">
        <w:rPr>
          <w:b/>
          <w:lang w:val="pl-PL"/>
        </w:rPr>
        <w:t xml:space="preserve"> przy podziale po ośrodku</w:t>
      </w:r>
      <w:r w:rsidRPr="00916C75">
        <w:rPr>
          <w:lang w:val="pl-PL"/>
        </w:rPr>
        <w:t xml:space="preserve"> (od 12 do 114 pacjentek) — nieusuwalna konsekwencja tego, że jeden ośrodek stanowi 20% kohorty. Analiza podziału po ośrodku (rozdz. 3.5) została ponadto wykonana na danych sprzed filtrowania materiału.</w:t>
      </w:r>
    </w:p>
    <w:p w14:paraId="4587C32C" w14:textId="77777777" w:rsidR="000D04F5" w:rsidRPr="00916C75" w:rsidRDefault="007A7DBF">
      <w:pPr>
        <w:pStyle w:val="Textbody"/>
        <w:numPr>
          <w:ilvl w:val="0"/>
          <w:numId w:val="7"/>
        </w:numPr>
        <w:rPr>
          <w:lang w:val="pl-PL"/>
        </w:rPr>
      </w:pPr>
      <w:r w:rsidRPr="00916C75">
        <w:rPr>
          <w:b/>
          <w:lang w:val="pl-PL"/>
        </w:rPr>
        <w:t>Wnioski dotyczą konkretnej konfiguracji.</w:t>
      </w:r>
      <w:r w:rsidRPr="00916C75">
        <w:rPr>
          <w:lang w:val="pl-PL"/>
        </w:rPr>
        <w:t xml:space="preserve"> Degeneracja kierunku B→A wynika z reprezentowania modalności klinicznej pojedynczym </w:t>
      </w:r>
      <w:proofErr w:type="spellStart"/>
      <w:r w:rsidRPr="00916C75">
        <w:rPr>
          <w:lang w:val="pl-PL"/>
        </w:rPr>
        <w:t>tokenem</w:t>
      </w:r>
      <w:proofErr w:type="spellEnd"/>
      <w:r w:rsidRPr="00916C75">
        <w:rPr>
          <w:lang w:val="pl-PL"/>
        </w:rPr>
        <w:t xml:space="preserve">; architektury </w:t>
      </w:r>
      <w:proofErr w:type="spellStart"/>
      <w:r w:rsidRPr="00916C75">
        <w:rPr>
          <w:lang w:val="pl-PL"/>
        </w:rPr>
        <w:t>tokenizujące</w:t>
      </w:r>
      <w:proofErr w:type="spellEnd"/>
      <w:r w:rsidRPr="00916C75">
        <w:rPr>
          <w:lang w:val="pl-PL"/>
        </w:rPr>
        <w:t xml:space="preserve"> dane tabelaryczne mogą zachowywać się inaczej.</w:t>
      </w:r>
    </w:p>
    <w:p w14:paraId="0457520B" w14:textId="77777777" w:rsidR="000D04F5" w:rsidRPr="00916C75" w:rsidRDefault="000D04F5">
      <w:pPr>
        <w:pStyle w:val="HorizontalLine"/>
        <w:rPr>
          <w:lang w:val="pl-PL"/>
        </w:rPr>
      </w:pPr>
    </w:p>
    <w:p w14:paraId="24F3286B" w14:textId="77777777" w:rsidR="000D04F5" w:rsidRPr="00916C75" w:rsidRDefault="007A7DBF">
      <w:pPr>
        <w:pStyle w:val="Nagwek2"/>
        <w:rPr>
          <w:lang w:val="pl-PL"/>
        </w:rPr>
      </w:pPr>
      <w:r w:rsidRPr="00916C75">
        <w:rPr>
          <w:lang w:val="pl-PL"/>
        </w:rPr>
        <w:t>6. Wnioski</w:t>
      </w:r>
    </w:p>
    <w:p w14:paraId="1F62621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Dwukierunkowa uwaga skrośna zastosowana do fuzji obrazu histopatologicznego z wektorem cech klinicznych nie realizuje deklarowanej interakcji </w:t>
      </w:r>
      <w:proofErr w:type="spellStart"/>
      <w:r w:rsidRPr="00916C75">
        <w:rPr>
          <w:lang w:val="pl-PL"/>
        </w:rPr>
        <w:t>międzymodalnej</w:t>
      </w:r>
      <w:proofErr w:type="spellEnd"/>
      <w:r w:rsidRPr="00916C75">
        <w:rPr>
          <w:lang w:val="pl-PL"/>
        </w:rPr>
        <w:t xml:space="preserve"> w pełnym zakresie. Kierunek, w którym obraz pełni rolę zapytania, jest matematycznie zdegenerowany i stanowi kosztowną parametrycznie konkatenację; kierunek przeciwny wykonuje prawdziwą uwagę, lecz przenosi jedynie niewielką część informacji obrazowej — sygnał obrazowy dociera w przeważającej mierze ścieżkami rezydualnymi równoważnymi konkatenacji. Prosta konkatenacja wykorzystuje obraz skuteczniej przy 2,4-krotnie mniejszym koszcie parametrycznym.</w:t>
      </w:r>
    </w:p>
    <w:p w14:paraId="1C5A08AA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>Fuzja późna, która nie wymusza wspólnej reprezentacji, przewyższyła wszystkie badane architektury fuzji wczesnej oraz najlepszy wariant jednomodalny. Zgodność modalności okazała się silnie związana z poprawnością predykcji, lecz nie stanowi lepszej miary niepewności niż pewność samego modelu złożonego.</w:t>
      </w:r>
    </w:p>
    <w:p w14:paraId="450B2259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lang w:val="pl-PL"/>
        </w:rPr>
        <w:t xml:space="preserve">Niezależnie od wyniku architektonicznego, dekompozycja wariancji wykazała, że przy liczebnościach typowych dla patologii cyfrowej zmienność wynikająca z podziału danych i inicjalizacji wag wielokrotnie przewyższa różnice między </w:t>
      </w:r>
      <w:proofErr w:type="spellStart"/>
      <w:r w:rsidRPr="00916C75">
        <w:rPr>
          <w:lang w:val="pl-PL"/>
        </w:rPr>
        <w:t>architekturami</w:t>
      </w:r>
      <w:proofErr w:type="spellEnd"/>
      <w:r w:rsidRPr="00916C75">
        <w:rPr>
          <w:lang w:val="pl-PL"/>
        </w:rPr>
        <w:t>. Ablacje raportowane z pojedynczego podziału i pojedynczego ziarna nie dają podstaw do wnioskowania o wyższości którejkolwiek architektury.</w:t>
      </w:r>
    </w:p>
    <w:p w14:paraId="352005A0" w14:textId="77777777" w:rsidR="00916C75" w:rsidRPr="00916C75" w:rsidRDefault="00916C75" w:rsidP="00916C75">
      <w:pPr>
        <w:pStyle w:val="Textbody"/>
        <w:rPr>
          <w:lang w:val="pl-PL"/>
        </w:rPr>
      </w:pPr>
    </w:p>
    <w:p w14:paraId="18392C4C" w14:textId="0427D055" w:rsidR="00916C75" w:rsidRDefault="00916C75" w:rsidP="00916C75">
      <w:pPr>
        <w:pStyle w:val="Nagwek2"/>
        <w:rPr>
          <w:lang w:val="pl-PL"/>
        </w:rPr>
      </w:pPr>
      <w:r w:rsidRPr="00916C75">
        <w:rPr>
          <w:lang w:val="pl-PL"/>
        </w:rPr>
        <w:lastRenderedPageBreak/>
        <w:t>Oświadczenia</w:t>
      </w:r>
    </w:p>
    <w:p w14:paraId="06700920" w14:textId="77777777" w:rsidR="00916C75" w:rsidRPr="00916C75" w:rsidRDefault="00916C75" w:rsidP="00916C75">
      <w:pPr>
        <w:pStyle w:val="Textbody"/>
        <w:rPr>
          <w:lang w:val="pl-PL"/>
        </w:rPr>
      </w:pPr>
    </w:p>
    <w:p w14:paraId="5E9B7416" w14:textId="31D374EB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Finansowanie.</w:t>
      </w:r>
      <w:r w:rsidRPr="00916C75">
        <w:rPr>
          <w:lang w:val="pl-PL"/>
        </w:rPr>
        <w:t xml:space="preserve"> Praca nie otrzymała finansowania zewnętrznego; koszty obliczeń poniósł autor.</w:t>
      </w:r>
    </w:p>
    <w:p w14:paraId="0CC14B68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Konflikt interesów.</w:t>
      </w:r>
      <w:r w:rsidRPr="00916C75">
        <w:rPr>
          <w:lang w:val="pl-PL"/>
        </w:rPr>
        <w:t xml:space="preserve"> Autor nie zgłasza konfliktu interesów.</w:t>
      </w:r>
    </w:p>
    <w:p w14:paraId="6E769F55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Etyka.</w:t>
      </w:r>
      <w:r w:rsidRPr="00916C75">
        <w:rPr>
          <w:lang w:val="pl-PL"/>
        </w:rPr>
        <w:t xml:space="preserve"> Wykorzystano wyłącznie publicznie dostępne, zanonimizowane dane The </w:t>
      </w:r>
      <w:proofErr w:type="spellStart"/>
      <w:r w:rsidRPr="00916C75">
        <w:rPr>
          <w:lang w:val="pl-PL"/>
        </w:rPr>
        <w:t>Cancer</w:t>
      </w:r>
      <w:proofErr w:type="spellEnd"/>
      <w:r w:rsidRPr="00916C75">
        <w:rPr>
          <w:lang w:val="pl-PL"/>
        </w:rPr>
        <w:t xml:space="preserve"> </w:t>
      </w:r>
      <w:proofErr w:type="spellStart"/>
      <w:r w:rsidRPr="00916C75">
        <w:rPr>
          <w:lang w:val="pl-PL"/>
        </w:rPr>
        <w:t>Genome</w:t>
      </w:r>
      <w:proofErr w:type="spellEnd"/>
      <w:r w:rsidRPr="00916C75">
        <w:rPr>
          <w:lang w:val="pl-PL"/>
        </w:rPr>
        <w:t xml:space="preserve"> Atlas, udostępniane przez </w:t>
      </w:r>
      <w:proofErr w:type="spellStart"/>
      <w:r w:rsidRPr="00916C75">
        <w:rPr>
          <w:lang w:val="pl-PL"/>
        </w:rPr>
        <w:t>Genomic</w:t>
      </w:r>
      <w:proofErr w:type="spellEnd"/>
      <w:r w:rsidRPr="00916C75">
        <w:rPr>
          <w:lang w:val="pl-PL"/>
        </w:rPr>
        <w:t xml:space="preserve"> Data </w:t>
      </w:r>
      <w:proofErr w:type="spellStart"/>
      <w:r w:rsidRPr="00916C75">
        <w:rPr>
          <w:lang w:val="pl-PL"/>
        </w:rPr>
        <w:t>Commons</w:t>
      </w:r>
      <w:proofErr w:type="spellEnd"/>
      <w:r w:rsidRPr="00916C75">
        <w:rPr>
          <w:lang w:val="pl-PL"/>
        </w:rPr>
        <w:t>. Zgodnie z polityką TCGA analiza danych otwartego dostępu nie wymaga odrębnej zgody komisji bioetycznej.</w:t>
      </w:r>
    </w:p>
    <w:p w14:paraId="57CB75D1" w14:textId="77777777" w:rsidR="000D04F5" w:rsidRPr="00916C75" w:rsidRDefault="007A7DBF">
      <w:pPr>
        <w:pStyle w:val="Textbody"/>
        <w:rPr>
          <w:lang w:val="pl-PL"/>
        </w:rPr>
      </w:pPr>
      <w:r w:rsidRPr="00916C75">
        <w:rPr>
          <w:b/>
          <w:lang w:val="pl-PL"/>
        </w:rPr>
        <w:t>Wykorzystanie narzędzi sztucznej inteligencji.</w:t>
      </w:r>
      <w:r w:rsidRPr="00916C75">
        <w:rPr>
          <w:lang w:val="pl-PL"/>
        </w:rPr>
        <w:t xml:space="preserve"> Autor korzystał z asystenta konwersacyjnego opartego na dużym modelu językowym (Claude, </w:t>
      </w:r>
      <w:proofErr w:type="spellStart"/>
      <w:r w:rsidRPr="00916C75">
        <w:rPr>
          <w:lang w:val="pl-PL"/>
        </w:rPr>
        <w:t>Anthropic</w:t>
      </w:r>
      <w:proofErr w:type="spellEnd"/>
      <w:r w:rsidRPr="00916C75">
        <w:rPr>
          <w:lang w:val="pl-PL"/>
        </w:rPr>
        <w:t>) przy przeglądzie kodu, implementacji skryptów analitycznych, wykonaniu analiz statystycznych oraz redakcji tekstu. Wszystkie wyniki liczbowe zostały wygenerowane przez kod uruchomiony przez autora na jego sprzęcie i przez autora zweryfikowane. Autor ponosi pełną odpowiedzialność za treść pracy. Narzędzie nie spełnia kryteriów autorstwa ICMJE i nie zostało wymienione jako autor.</w:t>
      </w:r>
    </w:p>
    <w:p w14:paraId="3373A92B" w14:textId="77777777" w:rsidR="000D04F5" w:rsidRPr="00916C75" w:rsidRDefault="007A7DBF">
      <w:pPr>
        <w:pStyle w:val="Nagwek2"/>
        <w:rPr>
          <w:lang w:val="pl-PL"/>
        </w:rPr>
      </w:pPr>
      <w:r w:rsidRPr="00916C75">
        <w:rPr>
          <w:lang w:val="pl-PL"/>
        </w:rPr>
        <w:t>Dostępność danych i kodu</w:t>
      </w:r>
    </w:p>
    <w:p w14:paraId="5A7E379C" w14:textId="292E4230" w:rsidR="00945E1D" w:rsidRPr="00916C75" w:rsidRDefault="00C743D3">
      <w:pPr>
        <w:pStyle w:val="Textbody"/>
        <w:rPr>
          <w:lang w:val="pl-PL"/>
        </w:rPr>
      </w:pPr>
      <w:proofErr w:type="spellStart"/>
      <w:r>
        <w:t>Kod</w:t>
      </w:r>
      <w:proofErr w:type="spellEnd"/>
      <w:r>
        <w:t xml:space="preserve"> </w:t>
      </w:r>
      <w:proofErr w:type="spellStart"/>
      <w:r>
        <w:t>obejmuje</w:t>
      </w:r>
      <w:proofErr w:type="spellEnd"/>
      <w:r>
        <w:t xml:space="preserve"> </w:t>
      </w:r>
      <w:proofErr w:type="spellStart"/>
      <w:r>
        <w:t>pełny</w:t>
      </w:r>
      <w:proofErr w:type="spellEnd"/>
      <w:r>
        <w:t xml:space="preserve"> pipeline: </w:t>
      </w:r>
      <w:proofErr w:type="spellStart"/>
      <w:r>
        <w:t>przetwarzanie</w:t>
      </w:r>
      <w:proofErr w:type="spellEnd"/>
      <w:r>
        <w:t xml:space="preserve"> </w:t>
      </w:r>
      <w:proofErr w:type="spellStart"/>
      <w:r>
        <w:t>preparatów</w:t>
      </w:r>
      <w:proofErr w:type="spellEnd"/>
      <w:r>
        <w:t xml:space="preserve">, </w:t>
      </w:r>
      <w:proofErr w:type="spellStart"/>
      <w:r>
        <w:t>filtrowanie</w:t>
      </w:r>
      <w:proofErr w:type="spellEnd"/>
      <w:r>
        <w:t xml:space="preserve"> </w:t>
      </w:r>
      <w:proofErr w:type="spellStart"/>
      <w:r>
        <w:t>materiału</w:t>
      </w:r>
      <w:proofErr w:type="spellEnd"/>
      <w:r>
        <w:t xml:space="preserve"> </w:t>
      </w:r>
      <w:proofErr w:type="spellStart"/>
      <w:r>
        <w:t>według</w:t>
      </w:r>
      <w:proofErr w:type="spellEnd"/>
      <w:r>
        <w:t xml:space="preserve"> </w:t>
      </w:r>
      <w:proofErr w:type="spellStart"/>
      <w:r>
        <w:t>barcode'u</w:t>
      </w:r>
      <w:proofErr w:type="spellEnd"/>
      <w:r>
        <w:t xml:space="preserve"> TCGA, </w:t>
      </w:r>
      <w:proofErr w:type="spellStart"/>
      <w:r>
        <w:t>budowę</w:t>
      </w:r>
      <w:proofErr w:type="spellEnd"/>
      <w:r>
        <w:t xml:space="preserve"> </w:t>
      </w:r>
      <w:proofErr w:type="spellStart"/>
      <w:r>
        <w:t>zbioru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, </w:t>
      </w:r>
      <w:proofErr w:type="spellStart"/>
      <w:r>
        <w:t>przeliczenie</w:t>
      </w:r>
      <w:proofErr w:type="spellEnd"/>
      <w:r>
        <w:t xml:space="preserve"> </w:t>
      </w:r>
      <w:proofErr w:type="spellStart"/>
      <w:r>
        <w:t>reprezentacji</w:t>
      </w:r>
      <w:proofErr w:type="spellEnd"/>
      <w:r>
        <w:t xml:space="preserve"> </w:t>
      </w:r>
      <w:proofErr w:type="spellStart"/>
      <w:r>
        <w:t>obrazu</w:t>
      </w:r>
      <w:proofErr w:type="spellEnd"/>
      <w:r>
        <w:t xml:space="preserve">,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ewaluację</w:t>
      </w:r>
      <w:proofErr w:type="spellEnd"/>
      <w:r>
        <w:t xml:space="preserve"> z </w:t>
      </w:r>
      <w:proofErr w:type="spellStart"/>
      <w:r>
        <w:t>deterministyczną</w:t>
      </w:r>
      <w:proofErr w:type="spellEnd"/>
      <w:r>
        <w:t xml:space="preserve"> </w:t>
      </w:r>
      <w:proofErr w:type="spellStart"/>
      <w:r>
        <w:t>konfiguracją</w:t>
      </w:r>
      <w:proofErr w:type="spellEnd"/>
      <w:r>
        <w:t xml:space="preserve"> </w:t>
      </w:r>
      <w:proofErr w:type="spellStart"/>
      <w:r>
        <w:t>obliczeń</w:t>
      </w:r>
      <w:proofErr w:type="spellEnd"/>
      <w:r>
        <w:t xml:space="preserve">, </w:t>
      </w:r>
      <w:proofErr w:type="spellStart"/>
      <w:r>
        <w:t>analizę</w:t>
      </w:r>
      <w:proofErr w:type="spellEnd"/>
      <w:r>
        <w:t xml:space="preserve"> </w:t>
      </w:r>
      <w:proofErr w:type="spellStart"/>
      <w:r>
        <w:t>fuzji</w:t>
      </w:r>
      <w:proofErr w:type="spellEnd"/>
      <w:r>
        <w:t xml:space="preserve"> </w:t>
      </w:r>
      <w:proofErr w:type="spellStart"/>
      <w:r>
        <w:t>późnej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generowanie</w:t>
      </w:r>
      <w:proofErr w:type="spellEnd"/>
      <w:r>
        <w:t xml:space="preserve"> </w:t>
      </w:r>
      <w:proofErr w:type="spellStart"/>
      <w:r>
        <w:t>rycin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jest </w:t>
      </w:r>
      <w:proofErr w:type="spellStart"/>
      <w:r>
        <w:t>dostępny</w:t>
      </w:r>
      <w:proofErr w:type="spellEnd"/>
      <w:r>
        <w:t xml:space="preserve"> pod </w:t>
      </w:r>
      <w:proofErr w:type="spellStart"/>
      <w:r>
        <w:t>adresem</w:t>
      </w:r>
      <w:proofErr w:type="spellEnd"/>
      <w:r>
        <w:t xml:space="preserve"> [DOI/URL].</w:t>
      </w:r>
    </w:p>
    <w:p w14:paraId="2F3C0C04" w14:textId="0C965F30" w:rsidR="000D04F5" w:rsidRDefault="00A30ABF">
      <w:pPr>
        <w:pStyle w:val="Nagwek2"/>
      </w:pPr>
      <w:proofErr w:type="spellStart"/>
      <w:r>
        <w:t>Piśmiennictwo</w:t>
      </w:r>
      <w:proofErr w:type="spellEnd"/>
    </w:p>
    <w:p w14:paraId="2DA5B1C6" w14:textId="76DB6F00" w:rsidR="000D04F5" w:rsidRDefault="007A7DBF" w:rsidP="00A30ABF">
      <w:pPr>
        <w:pStyle w:val="Textbody"/>
        <w:numPr>
          <w:ilvl w:val="0"/>
          <w:numId w:val="9"/>
        </w:numPr>
      </w:pPr>
      <w:r>
        <w:t xml:space="preserve">Vaswani A.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Attention Is All You Need.</w:t>
      </w:r>
      <w:r>
        <w:t xml:space="preserve"> </w:t>
      </w:r>
      <w:proofErr w:type="spellStart"/>
      <w:r>
        <w:t>NeurIPS</w:t>
      </w:r>
      <w:proofErr w:type="spellEnd"/>
      <w:r>
        <w:t xml:space="preserve"> 2017.</w:t>
      </w:r>
    </w:p>
    <w:p w14:paraId="48A1B4DF" w14:textId="77777777" w:rsidR="000D04F5" w:rsidRDefault="007A7DBF">
      <w:pPr>
        <w:pStyle w:val="Textbody"/>
        <w:numPr>
          <w:ilvl w:val="0"/>
          <w:numId w:val="9"/>
        </w:numPr>
      </w:pPr>
      <w:r>
        <w:t xml:space="preserve">Tan M., Le Q. </w:t>
      </w:r>
      <w:proofErr w:type="spellStart"/>
      <w:r>
        <w:rPr>
          <w:i/>
        </w:rPr>
        <w:t>EfficientNet</w:t>
      </w:r>
      <w:proofErr w:type="spellEnd"/>
      <w:r>
        <w:rPr>
          <w:i/>
        </w:rPr>
        <w:t>: Rethinking Model Scaling for Convolutional Neural Networks.</w:t>
      </w:r>
      <w:r>
        <w:t xml:space="preserve"> ICML 2019.</w:t>
      </w:r>
    </w:p>
    <w:p w14:paraId="7EA4B4D6" w14:textId="77777777" w:rsidR="000D04F5" w:rsidRDefault="007A7DBF">
      <w:pPr>
        <w:pStyle w:val="Textbody"/>
        <w:numPr>
          <w:ilvl w:val="0"/>
          <w:numId w:val="9"/>
        </w:numPr>
      </w:pPr>
      <w:proofErr w:type="spellStart"/>
      <w:r>
        <w:t>Neverova</w:t>
      </w:r>
      <w:proofErr w:type="spellEnd"/>
      <w:r>
        <w:t xml:space="preserve"> N.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proofErr w:type="spellStart"/>
      <w:r>
        <w:rPr>
          <w:i/>
        </w:rPr>
        <w:t>ModDrop</w:t>
      </w:r>
      <w:proofErr w:type="spellEnd"/>
      <w:r>
        <w:rPr>
          <w:i/>
        </w:rPr>
        <w:t>: adaptive multi-modal gesture recognition.</w:t>
      </w:r>
      <w:r>
        <w:t xml:space="preserve"> IEEE TPAMI 2016.</w:t>
      </w:r>
    </w:p>
    <w:p w14:paraId="0FBA702E" w14:textId="77777777" w:rsidR="000D04F5" w:rsidRDefault="007A7DBF">
      <w:pPr>
        <w:pStyle w:val="Textbody"/>
        <w:numPr>
          <w:ilvl w:val="0"/>
          <w:numId w:val="9"/>
        </w:numPr>
      </w:pPr>
      <w:r w:rsidRPr="00916C75">
        <w:rPr>
          <w:lang w:val="pl-PL"/>
        </w:rPr>
        <w:t xml:space="preserve">Howard F.M. i </w:t>
      </w:r>
      <w:proofErr w:type="spellStart"/>
      <w:r w:rsidRPr="00916C75">
        <w:rPr>
          <w:lang w:val="pl-PL"/>
        </w:rPr>
        <w:t>wsp</w:t>
      </w:r>
      <w:proofErr w:type="spellEnd"/>
      <w:r w:rsidRPr="00916C75">
        <w:rPr>
          <w:lang w:val="pl-PL"/>
        </w:rPr>
        <w:t xml:space="preserve">. </w:t>
      </w:r>
      <w:r>
        <w:rPr>
          <w:i/>
        </w:rPr>
        <w:t>The impact of site-specific digital histology signatures on deep learning model accuracy and bias.</w:t>
      </w:r>
      <w:r>
        <w:t xml:space="preserve"> Nature Communications 2021.</w:t>
      </w:r>
    </w:p>
    <w:p w14:paraId="7E6E40B1" w14:textId="77777777" w:rsidR="000D04F5" w:rsidRDefault="007A7DBF">
      <w:pPr>
        <w:pStyle w:val="Textbody"/>
        <w:numPr>
          <w:ilvl w:val="0"/>
          <w:numId w:val="9"/>
        </w:numPr>
      </w:pPr>
      <w:proofErr w:type="spellStart"/>
      <w:r>
        <w:t>Coudray</w:t>
      </w:r>
      <w:proofErr w:type="spellEnd"/>
      <w:r>
        <w:t xml:space="preserve"> N.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Classification and mutation prediction from non–small cell lung cancer histopathology images using deep learning.</w:t>
      </w:r>
      <w:r>
        <w:t xml:space="preserve"> Nature Medicine 2018.</w:t>
      </w:r>
    </w:p>
    <w:p w14:paraId="66B4B80A" w14:textId="77777777" w:rsidR="000D04F5" w:rsidRDefault="007A7DBF">
      <w:pPr>
        <w:pStyle w:val="Textbody"/>
        <w:numPr>
          <w:ilvl w:val="0"/>
          <w:numId w:val="9"/>
        </w:numPr>
      </w:pPr>
      <w:r>
        <w:t xml:space="preserve">Naik N.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Deep learning-enabled breast cancer hormonal receptor status determination from base-level H&amp;E stains.</w:t>
      </w:r>
      <w:r>
        <w:t xml:space="preserve"> Nature Communications 2020.</w:t>
      </w:r>
    </w:p>
    <w:p w14:paraId="3E054DA5" w14:textId="77777777" w:rsidR="000D04F5" w:rsidRDefault="007A7DBF">
      <w:pPr>
        <w:pStyle w:val="Textbody"/>
        <w:numPr>
          <w:ilvl w:val="0"/>
          <w:numId w:val="9"/>
        </w:numPr>
      </w:pPr>
      <w:r w:rsidRPr="00916C75">
        <w:rPr>
          <w:lang w:val="pl-PL"/>
        </w:rPr>
        <w:t xml:space="preserve">Wolff A.C. i </w:t>
      </w:r>
      <w:proofErr w:type="spellStart"/>
      <w:r w:rsidRPr="00916C75">
        <w:rPr>
          <w:lang w:val="pl-PL"/>
        </w:rPr>
        <w:t>wsp</w:t>
      </w:r>
      <w:proofErr w:type="spellEnd"/>
      <w:r w:rsidRPr="00916C75">
        <w:rPr>
          <w:lang w:val="pl-PL"/>
        </w:rPr>
        <w:t xml:space="preserve">. </w:t>
      </w:r>
      <w:r>
        <w:rPr>
          <w:i/>
        </w:rPr>
        <w:t>Human Epidermal Growth Factor Receptor 2 Testing in Breast Cancer: ASCO/CAP Clinical Practice Guideline Focused Update.</w:t>
      </w:r>
      <w:r>
        <w:t xml:space="preserve"> JCO 2018.</w:t>
      </w:r>
    </w:p>
    <w:p w14:paraId="6C809000" w14:textId="77777777" w:rsidR="000D04F5" w:rsidRDefault="007A7DBF">
      <w:pPr>
        <w:pStyle w:val="Textbody"/>
        <w:numPr>
          <w:ilvl w:val="0"/>
          <w:numId w:val="9"/>
        </w:numPr>
      </w:pPr>
      <w:proofErr w:type="spellStart"/>
      <w:r>
        <w:t>Macenko</w:t>
      </w:r>
      <w:proofErr w:type="spellEnd"/>
      <w:r>
        <w:t xml:space="preserve"> M.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A method for normalizing histology slides for quantitative analysis.</w:t>
      </w:r>
      <w:r>
        <w:t xml:space="preserve"> ISBI 2009.</w:t>
      </w:r>
    </w:p>
    <w:p w14:paraId="1B2140C5" w14:textId="77777777" w:rsidR="000D04F5" w:rsidRDefault="007A7DBF">
      <w:pPr>
        <w:pStyle w:val="Textbody"/>
        <w:numPr>
          <w:ilvl w:val="0"/>
          <w:numId w:val="9"/>
        </w:numPr>
      </w:pPr>
      <w:r>
        <w:t xml:space="preserve">Bouthillier X.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Accounting for Variance in Machine Learning Benchmarks.</w:t>
      </w:r>
      <w:r>
        <w:t xml:space="preserve"> </w:t>
      </w:r>
      <w:proofErr w:type="spellStart"/>
      <w:r>
        <w:t>MLSys</w:t>
      </w:r>
      <w:proofErr w:type="spellEnd"/>
      <w:r>
        <w:t xml:space="preserve"> 2021.</w:t>
      </w:r>
    </w:p>
    <w:p w14:paraId="65BE8747" w14:textId="3BE62A96" w:rsidR="000D04F5" w:rsidRDefault="007A7DBF" w:rsidP="00A30ABF">
      <w:pPr>
        <w:pStyle w:val="Textbody"/>
        <w:numPr>
          <w:ilvl w:val="0"/>
          <w:numId w:val="9"/>
        </w:numPr>
      </w:pPr>
      <w:r>
        <w:t xml:space="preserve">Perez E.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proofErr w:type="spellStart"/>
      <w:r>
        <w:rPr>
          <w:i/>
        </w:rPr>
        <w:t>FiLM</w:t>
      </w:r>
      <w:proofErr w:type="spellEnd"/>
      <w:r>
        <w:rPr>
          <w:i/>
        </w:rPr>
        <w:t>: Visual Reasoning with a General Conditioning Layer.</w:t>
      </w:r>
      <w:r>
        <w:t xml:space="preserve"> AAAI </w:t>
      </w:r>
      <w:r>
        <w:lastRenderedPageBreak/>
        <w:t>2018.</w:t>
      </w:r>
    </w:p>
    <w:p w14:paraId="59589418" w14:textId="77777777" w:rsidR="000D04F5" w:rsidRDefault="007A7DBF">
      <w:pPr>
        <w:pStyle w:val="Textbody"/>
        <w:numPr>
          <w:ilvl w:val="0"/>
          <w:numId w:val="9"/>
        </w:numPr>
      </w:pPr>
      <w:proofErr w:type="spellStart"/>
      <w:r>
        <w:t>Gorishniy</w:t>
      </w:r>
      <w:proofErr w:type="spellEnd"/>
      <w:r>
        <w:t xml:space="preserve"> Y.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</w:t>
      </w:r>
      <w:proofErr w:type="spellEnd"/>
      <w:r>
        <w:t xml:space="preserve">. </w:t>
      </w:r>
      <w:r>
        <w:rPr>
          <w:i/>
        </w:rPr>
        <w:t>Revisiting Deep Learning Models for Tabular Data.</w:t>
      </w:r>
      <w:r>
        <w:t xml:space="preserve"> </w:t>
      </w:r>
      <w:proofErr w:type="spellStart"/>
      <w:r>
        <w:t>NeurIPS</w:t>
      </w:r>
      <w:proofErr w:type="spellEnd"/>
      <w:r>
        <w:t xml:space="preserve"> 2021.</w:t>
      </w:r>
    </w:p>
    <w:p w14:paraId="36364CBD" w14:textId="77777777" w:rsidR="000D04F5" w:rsidRDefault="007A7DBF">
      <w:pPr>
        <w:pStyle w:val="Textbody"/>
        <w:numPr>
          <w:ilvl w:val="0"/>
          <w:numId w:val="9"/>
        </w:numPr>
      </w:pPr>
      <w:r>
        <w:t xml:space="preserve">El-Yaniv R., Wiener Y. </w:t>
      </w:r>
      <w:r>
        <w:rPr>
          <w:i/>
        </w:rPr>
        <w:t>On the Foundations of Noise-free Selective Classification.</w:t>
      </w:r>
      <w:r>
        <w:t xml:space="preserve"> JMLR 2010.</w:t>
      </w:r>
    </w:p>
    <w:p w14:paraId="5C2AB757" w14:textId="77777777" w:rsidR="000D04F5" w:rsidRDefault="000D04F5">
      <w:pPr>
        <w:pStyle w:val="Textbody"/>
      </w:pPr>
    </w:p>
    <w:sectPr w:rsidR="000D04F5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493D8" w14:textId="77777777" w:rsidR="004A6681" w:rsidRDefault="004A6681">
      <w:r>
        <w:separator/>
      </w:r>
    </w:p>
  </w:endnote>
  <w:endnote w:type="continuationSeparator" w:id="0">
    <w:p w14:paraId="1DF006E9" w14:textId="77777777" w:rsidR="004A6681" w:rsidRDefault="004A6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Mono">
    <w:panose1 w:val="02070409020205020404"/>
    <w:charset w:val="EE"/>
    <w:family w:val="modern"/>
    <w:pitch w:val="fixed"/>
    <w:sig w:usb0="E0000AFF" w:usb1="400078FF" w:usb2="0000000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848CB" w14:textId="77777777" w:rsidR="004A6681" w:rsidRDefault="004A6681">
      <w:r>
        <w:rPr>
          <w:color w:val="000000"/>
        </w:rPr>
        <w:separator/>
      </w:r>
    </w:p>
  </w:footnote>
  <w:footnote w:type="continuationSeparator" w:id="0">
    <w:p w14:paraId="67BE0C89" w14:textId="77777777" w:rsidR="004A6681" w:rsidRDefault="004A6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134F"/>
    <w:multiLevelType w:val="multilevel"/>
    <w:tmpl w:val="D438F8E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E8067DD"/>
    <w:multiLevelType w:val="multilevel"/>
    <w:tmpl w:val="89D084F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1636619"/>
    <w:multiLevelType w:val="multilevel"/>
    <w:tmpl w:val="B67A0356"/>
    <w:lvl w:ilvl="0">
      <w:start w:val="1"/>
      <w:numFmt w:val="decimal"/>
      <w:lvlText w:val="%1."/>
      <w:lvlJc w:val="left"/>
      <w:pPr>
        <w:ind w:left="709" w:hanging="283"/>
      </w:pPr>
      <w:rPr>
        <w:rFonts w:ascii="Liberation Serif" w:eastAsia="NSimSun" w:hAnsi="Liberation Serif" w:cs="Aria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1A04E51"/>
    <w:multiLevelType w:val="multilevel"/>
    <w:tmpl w:val="96CCAB9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8860546"/>
    <w:multiLevelType w:val="multilevel"/>
    <w:tmpl w:val="E1E475F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3406466"/>
    <w:multiLevelType w:val="multilevel"/>
    <w:tmpl w:val="E2C0A21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" w15:restartNumberingAfterBreak="0">
    <w:nsid w:val="6AC43F43"/>
    <w:multiLevelType w:val="multilevel"/>
    <w:tmpl w:val="4704D78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7" w15:restartNumberingAfterBreak="0">
    <w:nsid w:val="7ABD732A"/>
    <w:multiLevelType w:val="multilevel"/>
    <w:tmpl w:val="A06CF71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7F360983"/>
    <w:multiLevelType w:val="multilevel"/>
    <w:tmpl w:val="3D8C9E6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F5"/>
    <w:rsid w:val="0000736B"/>
    <w:rsid w:val="00085EAF"/>
    <w:rsid w:val="000D04F5"/>
    <w:rsid w:val="000D1E0A"/>
    <w:rsid w:val="00114E3E"/>
    <w:rsid w:val="00163BCD"/>
    <w:rsid w:val="002A1D1C"/>
    <w:rsid w:val="002A66DB"/>
    <w:rsid w:val="002C7AF3"/>
    <w:rsid w:val="004A6681"/>
    <w:rsid w:val="005742E3"/>
    <w:rsid w:val="005B23B4"/>
    <w:rsid w:val="006F5E24"/>
    <w:rsid w:val="00705344"/>
    <w:rsid w:val="00711164"/>
    <w:rsid w:val="0079385A"/>
    <w:rsid w:val="007A2515"/>
    <w:rsid w:val="007A3C1B"/>
    <w:rsid w:val="007A7DBF"/>
    <w:rsid w:val="007B2CFA"/>
    <w:rsid w:val="00817D87"/>
    <w:rsid w:val="008A5E5E"/>
    <w:rsid w:val="009123F8"/>
    <w:rsid w:val="00916C75"/>
    <w:rsid w:val="00945E1D"/>
    <w:rsid w:val="009611E5"/>
    <w:rsid w:val="00996CFB"/>
    <w:rsid w:val="00A30ABF"/>
    <w:rsid w:val="00A45A81"/>
    <w:rsid w:val="00A729D0"/>
    <w:rsid w:val="00AC4E17"/>
    <w:rsid w:val="00C422B1"/>
    <w:rsid w:val="00C743D3"/>
    <w:rsid w:val="00CC7973"/>
    <w:rsid w:val="00D01A3E"/>
    <w:rsid w:val="00D174D3"/>
    <w:rsid w:val="00DC4234"/>
    <w:rsid w:val="00DC7B8C"/>
    <w:rsid w:val="00DE4586"/>
    <w:rsid w:val="00EC6C66"/>
    <w:rsid w:val="00F7157E"/>
    <w:rsid w:val="00F8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EF8B"/>
  <w15:docId w15:val="{7F44E64D-B6F3-4F37-BC9F-3409771A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n-GB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Akapitzlist">
    <w:name w:val="List Paragraph"/>
    <w:basedOn w:val="Normalny"/>
    <w:uiPriority w:val="34"/>
    <w:qFormat/>
    <w:rsid w:val="00916C7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21</Pages>
  <Words>5273</Words>
  <Characters>31640</Characters>
  <Application>Microsoft Office Word</Application>
  <DocSecurity>0</DocSecurity>
  <Lines>263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Tomasz Pruś</dc:creator>
  <cp:lastModifiedBy>Tomasz Pruś</cp:lastModifiedBy>
  <cp:revision>27</cp:revision>
  <dcterms:created xsi:type="dcterms:W3CDTF">2026-08-17T09:48:00Z</dcterms:created>
  <dcterms:modified xsi:type="dcterms:W3CDTF">2026-08-27T13:11:00Z</dcterms:modified>
</cp:coreProperties>
</file>