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MASTER SERVICES AGREEMENT</w:t>
      </w:r>
    </w:p>
    <w:p>
      <w:r>
        <w:t xml:space="preserve">1. Indemnification. The Provider shall indemnify the Client up to a cap of $1,000,000.</w:t>
      </w:r>
    </w:p>
    <w:p>
      <w:r>
        <w:t xml:space="preserve">2. Settlement. Invoices are settled within 10 working days.</w:t>
      </w:r>
    </w:p>
    <w:p>
      <w:r>
        <w:t xml:space="preserve">3. Governing Law. This agreement is governed by the laws of England.</w:t>
      </w:r>
    </w:p>
    <w:p>
      <w:r>
        <w:t xml:space="preserve">4. Termination. Either party may terminate on 30 days notice.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2026-06-03T22:11:26.527Z</dcterms:created>
  <dcterms:modified xsi:type="dcterms:W3CDTF">2026-06-03T22:11:26.527Z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