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MASTER SERVICES AGREEMENT</w:t>
      </w:r>
    </w:p>
    <w:p>
      <w:r>
        <w:t xml:space="preserve">1. Indemnification. The Provider shall indemnify the Client.</w:t>
      </w:r>
    </w:p>
    <w:p>
      <w:r>
        <w:t xml:space="preserve">2. Settlement. Invoices are settled within 5 working days.</w:t>
      </w:r>
    </w:p>
    <w:p>
      <w:r>
        <w:t xml:space="preserve">3. Governing Law. This agreement is governed by the laws of England.</w:t>
      </w:r>
    </w:p>
    <w:p>
      <w:r>
        <w:t xml:space="preserve">5. Confidentiality. Each party shall keep the other's information confidential.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2026-06-03T22:11:26.533Z</dcterms:created>
  <dcterms:modified xsi:type="dcterms:W3CDTF">2026-06-03T22:11:26.533Z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