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A3DA6" w14:textId="77777777" w:rsidR="001D6120" w:rsidRDefault="001D6120" w:rsidP="001D6120">
      <w:pPr>
        <w:pStyle w:val="Title"/>
        <w:spacing w:line="240" w:lineRule="auto"/>
        <w:outlineLvl w:val="0"/>
      </w:pPr>
    </w:p>
    <w:p w14:paraId="38DBCFF6" w14:textId="77777777" w:rsidR="00BE3445" w:rsidRDefault="002F0A57" w:rsidP="001D6120">
      <w:pPr>
        <w:pStyle w:val="Title"/>
        <w:spacing w:line="240" w:lineRule="auto"/>
        <w:outlineLvl w:val="0"/>
      </w:pPr>
      <w:r>
        <w:t>Sample Paper</w:t>
      </w:r>
    </w:p>
    <w:p w14:paraId="63C5F538" w14:textId="77777777" w:rsidR="00BE3445" w:rsidRPr="002F0A57" w:rsidRDefault="00BE3445" w:rsidP="00506019">
      <w:pPr>
        <w:pStyle w:val="Title"/>
        <w:spacing w:line="240" w:lineRule="auto"/>
        <w:rPr>
          <w:b w:val="0"/>
          <w:sz w:val="22"/>
          <w:szCs w:val="22"/>
        </w:rPr>
      </w:pPr>
    </w:p>
    <w:p w14:paraId="3C5D51EA" w14:textId="77777777" w:rsidR="00BE3445" w:rsidRPr="00F06BC0" w:rsidRDefault="002F0A57" w:rsidP="00BE3445">
      <w:pPr>
        <w:pStyle w:val="Author"/>
        <w:rPr>
          <w:rFonts w:ascii="Times New Roman" w:hAnsi="Times New Roman"/>
        </w:rPr>
      </w:pPr>
      <w:r>
        <w:rPr>
          <w:rFonts w:ascii="Times New Roman" w:hAnsi="Times New Roman"/>
        </w:rPr>
        <w:t>A</w:t>
      </w:r>
      <w:r w:rsidR="008D2241">
        <w:rPr>
          <w:rFonts w:ascii="Times New Roman" w:hAnsi="Times New Roman"/>
        </w:rPr>
        <w:t>lexi</w:t>
      </w:r>
      <w:r w:rsidR="00527EA8" w:rsidRPr="00F06BC0">
        <w:rPr>
          <w:rFonts w:ascii="Times New Roman" w:hAnsi="Times New Roman"/>
        </w:rPr>
        <w:t xml:space="preserve"> </w:t>
      </w:r>
      <w:r>
        <w:rPr>
          <w:rFonts w:ascii="Times New Roman" w:hAnsi="Times New Roman"/>
        </w:rPr>
        <w:t>N. Author</w:t>
      </w:r>
    </w:p>
    <w:p w14:paraId="631C5F6A" w14:textId="77777777" w:rsidR="00F4013E" w:rsidRDefault="00F4013E" w:rsidP="001D6120">
      <w:pPr>
        <w:pStyle w:val="Affiliation"/>
        <w:rPr>
          <w:rFonts w:ascii="Times New Roman" w:hAnsi="Times New Roman"/>
        </w:rPr>
      </w:pPr>
      <w:r>
        <w:rPr>
          <w:rFonts w:ascii="Times New Roman" w:hAnsi="Times New Roman"/>
        </w:rPr>
        <w:t>Metalcasting University</w:t>
      </w:r>
      <w:r w:rsidR="00F06BC0">
        <w:rPr>
          <w:rFonts w:ascii="Times New Roman" w:hAnsi="Times New Roman"/>
        </w:rPr>
        <w:t xml:space="preserve"> of Science and Technology, </w:t>
      </w:r>
      <w:r>
        <w:rPr>
          <w:rFonts w:ascii="Times New Roman" w:hAnsi="Times New Roman"/>
        </w:rPr>
        <w:t>City</w:t>
      </w:r>
      <w:r w:rsidR="00F06BC0">
        <w:rPr>
          <w:rFonts w:ascii="Times New Roman" w:hAnsi="Times New Roman"/>
        </w:rPr>
        <w:t xml:space="preserve">, </w:t>
      </w:r>
      <w:r>
        <w:rPr>
          <w:rFonts w:ascii="Times New Roman" w:hAnsi="Times New Roman"/>
        </w:rPr>
        <w:t>State</w:t>
      </w:r>
      <w:r w:rsidR="008D2241">
        <w:rPr>
          <w:rFonts w:ascii="Times New Roman" w:hAnsi="Times New Roman"/>
        </w:rPr>
        <w:t xml:space="preserve">, </w:t>
      </w:r>
      <w:r w:rsidR="007076C7">
        <w:rPr>
          <w:rFonts w:ascii="Times New Roman" w:hAnsi="Times New Roman"/>
        </w:rPr>
        <w:t>Country</w:t>
      </w:r>
    </w:p>
    <w:p w14:paraId="52854471" w14:textId="77777777" w:rsidR="001D6120" w:rsidRDefault="001D6120" w:rsidP="00F4013E">
      <w:pPr>
        <w:pStyle w:val="Author"/>
        <w:rPr>
          <w:rFonts w:ascii="Times New Roman" w:hAnsi="Times New Roman"/>
        </w:rPr>
      </w:pPr>
    </w:p>
    <w:p w14:paraId="5D9F8235" w14:textId="77777777" w:rsidR="00F4013E" w:rsidRDefault="008D2241" w:rsidP="00F4013E">
      <w:pPr>
        <w:pStyle w:val="Author"/>
        <w:rPr>
          <w:rFonts w:ascii="Times New Roman" w:hAnsi="Times New Roman"/>
        </w:rPr>
      </w:pPr>
      <w:r>
        <w:rPr>
          <w:rFonts w:ascii="Times New Roman" w:hAnsi="Times New Roman"/>
        </w:rPr>
        <w:t>Kim R</w:t>
      </w:r>
      <w:r w:rsidR="00F4013E">
        <w:rPr>
          <w:rFonts w:ascii="Times New Roman" w:hAnsi="Times New Roman"/>
        </w:rPr>
        <w:t>. Person</w:t>
      </w:r>
    </w:p>
    <w:p w14:paraId="4B531F51" w14:textId="77777777" w:rsidR="00F4013E" w:rsidRPr="00F06BC0" w:rsidRDefault="0064229C" w:rsidP="00F4013E">
      <w:pPr>
        <w:pStyle w:val="Affiliation"/>
        <w:rPr>
          <w:rFonts w:ascii="Times New Roman" w:hAnsi="Times New Roman"/>
        </w:rPr>
      </w:pPr>
      <w:r>
        <w:rPr>
          <w:rFonts w:ascii="Times New Roman" w:hAnsi="Times New Roman"/>
        </w:rPr>
        <w:t>ST</w:t>
      </w:r>
      <w:r w:rsidR="00F4013E">
        <w:rPr>
          <w:rFonts w:ascii="Times New Roman" w:hAnsi="Times New Roman"/>
        </w:rPr>
        <w:t xml:space="preserve"> Foundry,</w:t>
      </w:r>
      <w:r w:rsidR="00655A6D">
        <w:rPr>
          <w:rFonts w:ascii="Times New Roman" w:hAnsi="Times New Roman"/>
        </w:rPr>
        <w:t xml:space="preserve"> Inc.,</w:t>
      </w:r>
      <w:r w:rsidR="00F4013E">
        <w:rPr>
          <w:rFonts w:ascii="Times New Roman" w:hAnsi="Times New Roman"/>
        </w:rPr>
        <w:t xml:space="preserve"> City, State</w:t>
      </w:r>
      <w:r w:rsidR="008D2241">
        <w:rPr>
          <w:rFonts w:ascii="Times New Roman" w:hAnsi="Times New Roman"/>
        </w:rPr>
        <w:t xml:space="preserve">, </w:t>
      </w:r>
      <w:r w:rsidR="00BB2EA1">
        <w:rPr>
          <w:rFonts w:ascii="Times New Roman" w:hAnsi="Times New Roman"/>
        </w:rPr>
        <w:t>Country</w:t>
      </w:r>
    </w:p>
    <w:p w14:paraId="4EE54E20" w14:textId="77777777" w:rsidR="00BE3445" w:rsidRPr="002F0A57" w:rsidRDefault="00BE3445" w:rsidP="00BE3445">
      <w:pPr>
        <w:pStyle w:val="Author"/>
        <w:rPr>
          <w:rFonts w:ascii="Times New Roman" w:hAnsi="Times New Roman"/>
          <w:sz w:val="20"/>
        </w:rPr>
      </w:pPr>
    </w:p>
    <w:p w14:paraId="4DF30A73" w14:textId="77777777" w:rsidR="00204FCD" w:rsidRPr="00F06BC0" w:rsidRDefault="00204FCD" w:rsidP="00204FCD">
      <w:pPr>
        <w:pStyle w:val="Copyright"/>
        <w:outlineLvl w:val="0"/>
        <w:rPr>
          <w:rFonts w:ascii="Times New Roman" w:hAnsi="Times New Roman"/>
        </w:rPr>
      </w:pPr>
      <w:r w:rsidRPr="00F47D27">
        <w:rPr>
          <w:rFonts w:ascii="Times New Roman" w:hAnsi="Times New Roman"/>
        </w:rPr>
        <w:t xml:space="preserve">Copyright </w:t>
      </w:r>
      <w:r w:rsidR="00B53665" w:rsidRPr="00F47D27">
        <w:rPr>
          <w:rFonts w:ascii="Times New Roman" w:hAnsi="Times New Roman"/>
        </w:rPr>
        <w:t>202</w:t>
      </w:r>
      <w:r w:rsidR="00392654">
        <w:rPr>
          <w:rFonts w:ascii="Times New Roman" w:hAnsi="Times New Roman"/>
        </w:rPr>
        <w:t>4</w:t>
      </w:r>
      <w:r w:rsidR="00B53665">
        <w:rPr>
          <w:rFonts w:ascii="Times New Roman" w:hAnsi="Times New Roman"/>
        </w:rPr>
        <w:t xml:space="preserve"> </w:t>
      </w:r>
      <w:r w:rsidRPr="00F06BC0">
        <w:rPr>
          <w:rFonts w:ascii="Times New Roman" w:hAnsi="Times New Roman"/>
        </w:rPr>
        <w:t>American Foundry Society</w:t>
      </w:r>
    </w:p>
    <w:p w14:paraId="7FE4BC09" w14:textId="77777777" w:rsidR="003752F5" w:rsidRDefault="003752F5" w:rsidP="00204FCD">
      <w:pPr>
        <w:pStyle w:val="Copyright"/>
        <w:outlineLvl w:val="0"/>
      </w:pPr>
    </w:p>
    <w:p w14:paraId="050E9272" w14:textId="77777777" w:rsidR="003752F5" w:rsidRDefault="003752F5" w:rsidP="00002056">
      <w:pPr>
        <w:pStyle w:val="AbstHead"/>
        <w:sectPr w:rsidR="003752F5" w:rsidSect="002F0A57">
          <w:footerReference w:type="default" r:id="rId11"/>
          <w:headerReference w:type="first" r:id="rId12"/>
          <w:pgSz w:w="12240" w:h="15840"/>
          <w:pgMar w:top="1080" w:right="1080" w:bottom="1080" w:left="1080" w:header="288" w:footer="288" w:gutter="0"/>
          <w:cols w:space="720"/>
          <w:titlePg/>
          <w:docGrid w:linePitch="272"/>
        </w:sectPr>
      </w:pPr>
    </w:p>
    <w:p w14:paraId="1B14C58E" w14:textId="77777777" w:rsidR="00002056" w:rsidRDefault="00D20259" w:rsidP="00002056">
      <w:pPr>
        <w:pStyle w:val="AbstHead"/>
      </w:pPr>
      <w:r>
        <w:t>abstract</w:t>
      </w:r>
    </w:p>
    <w:p w14:paraId="06EB9D86" w14:textId="77777777" w:rsidR="00002056" w:rsidRDefault="00002056" w:rsidP="00002056">
      <w:pPr>
        <w:pStyle w:val="Body"/>
      </w:pPr>
    </w:p>
    <w:p w14:paraId="1806D55B" w14:textId="7943F532" w:rsidR="00527EA8" w:rsidRPr="00285735" w:rsidRDefault="00527EA8" w:rsidP="00527EA8">
      <w:pPr>
        <w:pStyle w:val="NoSpacing"/>
        <w:rPr>
          <w:rFonts w:ascii="Times New Roman" w:hAnsi="Times New Roman"/>
          <w:sz w:val="20"/>
          <w:szCs w:val="20"/>
        </w:rPr>
      </w:pPr>
      <w:r w:rsidRPr="00285735">
        <w:rPr>
          <w:rFonts w:ascii="Times New Roman" w:hAnsi="Times New Roman"/>
          <w:sz w:val="20"/>
          <w:szCs w:val="20"/>
        </w:rPr>
        <w:t>Steel foundries use valuable energy to superheat liquid me</w:t>
      </w:r>
      <w:r w:rsidRPr="001F7559">
        <w:rPr>
          <w:rFonts w:ascii="Times New Roman" w:hAnsi="Times New Roman"/>
          <w:sz w:val="20"/>
          <w:szCs w:val="20"/>
        </w:rPr>
        <w:t>tal to compensate for the temperature drop during h</w:t>
      </w:r>
      <w:r w:rsidRPr="00285735">
        <w:rPr>
          <w:rFonts w:ascii="Times New Roman" w:hAnsi="Times New Roman"/>
          <w:sz w:val="20"/>
          <w:szCs w:val="20"/>
        </w:rPr>
        <w:t xml:space="preserve">andling and pouring. Improvement in the ladle refractory practice is one of the ways to </w:t>
      </w:r>
      <w:r w:rsidR="008D2241">
        <w:rPr>
          <w:rFonts w:ascii="Times New Roman" w:hAnsi="Times New Roman"/>
          <w:sz w:val="20"/>
          <w:szCs w:val="20"/>
        </w:rPr>
        <w:t xml:space="preserve">reduce the superheat required. </w:t>
      </w:r>
      <w:r w:rsidRPr="00285735">
        <w:rPr>
          <w:rFonts w:ascii="Times New Roman" w:hAnsi="Times New Roman"/>
          <w:sz w:val="20"/>
          <w:szCs w:val="20"/>
        </w:rPr>
        <w:t>Alumina and magnesia</w:t>
      </w:r>
      <w:r w:rsidR="00F1214B">
        <w:rPr>
          <w:rFonts w:ascii="Times New Roman" w:hAnsi="Times New Roman"/>
          <w:sz w:val="20"/>
          <w:szCs w:val="20"/>
        </w:rPr>
        <w:t>-</w:t>
      </w:r>
      <w:r w:rsidRPr="00285735">
        <w:rPr>
          <w:rFonts w:ascii="Times New Roman" w:hAnsi="Times New Roman"/>
          <w:sz w:val="20"/>
          <w:szCs w:val="20"/>
        </w:rPr>
        <w:t xml:space="preserve">based linings can withstand high temperatures and </w:t>
      </w:r>
      <w:r w:rsidR="002E1709">
        <w:rPr>
          <w:rFonts w:ascii="Times New Roman" w:hAnsi="Times New Roman"/>
          <w:sz w:val="20"/>
          <w:szCs w:val="20"/>
        </w:rPr>
        <w:t>are</w:t>
      </w:r>
      <w:r w:rsidRPr="00285735">
        <w:rPr>
          <w:rFonts w:ascii="Times New Roman" w:hAnsi="Times New Roman"/>
          <w:sz w:val="20"/>
          <w:szCs w:val="20"/>
        </w:rPr>
        <w:t xml:space="preserve"> used for medium and large ladles. However</w:t>
      </w:r>
      <w:r w:rsidR="005308E5">
        <w:rPr>
          <w:rFonts w:ascii="Times New Roman" w:hAnsi="Times New Roman"/>
          <w:sz w:val="20"/>
          <w:szCs w:val="20"/>
        </w:rPr>
        <w:t>,</w:t>
      </w:r>
      <w:r w:rsidRPr="00285735">
        <w:rPr>
          <w:rFonts w:ascii="Times New Roman" w:hAnsi="Times New Roman"/>
          <w:sz w:val="20"/>
          <w:szCs w:val="20"/>
        </w:rPr>
        <w:t xml:space="preserve"> these ceramics naturally possess high thermal conductivity.</w:t>
      </w:r>
      <w:r w:rsidR="005308E5">
        <w:rPr>
          <w:rFonts w:ascii="Times New Roman" w:hAnsi="Times New Roman"/>
          <w:sz w:val="20"/>
          <w:szCs w:val="20"/>
        </w:rPr>
        <w:t xml:space="preserve"> </w:t>
      </w:r>
      <w:r w:rsidRPr="00285735">
        <w:rPr>
          <w:rFonts w:ascii="Times New Roman" w:hAnsi="Times New Roman"/>
          <w:sz w:val="20"/>
          <w:szCs w:val="20"/>
        </w:rPr>
        <w:t>Silica sand refractories are traditionally used in steel foundries for smaller volume ladles because silica is a naturally occurring lower con</w:t>
      </w:r>
      <w:r w:rsidR="008D2241">
        <w:rPr>
          <w:rFonts w:ascii="Times New Roman" w:hAnsi="Times New Roman"/>
          <w:sz w:val="20"/>
          <w:szCs w:val="20"/>
        </w:rPr>
        <w:t xml:space="preserve">ductivity refractory. </w:t>
      </w:r>
      <w:r w:rsidRPr="00285735">
        <w:rPr>
          <w:rFonts w:ascii="Times New Roman" w:hAnsi="Times New Roman"/>
          <w:sz w:val="20"/>
          <w:szCs w:val="20"/>
        </w:rPr>
        <w:t>The addition of one such material, cenospheres, to silica sand was investigated.</w:t>
      </w:r>
      <w:r w:rsidR="005308E5">
        <w:rPr>
          <w:rFonts w:ascii="Times New Roman" w:hAnsi="Times New Roman"/>
          <w:sz w:val="20"/>
          <w:szCs w:val="20"/>
        </w:rPr>
        <w:t xml:space="preserve"> </w:t>
      </w:r>
      <w:r w:rsidRPr="00285735">
        <w:rPr>
          <w:rFonts w:ascii="Times New Roman" w:hAnsi="Times New Roman"/>
          <w:sz w:val="20"/>
          <w:szCs w:val="20"/>
        </w:rPr>
        <w:t xml:space="preserve">For this investigation, two types of experimental molds </w:t>
      </w:r>
      <w:r w:rsidR="008D2241">
        <w:rPr>
          <w:rFonts w:ascii="Times New Roman" w:hAnsi="Times New Roman"/>
          <w:sz w:val="20"/>
          <w:szCs w:val="20"/>
        </w:rPr>
        <w:t xml:space="preserve">and ladle linings were tested. </w:t>
      </w:r>
      <w:r w:rsidRPr="00285735">
        <w:rPr>
          <w:rFonts w:ascii="Times New Roman" w:hAnsi="Times New Roman"/>
          <w:sz w:val="20"/>
          <w:szCs w:val="20"/>
        </w:rPr>
        <w:t>The performance of regular silica lining was compared with that of the experimental linings containing silica sand and cenospheres. Inverse Computational Fluid Dynamics (CFD) modeling was applied to assess the actual thermal properties of the novel lining.</w:t>
      </w:r>
    </w:p>
    <w:p w14:paraId="5933B5F6" w14:textId="77777777" w:rsidR="00002056" w:rsidRDefault="00002056" w:rsidP="00002056">
      <w:pPr>
        <w:pStyle w:val="Body"/>
      </w:pPr>
    </w:p>
    <w:p w14:paraId="2FD87729" w14:textId="77777777" w:rsidR="00393FDB" w:rsidRPr="001F41B2" w:rsidRDefault="003752F5" w:rsidP="00393FDB">
      <w:pPr>
        <w:pStyle w:val="Affiliation"/>
        <w:jc w:val="left"/>
        <w:rPr>
          <w:rFonts w:ascii="Times New Roman" w:hAnsi="Times New Roman"/>
        </w:rPr>
      </w:pPr>
      <w:r>
        <w:rPr>
          <w:b/>
        </w:rPr>
        <w:t>Keyw</w:t>
      </w:r>
      <w:r w:rsidR="00393FDB">
        <w:rPr>
          <w:b/>
        </w:rPr>
        <w:t>ords</w:t>
      </w:r>
      <w:r w:rsidR="00393FDB" w:rsidRPr="0003130F">
        <w:rPr>
          <w:b/>
        </w:rPr>
        <w:t>:</w:t>
      </w:r>
      <w:r w:rsidR="00393FDB" w:rsidRPr="0003130F">
        <w:t xml:space="preserve"> </w:t>
      </w:r>
      <w:r w:rsidR="00527EA8">
        <w:t>energy, steel, ladles, cenospheres, silica refractories</w:t>
      </w:r>
      <w:r w:rsidR="00762149">
        <w:t>, computational fluid dynamics (CFD)</w:t>
      </w:r>
    </w:p>
    <w:p w14:paraId="1E601CBD" w14:textId="77777777" w:rsidR="00393FDB" w:rsidRDefault="00393FDB" w:rsidP="00002056">
      <w:pPr>
        <w:pStyle w:val="Body"/>
      </w:pPr>
    </w:p>
    <w:p w14:paraId="683B4504" w14:textId="77777777" w:rsidR="00606142" w:rsidRDefault="00606142" w:rsidP="00002056">
      <w:pPr>
        <w:pStyle w:val="Body"/>
      </w:pPr>
    </w:p>
    <w:p w14:paraId="44D399CC" w14:textId="77777777" w:rsidR="00002056" w:rsidRDefault="00002056" w:rsidP="00002056">
      <w:pPr>
        <w:pStyle w:val="Head1"/>
      </w:pPr>
      <w:r>
        <w:t>introducti</w:t>
      </w:r>
      <w:r w:rsidR="00D20259">
        <w:t>on</w:t>
      </w:r>
    </w:p>
    <w:p w14:paraId="04BFFDCE" w14:textId="77777777" w:rsidR="00002056" w:rsidRDefault="00002056" w:rsidP="00002056">
      <w:pPr>
        <w:pStyle w:val="Head1"/>
      </w:pPr>
    </w:p>
    <w:p w14:paraId="54788161" w14:textId="77777777" w:rsidR="008D2241" w:rsidRDefault="00527EA8" w:rsidP="00527EA8">
      <w:pPr>
        <w:autoSpaceDE w:val="0"/>
        <w:autoSpaceDN w:val="0"/>
        <w:adjustRightInd w:val="0"/>
        <w:rPr>
          <w:rFonts w:ascii="Times New Roman" w:hAnsi="Times New Roman"/>
          <w:color w:val="000000"/>
        </w:rPr>
      </w:pPr>
      <w:r w:rsidRPr="00527EA8">
        <w:rPr>
          <w:rFonts w:ascii="Times New Roman" w:hAnsi="Times New Roman"/>
          <w:color w:val="000000"/>
        </w:rPr>
        <w:t>Energy cost is a key concern for the foundry industry. Total energy efficiency of melting and casting operations in a steel foundry often depend upon ladle practices. The amount of superheat in liquid metal before tapping is directly related to the t</w:t>
      </w:r>
      <w:r w:rsidR="008D2241">
        <w:rPr>
          <w:rFonts w:ascii="Times New Roman" w:hAnsi="Times New Roman"/>
          <w:color w:val="000000"/>
        </w:rPr>
        <w:t>emperature losses in the ladle.</w:t>
      </w:r>
      <w:r w:rsidR="005308E5">
        <w:rPr>
          <w:rFonts w:ascii="Times New Roman" w:hAnsi="Times New Roman"/>
          <w:color w:val="000000"/>
        </w:rPr>
        <w:t xml:space="preserve"> </w:t>
      </w:r>
      <w:r w:rsidRPr="00527EA8">
        <w:rPr>
          <w:rFonts w:ascii="Times New Roman" w:hAnsi="Times New Roman"/>
        </w:rPr>
        <w:t>Steel foundries tap at much higher temperatures than integrated steel companies producing similar grades due to ladles with larger surface area to volume ratios, large tap losses and poor preheating.</w:t>
      </w:r>
      <w:r w:rsidRPr="00527EA8">
        <w:rPr>
          <w:rFonts w:ascii="Times New Roman" w:hAnsi="Times New Roman"/>
          <w:color w:val="000000"/>
        </w:rPr>
        <w:t xml:space="preserve"> This, when coupled with heat </w:t>
      </w:r>
      <w:proofErr w:type="gramStart"/>
      <w:r w:rsidRPr="00527EA8">
        <w:rPr>
          <w:rFonts w:ascii="Times New Roman" w:hAnsi="Times New Roman"/>
          <w:color w:val="000000"/>
        </w:rPr>
        <w:t>losses</w:t>
      </w:r>
      <w:proofErr w:type="gramEnd"/>
      <w:r w:rsidRPr="00527EA8">
        <w:rPr>
          <w:rFonts w:ascii="Times New Roman" w:hAnsi="Times New Roman"/>
          <w:color w:val="000000"/>
        </w:rPr>
        <w:t xml:space="preserve"> </w:t>
      </w:r>
    </w:p>
    <w:p w14:paraId="2E085343" w14:textId="77777777" w:rsidR="00527EA8" w:rsidRDefault="00527EA8" w:rsidP="00527EA8">
      <w:pPr>
        <w:autoSpaceDE w:val="0"/>
        <w:autoSpaceDN w:val="0"/>
        <w:adjustRightInd w:val="0"/>
        <w:rPr>
          <w:rFonts w:ascii="Times New Roman" w:hAnsi="Times New Roman"/>
          <w:color w:val="000000"/>
        </w:rPr>
      </w:pPr>
      <w:r w:rsidRPr="00527EA8">
        <w:rPr>
          <w:rFonts w:ascii="Times New Roman" w:hAnsi="Times New Roman"/>
          <w:color w:val="000000"/>
        </w:rPr>
        <w:t>through the ladle linings, results in high tap temperatures.</w:t>
      </w:r>
      <w:r w:rsidR="005308E5">
        <w:rPr>
          <w:rFonts w:ascii="Times New Roman" w:hAnsi="Times New Roman"/>
          <w:color w:val="000000"/>
        </w:rPr>
        <w:t xml:space="preserve"> </w:t>
      </w:r>
      <w:r w:rsidRPr="00527EA8">
        <w:rPr>
          <w:rFonts w:ascii="Times New Roman" w:hAnsi="Times New Roman"/>
          <w:color w:val="000000"/>
        </w:rPr>
        <w:t>The extensive su</w:t>
      </w:r>
      <w:r w:rsidR="00762149">
        <w:rPr>
          <w:rFonts w:ascii="Times New Roman" w:hAnsi="Times New Roman"/>
          <w:color w:val="000000"/>
        </w:rPr>
        <w:t xml:space="preserve">perheating increases the energy </w:t>
      </w:r>
      <w:r w:rsidRPr="00527EA8">
        <w:rPr>
          <w:rFonts w:ascii="Times New Roman" w:hAnsi="Times New Roman"/>
          <w:color w:val="000000"/>
        </w:rPr>
        <w:t>consumption, promotes oxidation of the melt</w:t>
      </w:r>
      <w:r w:rsidR="008D2241">
        <w:rPr>
          <w:rFonts w:ascii="Times New Roman" w:hAnsi="Times New Roman"/>
          <w:color w:val="000000"/>
        </w:rPr>
        <w:t>,</w:t>
      </w:r>
      <w:r w:rsidR="00762149">
        <w:rPr>
          <w:rFonts w:ascii="Times New Roman" w:hAnsi="Times New Roman"/>
          <w:color w:val="000000"/>
        </w:rPr>
        <w:t xml:space="preserve"> and </w:t>
      </w:r>
      <w:r w:rsidRPr="00527EA8">
        <w:rPr>
          <w:rFonts w:ascii="Times New Roman" w:hAnsi="Times New Roman"/>
          <w:color w:val="000000"/>
        </w:rPr>
        <w:t>increases refractory consumption.</w:t>
      </w:r>
      <w:r w:rsidR="006608B5" w:rsidRPr="006608B5">
        <w:rPr>
          <w:rFonts w:ascii="Times New Roman" w:hAnsi="Times New Roman"/>
          <w:color w:val="000000"/>
          <w:vertAlign w:val="superscript"/>
        </w:rPr>
        <w:t>1</w:t>
      </w:r>
      <w:r w:rsidR="005308E5">
        <w:rPr>
          <w:rFonts w:ascii="Times New Roman" w:hAnsi="Times New Roman"/>
          <w:color w:val="000000"/>
          <w:vertAlign w:val="superscript"/>
        </w:rPr>
        <w:t xml:space="preserve"> </w:t>
      </w:r>
      <w:r w:rsidRPr="00527EA8">
        <w:rPr>
          <w:rFonts w:ascii="Times New Roman" w:hAnsi="Times New Roman"/>
          <w:color w:val="000000"/>
        </w:rPr>
        <w:t>Ladle practices are modified to reduce the rate of heat losses from the ladle to meet the pouring temperature requirement</w:t>
      </w:r>
      <w:r w:rsidR="008D2241">
        <w:rPr>
          <w:rFonts w:ascii="Times New Roman" w:hAnsi="Times New Roman"/>
          <w:color w:val="000000"/>
        </w:rPr>
        <w:t xml:space="preserve">. </w:t>
      </w:r>
      <w:r w:rsidRPr="00527EA8">
        <w:rPr>
          <w:rFonts w:ascii="Times New Roman" w:hAnsi="Times New Roman"/>
          <w:color w:val="000000"/>
        </w:rPr>
        <w:t>Ladle practices can be a combination of multiple factors such as ladle geometry (shape and size), lining materials, initial lining temperature conditions before tap, slag type and thickness, ladle covers, gas stirring and alloy additions</w:t>
      </w:r>
      <w:r w:rsidR="008D2241">
        <w:rPr>
          <w:rFonts w:ascii="Times New Roman" w:hAnsi="Times New Roman"/>
          <w:color w:val="000000"/>
        </w:rPr>
        <w:t xml:space="preserve">. </w:t>
      </w:r>
      <w:r w:rsidRPr="00527EA8">
        <w:rPr>
          <w:rFonts w:ascii="Times New Roman" w:hAnsi="Times New Roman"/>
          <w:color w:val="000000"/>
        </w:rPr>
        <w:t xml:space="preserve">A wide variety of refractory materials are used </w:t>
      </w:r>
      <w:r w:rsidR="00762149">
        <w:rPr>
          <w:rFonts w:ascii="Times New Roman" w:hAnsi="Times New Roman"/>
          <w:color w:val="000000"/>
        </w:rPr>
        <w:t>by metalcasters</w:t>
      </w:r>
      <w:r w:rsidR="008D2241">
        <w:rPr>
          <w:rFonts w:ascii="Times New Roman" w:hAnsi="Times New Roman"/>
          <w:color w:val="000000"/>
        </w:rPr>
        <w:t xml:space="preserve">. </w:t>
      </w:r>
      <w:r w:rsidR="00804018" w:rsidRPr="00527EA8">
        <w:rPr>
          <w:rFonts w:ascii="Times New Roman" w:hAnsi="Times New Roman"/>
          <w:color w:val="000000"/>
        </w:rPr>
        <w:t>A list of commonly used industrial refractory materials is</w:t>
      </w:r>
      <w:r w:rsidRPr="00527EA8">
        <w:rPr>
          <w:rFonts w:ascii="Times New Roman" w:hAnsi="Times New Roman"/>
          <w:color w:val="000000"/>
        </w:rPr>
        <w:t xml:space="preserve"> provided in Table 1</w:t>
      </w:r>
      <w:r w:rsidR="008D2241">
        <w:rPr>
          <w:rFonts w:ascii="Times New Roman" w:hAnsi="Times New Roman"/>
          <w:color w:val="000000"/>
        </w:rPr>
        <w:t xml:space="preserve">. </w:t>
      </w:r>
      <w:r w:rsidRPr="00527EA8">
        <w:rPr>
          <w:rFonts w:ascii="Times New Roman" w:hAnsi="Times New Roman"/>
          <w:color w:val="000000"/>
        </w:rPr>
        <w:t xml:space="preserve">Reducing the thermal conductivity of ladle lining materials is </w:t>
      </w:r>
      <w:r w:rsidR="00762149">
        <w:rPr>
          <w:rFonts w:ascii="Times New Roman" w:hAnsi="Times New Roman"/>
          <w:color w:val="000000"/>
        </w:rPr>
        <w:t>vital</w:t>
      </w:r>
      <w:r w:rsidRPr="00527EA8">
        <w:rPr>
          <w:rFonts w:ascii="Times New Roman" w:hAnsi="Times New Roman"/>
          <w:color w:val="000000"/>
        </w:rPr>
        <w:t xml:space="preserve"> to reduc</w:t>
      </w:r>
      <w:r w:rsidR="00762149">
        <w:rPr>
          <w:rFonts w:ascii="Times New Roman" w:hAnsi="Times New Roman"/>
          <w:color w:val="000000"/>
        </w:rPr>
        <w:t>ing</w:t>
      </w:r>
      <w:r w:rsidRPr="00527EA8">
        <w:rPr>
          <w:rFonts w:ascii="Times New Roman" w:hAnsi="Times New Roman"/>
          <w:color w:val="000000"/>
        </w:rPr>
        <w:t xml:space="preserve"> and minimiz</w:t>
      </w:r>
      <w:r w:rsidR="00762149">
        <w:rPr>
          <w:rFonts w:ascii="Times New Roman" w:hAnsi="Times New Roman"/>
          <w:color w:val="000000"/>
        </w:rPr>
        <w:t>ing</w:t>
      </w:r>
      <w:r w:rsidRPr="00527EA8">
        <w:rPr>
          <w:rFonts w:ascii="Times New Roman" w:hAnsi="Times New Roman"/>
          <w:color w:val="000000"/>
        </w:rPr>
        <w:t xml:space="preserve"> heat losses from the ladle</w:t>
      </w:r>
      <w:r w:rsidR="00762149">
        <w:rPr>
          <w:rFonts w:ascii="Times New Roman" w:hAnsi="Times New Roman"/>
          <w:color w:val="000000"/>
        </w:rPr>
        <w:t>,</w:t>
      </w:r>
      <w:r w:rsidRPr="00527EA8">
        <w:rPr>
          <w:rFonts w:ascii="Times New Roman" w:hAnsi="Times New Roman"/>
          <w:color w:val="000000"/>
        </w:rPr>
        <w:t xml:space="preserve"> thereby</w:t>
      </w:r>
      <w:r w:rsidR="00762149">
        <w:rPr>
          <w:rFonts w:ascii="Times New Roman" w:hAnsi="Times New Roman"/>
          <w:color w:val="000000"/>
        </w:rPr>
        <w:t>,</w:t>
      </w:r>
      <w:r w:rsidRPr="00527EA8">
        <w:rPr>
          <w:rFonts w:ascii="Times New Roman" w:hAnsi="Times New Roman"/>
          <w:color w:val="000000"/>
        </w:rPr>
        <w:t xml:space="preserve"> reducing the required superheat for the melt.</w:t>
      </w:r>
    </w:p>
    <w:p w14:paraId="106EEFD5" w14:textId="77777777" w:rsidR="008473FC" w:rsidRDefault="008473FC" w:rsidP="008473FC">
      <w:pPr>
        <w:autoSpaceDE w:val="0"/>
        <w:autoSpaceDN w:val="0"/>
        <w:adjustRightInd w:val="0"/>
        <w:rPr>
          <w:rFonts w:ascii="Times New Roman" w:hAnsi="Times New Roman"/>
          <w:color w:val="000000"/>
        </w:rPr>
      </w:pPr>
    </w:p>
    <w:p w14:paraId="0AF38497" w14:textId="77777777" w:rsidR="008473FC" w:rsidRPr="008473FC" w:rsidRDefault="008473FC" w:rsidP="008473FC">
      <w:pPr>
        <w:autoSpaceDE w:val="0"/>
        <w:autoSpaceDN w:val="0"/>
        <w:adjustRightInd w:val="0"/>
        <w:rPr>
          <w:rFonts w:ascii="Times New Roman" w:hAnsi="Times New Roman"/>
          <w:color w:val="000000"/>
        </w:rPr>
        <w:sectPr w:rsidR="008473FC" w:rsidRPr="008473FC" w:rsidSect="008473FC">
          <w:type w:val="continuous"/>
          <w:pgSz w:w="12240" w:h="15840"/>
          <w:pgMar w:top="1080" w:right="1080" w:bottom="1080" w:left="1080" w:header="720" w:footer="720" w:gutter="0"/>
          <w:cols w:num="2" w:space="720"/>
          <w:docGrid w:linePitch="360"/>
        </w:sectPr>
      </w:pPr>
      <w:r w:rsidRPr="00527EA8">
        <w:rPr>
          <w:rFonts w:ascii="Times New Roman" w:hAnsi="Times New Roman"/>
          <w:color w:val="000000"/>
        </w:rPr>
        <w:t>Typical foundry ladles experience unsteady-state heat transfer conditions.</w:t>
      </w:r>
      <w:r w:rsidR="006608B5" w:rsidRPr="006608B5">
        <w:rPr>
          <w:rFonts w:ascii="Times New Roman" w:hAnsi="Times New Roman"/>
          <w:color w:val="000000"/>
          <w:vertAlign w:val="superscript"/>
        </w:rPr>
        <w:t>2</w:t>
      </w:r>
      <w:r w:rsidR="008D2241">
        <w:rPr>
          <w:rFonts w:ascii="Times New Roman" w:hAnsi="Times New Roman"/>
          <w:color w:val="000000"/>
        </w:rPr>
        <w:t xml:space="preserve"> In this condition, </w:t>
      </w:r>
      <w:r w:rsidR="00762149" w:rsidRPr="00527EA8">
        <w:rPr>
          <w:rFonts w:ascii="Times New Roman" w:hAnsi="Times New Roman"/>
          <w:color w:val="000000"/>
        </w:rPr>
        <w:t>the lining accumulates a significant amount of heat</w:t>
      </w:r>
      <w:r w:rsidR="008D2241">
        <w:rPr>
          <w:rFonts w:ascii="Times New Roman" w:hAnsi="Times New Roman"/>
          <w:color w:val="000000"/>
        </w:rPr>
        <w:t xml:space="preserve">. </w:t>
      </w:r>
      <w:r w:rsidRPr="00527EA8">
        <w:rPr>
          <w:rFonts w:ascii="Times New Roman" w:hAnsi="Times New Roman"/>
          <w:color w:val="000000"/>
        </w:rPr>
        <w:t>The thermal diffusivity of the refractory, rather than its thermal conductivity, determines the amount of heat lost from the molten steel to the refractory</w:t>
      </w:r>
      <w:r w:rsidR="008D2241">
        <w:rPr>
          <w:rFonts w:ascii="Times New Roman" w:hAnsi="Times New Roman"/>
          <w:color w:val="000000"/>
        </w:rPr>
        <w:t xml:space="preserve">. </w:t>
      </w:r>
      <w:r w:rsidRPr="00527EA8">
        <w:rPr>
          <w:rFonts w:ascii="Times New Roman" w:hAnsi="Times New Roman"/>
          <w:color w:val="000000"/>
        </w:rPr>
        <w:t>The thermal diffusivity of a refractory depends on its composition, temperature, porosity</w:t>
      </w:r>
      <w:r w:rsidR="008D2241">
        <w:rPr>
          <w:rFonts w:ascii="Times New Roman" w:hAnsi="Times New Roman"/>
          <w:color w:val="000000"/>
        </w:rPr>
        <w:t>,</w:t>
      </w:r>
      <w:r w:rsidRPr="00527EA8">
        <w:rPr>
          <w:rFonts w:ascii="Times New Roman" w:hAnsi="Times New Roman"/>
          <w:color w:val="000000"/>
        </w:rPr>
        <w:t xml:space="preserve"> and density</w:t>
      </w:r>
      <w:r w:rsidR="008D2241">
        <w:rPr>
          <w:rFonts w:ascii="Times New Roman" w:hAnsi="Times New Roman"/>
          <w:color w:val="000000"/>
        </w:rPr>
        <w:t xml:space="preserve">. </w:t>
      </w:r>
      <w:r w:rsidRPr="00527EA8">
        <w:rPr>
          <w:rFonts w:ascii="Times New Roman" w:hAnsi="Times New Roman"/>
          <w:color w:val="000000"/>
        </w:rPr>
        <w:t>Porosity is important in reducing heat flow through refractories because thermal conductivity and density both decrease with increasing porosity</w:t>
      </w:r>
      <w:r w:rsidR="008D2241">
        <w:rPr>
          <w:rFonts w:ascii="Times New Roman" w:hAnsi="Times New Roman"/>
          <w:color w:val="000000"/>
        </w:rPr>
        <w:t xml:space="preserve">. </w:t>
      </w:r>
      <w:r w:rsidRPr="00527EA8">
        <w:rPr>
          <w:rFonts w:ascii="Times New Roman" w:hAnsi="Times New Roman"/>
          <w:color w:val="000000"/>
        </w:rPr>
        <w:t>In a previous publication, increasing melting efficiency through refractory improvements was illustrated by applying a new type of porous alumina castable ceramic lining.</w:t>
      </w:r>
      <w:r w:rsidR="006608B5" w:rsidRPr="006608B5">
        <w:rPr>
          <w:rFonts w:ascii="Times New Roman" w:hAnsi="Times New Roman"/>
          <w:color w:val="000000"/>
          <w:vertAlign w:val="superscript"/>
        </w:rPr>
        <w:t>3</w:t>
      </w:r>
      <w:r w:rsidR="005308E5">
        <w:rPr>
          <w:rFonts w:ascii="Times New Roman" w:hAnsi="Times New Roman"/>
          <w:color w:val="000000"/>
          <w:vertAlign w:val="superscript"/>
        </w:rPr>
        <w:t xml:space="preserve"> </w:t>
      </w:r>
      <w:r w:rsidRPr="00527EA8">
        <w:rPr>
          <w:rFonts w:ascii="Times New Roman" w:hAnsi="Times New Roman"/>
          <w:color w:val="000000"/>
        </w:rPr>
        <w:t>Ladle inserts w</w:t>
      </w:r>
      <w:r w:rsidR="005308E5">
        <w:rPr>
          <w:rFonts w:ascii="Times New Roman" w:hAnsi="Times New Roman"/>
          <w:color w:val="000000"/>
        </w:rPr>
        <w:t xml:space="preserve">ere prepared for a 100 </w:t>
      </w:r>
      <w:proofErr w:type="spellStart"/>
      <w:r w:rsidR="005308E5">
        <w:rPr>
          <w:rFonts w:ascii="Times New Roman" w:hAnsi="Times New Roman"/>
          <w:color w:val="000000"/>
        </w:rPr>
        <w:t>lb</w:t>
      </w:r>
      <w:proofErr w:type="spellEnd"/>
      <w:r w:rsidR="00BB2EA1">
        <w:rPr>
          <w:rFonts w:ascii="Times New Roman" w:hAnsi="Times New Roman"/>
          <w:color w:val="000000"/>
        </w:rPr>
        <w:t xml:space="preserve"> (45kg</w:t>
      </w:r>
      <w:r w:rsidRPr="00527EA8">
        <w:rPr>
          <w:rFonts w:ascii="Times New Roman" w:hAnsi="Times New Roman"/>
          <w:color w:val="000000"/>
        </w:rPr>
        <w:t>) steel capacity ladle</w:t>
      </w:r>
      <w:r w:rsidR="008D2241">
        <w:rPr>
          <w:rFonts w:ascii="Times New Roman" w:hAnsi="Times New Roman"/>
          <w:color w:val="000000"/>
        </w:rPr>
        <w:t>.</w:t>
      </w:r>
      <w:r w:rsidR="00F06BC0">
        <w:rPr>
          <w:rFonts w:ascii="Times New Roman" w:hAnsi="Times New Roman"/>
          <w:color w:val="000000"/>
        </w:rPr>
        <w:t xml:space="preserve"> </w:t>
      </w:r>
      <w:r w:rsidRPr="00527EA8">
        <w:rPr>
          <w:rFonts w:ascii="Times New Roman" w:hAnsi="Times New Roman"/>
          <w:color w:val="000000"/>
        </w:rPr>
        <w:t>The heat transfer rate during holding was monitored for different lining materials, including regular alumina castable, a low</w:t>
      </w:r>
      <w:r w:rsidR="008D2241">
        <w:rPr>
          <w:rFonts w:ascii="Times New Roman" w:hAnsi="Times New Roman"/>
          <w:color w:val="000000"/>
        </w:rPr>
        <w:t>-</w:t>
      </w:r>
      <w:r w:rsidRPr="00527EA8">
        <w:rPr>
          <w:rFonts w:ascii="Times New Roman" w:hAnsi="Times New Roman"/>
          <w:color w:val="000000"/>
        </w:rPr>
        <w:t xml:space="preserve">density magnesia </w:t>
      </w:r>
      <w:proofErr w:type="gramStart"/>
      <w:r w:rsidRPr="00527EA8">
        <w:rPr>
          <w:rFonts w:ascii="Times New Roman" w:hAnsi="Times New Roman"/>
          <w:color w:val="000000"/>
        </w:rPr>
        <w:t>pre-fabricated</w:t>
      </w:r>
      <w:proofErr w:type="gramEnd"/>
      <w:r w:rsidRPr="00527EA8">
        <w:rPr>
          <w:rFonts w:ascii="Times New Roman" w:hAnsi="Times New Roman"/>
          <w:color w:val="000000"/>
        </w:rPr>
        <w:t xml:space="preserve"> insert, and porous alumina castable refractory linings. </w:t>
      </w:r>
    </w:p>
    <w:p w14:paraId="3B324FE6" w14:textId="77777777" w:rsidR="008473FC" w:rsidRDefault="008473FC" w:rsidP="008473FC">
      <w:pPr>
        <w:rPr>
          <w:rFonts w:ascii="Times New Roman" w:hAnsi="Times New Roman"/>
        </w:rPr>
        <w:sectPr w:rsidR="008473FC" w:rsidSect="004A0DC2">
          <w:type w:val="continuous"/>
          <w:pgSz w:w="12240" w:h="15840"/>
          <w:pgMar w:top="1080" w:right="1080" w:bottom="1080" w:left="1080" w:header="720" w:footer="720" w:gutter="0"/>
          <w:cols w:space="720"/>
          <w:docGrid w:linePitch="360"/>
        </w:sectPr>
      </w:pPr>
    </w:p>
    <w:p w14:paraId="1430097E" w14:textId="77777777" w:rsidR="008473FC" w:rsidRDefault="008473FC" w:rsidP="008473FC">
      <w:pPr>
        <w:autoSpaceDE w:val="0"/>
        <w:autoSpaceDN w:val="0"/>
        <w:adjustRightInd w:val="0"/>
        <w:jc w:val="center"/>
        <w:rPr>
          <w:rFonts w:ascii="Arial" w:hAnsi="Arial" w:cs="Arial"/>
          <w:b/>
          <w:i/>
          <w:sz w:val="18"/>
          <w:szCs w:val="18"/>
        </w:rPr>
      </w:pPr>
      <w:r w:rsidRPr="0030347C">
        <w:rPr>
          <w:rFonts w:ascii="Arial" w:hAnsi="Arial" w:cs="Arial"/>
          <w:b/>
          <w:i/>
          <w:sz w:val="18"/>
          <w:szCs w:val="18"/>
        </w:rPr>
        <w:t>Table 1</w:t>
      </w:r>
      <w:r w:rsidR="008D2241">
        <w:rPr>
          <w:rFonts w:ascii="Arial" w:hAnsi="Arial" w:cs="Arial"/>
          <w:b/>
          <w:i/>
          <w:sz w:val="18"/>
          <w:szCs w:val="18"/>
        </w:rPr>
        <w:t xml:space="preserve">. </w:t>
      </w:r>
      <w:r w:rsidRPr="0030347C">
        <w:rPr>
          <w:rFonts w:ascii="Arial" w:hAnsi="Arial" w:cs="Arial"/>
          <w:b/>
          <w:i/>
          <w:sz w:val="18"/>
          <w:szCs w:val="18"/>
        </w:rPr>
        <w:t xml:space="preserve">Typical </w:t>
      </w:r>
      <w:r w:rsidR="005308E5" w:rsidRPr="0030347C">
        <w:rPr>
          <w:rFonts w:ascii="Arial" w:hAnsi="Arial" w:cs="Arial"/>
          <w:b/>
          <w:i/>
          <w:sz w:val="18"/>
          <w:szCs w:val="18"/>
        </w:rPr>
        <w:t xml:space="preserve">Refractories Used </w:t>
      </w:r>
      <w:r w:rsidRPr="0030347C">
        <w:rPr>
          <w:rFonts w:ascii="Arial" w:hAnsi="Arial" w:cs="Arial"/>
          <w:b/>
          <w:i/>
          <w:sz w:val="18"/>
          <w:szCs w:val="18"/>
        </w:rPr>
        <w:t xml:space="preserve">in </w:t>
      </w:r>
      <w:r w:rsidR="005308E5" w:rsidRPr="0030347C">
        <w:rPr>
          <w:rFonts w:ascii="Arial" w:hAnsi="Arial" w:cs="Arial"/>
          <w:b/>
          <w:i/>
          <w:sz w:val="18"/>
          <w:szCs w:val="18"/>
        </w:rPr>
        <w:t>Foundry Ladles</w:t>
      </w:r>
      <w:r w:rsidR="005308E5" w:rsidRPr="006608B5">
        <w:rPr>
          <w:rFonts w:ascii="Arial" w:hAnsi="Arial" w:cs="Arial"/>
          <w:b/>
          <w:i/>
          <w:sz w:val="18"/>
          <w:szCs w:val="18"/>
          <w:vertAlign w:val="superscript"/>
        </w:rPr>
        <w:t>1</w:t>
      </w:r>
      <w:r w:rsidR="006608B5" w:rsidRPr="006608B5">
        <w:rPr>
          <w:rFonts w:ascii="Arial" w:hAnsi="Arial" w:cs="Arial"/>
          <w:b/>
          <w:i/>
          <w:sz w:val="18"/>
          <w:szCs w:val="18"/>
          <w:vertAlign w:val="superscript"/>
        </w:rPr>
        <w:t>,2</w:t>
      </w:r>
    </w:p>
    <w:p w14:paraId="11E8DF92" w14:textId="77777777" w:rsidR="008473FC" w:rsidRPr="0030347C" w:rsidRDefault="008473FC" w:rsidP="008473FC">
      <w:pPr>
        <w:autoSpaceDE w:val="0"/>
        <w:autoSpaceDN w:val="0"/>
        <w:adjustRightInd w:val="0"/>
        <w:jc w:val="center"/>
        <w:rPr>
          <w:rFonts w:ascii="Arial" w:hAnsi="Arial" w:cs="Arial"/>
          <w:b/>
          <w:i/>
          <w:sz w:val="18"/>
          <w:szCs w:val="18"/>
        </w:rPr>
      </w:pPr>
    </w:p>
    <w:tbl>
      <w:tblPr>
        <w:tblW w:w="9112" w:type="dxa"/>
        <w:jc w:val="center"/>
        <w:tblLook w:val="04A0" w:firstRow="1" w:lastRow="0" w:firstColumn="1" w:lastColumn="0" w:noHBand="0" w:noVBand="1"/>
      </w:tblPr>
      <w:tblGrid>
        <w:gridCol w:w="1946"/>
        <w:gridCol w:w="1676"/>
        <w:gridCol w:w="1350"/>
        <w:gridCol w:w="2070"/>
        <w:gridCol w:w="2070"/>
      </w:tblGrid>
      <w:tr w:rsidR="008473FC" w:rsidRPr="00527EA8" w14:paraId="112C0D5B" w14:textId="77777777" w:rsidTr="00A372BE">
        <w:trPr>
          <w:trHeight w:val="131"/>
          <w:jc w:val="center"/>
        </w:trPr>
        <w:tc>
          <w:tcPr>
            <w:tcW w:w="1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5B1BE" w14:textId="77777777" w:rsidR="008473FC" w:rsidRPr="00527EA8" w:rsidRDefault="008473FC" w:rsidP="004A0DC2">
            <w:pPr>
              <w:pStyle w:val="NoSpacing"/>
              <w:jc w:val="center"/>
              <w:rPr>
                <w:rFonts w:ascii="Times New Roman" w:hAnsi="Times New Roman"/>
                <w:sz w:val="20"/>
                <w:szCs w:val="20"/>
              </w:rPr>
            </w:pPr>
            <w:r w:rsidRPr="00527EA8">
              <w:rPr>
                <w:rFonts w:ascii="Times New Roman" w:hAnsi="Times New Roman"/>
                <w:sz w:val="20"/>
                <w:szCs w:val="20"/>
              </w:rPr>
              <w:t xml:space="preserve">Refractory </w:t>
            </w:r>
            <w:r w:rsidR="00762149">
              <w:rPr>
                <w:rFonts w:ascii="Times New Roman" w:hAnsi="Times New Roman"/>
                <w:sz w:val="20"/>
                <w:szCs w:val="20"/>
              </w:rPr>
              <w:t>T</w:t>
            </w:r>
            <w:r w:rsidRPr="00527EA8">
              <w:rPr>
                <w:rFonts w:ascii="Times New Roman" w:hAnsi="Times New Roman"/>
                <w:sz w:val="20"/>
                <w:szCs w:val="20"/>
              </w:rPr>
              <w:t>ypes</w:t>
            </w:r>
          </w:p>
        </w:tc>
        <w:tc>
          <w:tcPr>
            <w:tcW w:w="1676" w:type="dxa"/>
            <w:tcBorders>
              <w:top w:val="single" w:sz="4" w:space="0" w:color="auto"/>
              <w:left w:val="nil"/>
              <w:bottom w:val="single" w:sz="4" w:space="0" w:color="auto"/>
              <w:right w:val="single" w:sz="4" w:space="0" w:color="auto"/>
            </w:tcBorders>
            <w:shd w:val="clear" w:color="auto" w:fill="auto"/>
            <w:noWrap/>
            <w:vAlign w:val="bottom"/>
            <w:hideMark/>
          </w:tcPr>
          <w:p w14:paraId="7A10875C" w14:textId="77777777" w:rsidR="008473FC" w:rsidRPr="00527EA8" w:rsidRDefault="008473FC" w:rsidP="004A0DC2">
            <w:pPr>
              <w:pStyle w:val="NoSpacing"/>
              <w:jc w:val="center"/>
              <w:rPr>
                <w:rFonts w:ascii="Times New Roman" w:hAnsi="Times New Roman"/>
                <w:sz w:val="20"/>
                <w:szCs w:val="20"/>
              </w:rPr>
            </w:pPr>
            <w:r w:rsidRPr="00527EA8">
              <w:rPr>
                <w:rFonts w:ascii="Times New Roman" w:hAnsi="Times New Roman"/>
                <w:sz w:val="20"/>
                <w:szCs w:val="20"/>
              </w:rPr>
              <w:t xml:space="preserve">Chemical </w:t>
            </w:r>
            <w:r w:rsidR="00762149">
              <w:rPr>
                <w:rFonts w:ascii="Times New Roman" w:hAnsi="Times New Roman"/>
                <w:sz w:val="20"/>
                <w:szCs w:val="20"/>
              </w:rPr>
              <w:t>C</w:t>
            </w:r>
            <w:r w:rsidRPr="00527EA8">
              <w:rPr>
                <w:rFonts w:ascii="Times New Roman" w:hAnsi="Times New Roman"/>
                <w:sz w:val="20"/>
                <w:szCs w:val="20"/>
              </w:rPr>
              <w:t>omposition</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725BD3F" w14:textId="77777777" w:rsidR="008473FC" w:rsidRPr="00527EA8" w:rsidRDefault="008473FC" w:rsidP="004A0DC2">
            <w:pPr>
              <w:pStyle w:val="NoSpacing"/>
              <w:jc w:val="center"/>
              <w:rPr>
                <w:rFonts w:ascii="Times New Roman" w:hAnsi="Times New Roman"/>
                <w:sz w:val="20"/>
                <w:szCs w:val="20"/>
              </w:rPr>
            </w:pPr>
            <w:r w:rsidRPr="00527EA8">
              <w:rPr>
                <w:rFonts w:ascii="Times New Roman" w:hAnsi="Times New Roman"/>
                <w:sz w:val="20"/>
                <w:szCs w:val="20"/>
              </w:rPr>
              <w:t>Density, kg/m</w:t>
            </w:r>
            <w:r w:rsidRPr="00527EA8">
              <w:rPr>
                <w:rFonts w:ascii="Times New Roman" w:hAnsi="Times New Roman"/>
                <w:sz w:val="20"/>
                <w:szCs w:val="20"/>
                <w:vertAlign w:val="superscript"/>
              </w:rPr>
              <w:t>3</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2DD9F839" w14:textId="77777777" w:rsidR="008473FC" w:rsidRPr="00527EA8" w:rsidRDefault="008473FC" w:rsidP="004A0DC2">
            <w:pPr>
              <w:pStyle w:val="NoSpacing"/>
              <w:jc w:val="center"/>
              <w:rPr>
                <w:rFonts w:ascii="Times New Roman" w:hAnsi="Times New Roman"/>
                <w:sz w:val="20"/>
                <w:szCs w:val="20"/>
              </w:rPr>
            </w:pPr>
            <w:r w:rsidRPr="00527EA8">
              <w:rPr>
                <w:rFonts w:ascii="Times New Roman" w:hAnsi="Times New Roman"/>
                <w:sz w:val="20"/>
                <w:szCs w:val="20"/>
              </w:rPr>
              <w:t xml:space="preserve">Melting </w:t>
            </w:r>
            <w:r w:rsidR="00762149">
              <w:rPr>
                <w:rFonts w:ascii="Times New Roman" w:hAnsi="Times New Roman"/>
                <w:sz w:val="20"/>
                <w:szCs w:val="20"/>
              </w:rPr>
              <w:t>T</w:t>
            </w:r>
            <w:r w:rsidR="00A372BE">
              <w:rPr>
                <w:rFonts w:ascii="Times New Roman" w:hAnsi="Times New Roman"/>
                <w:sz w:val="20"/>
                <w:szCs w:val="20"/>
              </w:rPr>
              <w:t>emperature</w:t>
            </w:r>
            <w:r w:rsidRPr="00527EA8">
              <w:rPr>
                <w:rFonts w:ascii="Times New Roman" w:hAnsi="Times New Roman"/>
                <w:sz w:val="20"/>
                <w:szCs w:val="20"/>
              </w:rPr>
              <w:t xml:space="preserve"> </w:t>
            </w:r>
            <w:r w:rsidRPr="00527EA8">
              <w:rPr>
                <w:rStyle w:val="st"/>
                <w:rFonts w:ascii="Times New Roman" w:hAnsi="Times New Roman"/>
                <w:sz w:val="20"/>
                <w:szCs w:val="20"/>
              </w:rPr>
              <w:t>F</w:t>
            </w:r>
            <w:r w:rsidRPr="00527EA8">
              <w:rPr>
                <w:rFonts w:ascii="Times New Roman" w:hAnsi="Times New Roman"/>
                <w:sz w:val="20"/>
                <w:szCs w:val="20"/>
              </w:rPr>
              <w:t>(C)</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1E14707C" w14:textId="77777777" w:rsidR="008473FC" w:rsidRPr="00527EA8" w:rsidRDefault="008473FC" w:rsidP="004A0DC2">
            <w:pPr>
              <w:pStyle w:val="NoSpacing"/>
              <w:jc w:val="center"/>
              <w:rPr>
                <w:rFonts w:ascii="Times New Roman" w:hAnsi="Times New Roman"/>
                <w:sz w:val="20"/>
                <w:szCs w:val="20"/>
              </w:rPr>
            </w:pPr>
            <w:r w:rsidRPr="00527EA8">
              <w:rPr>
                <w:rFonts w:ascii="Times New Roman" w:hAnsi="Times New Roman"/>
                <w:sz w:val="20"/>
                <w:szCs w:val="20"/>
              </w:rPr>
              <w:t xml:space="preserve">Thermal </w:t>
            </w:r>
            <w:r w:rsidR="00762149">
              <w:rPr>
                <w:rFonts w:ascii="Times New Roman" w:hAnsi="Times New Roman"/>
                <w:sz w:val="20"/>
                <w:szCs w:val="20"/>
              </w:rPr>
              <w:t>C</w:t>
            </w:r>
            <w:r w:rsidR="00A372BE">
              <w:rPr>
                <w:rFonts w:ascii="Times New Roman" w:hAnsi="Times New Roman"/>
                <w:sz w:val="20"/>
                <w:szCs w:val="20"/>
              </w:rPr>
              <w:t>onductivity</w:t>
            </w:r>
            <w:r w:rsidRPr="00527EA8">
              <w:rPr>
                <w:rFonts w:ascii="Times New Roman" w:hAnsi="Times New Roman"/>
                <w:sz w:val="20"/>
                <w:szCs w:val="20"/>
              </w:rPr>
              <w:t xml:space="preserve"> W/</w:t>
            </w:r>
            <w:proofErr w:type="spellStart"/>
            <w:r w:rsidRPr="00527EA8">
              <w:rPr>
                <w:rFonts w:ascii="Times New Roman" w:hAnsi="Times New Roman"/>
                <w:sz w:val="20"/>
                <w:szCs w:val="20"/>
              </w:rPr>
              <w:t>mK</w:t>
            </w:r>
            <w:proofErr w:type="spellEnd"/>
          </w:p>
        </w:tc>
      </w:tr>
      <w:tr w:rsidR="008473FC" w:rsidRPr="00527EA8" w14:paraId="2131D846" w14:textId="77777777" w:rsidTr="00A372BE">
        <w:trPr>
          <w:trHeight w:val="131"/>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14:paraId="62091A66" w14:textId="77777777" w:rsidR="008473FC" w:rsidRPr="00527EA8" w:rsidRDefault="008473FC" w:rsidP="004A0DC2">
            <w:pPr>
              <w:pStyle w:val="NoSpacing"/>
              <w:rPr>
                <w:rFonts w:ascii="Times New Roman" w:hAnsi="Times New Roman"/>
                <w:sz w:val="20"/>
                <w:szCs w:val="20"/>
              </w:rPr>
            </w:pPr>
            <w:r w:rsidRPr="00527EA8">
              <w:rPr>
                <w:rFonts w:ascii="Times New Roman" w:hAnsi="Times New Roman"/>
                <w:sz w:val="20"/>
                <w:szCs w:val="20"/>
              </w:rPr>
              <w:t xml:space="preserve">Silica </w:t>
            </w:r>
          </w:p>
        </w:tc>
        <w:tc>
          <w:tcPr>
            <w:tcW w:w="1676" w:type="dxa"/>
            <w:tcBorders>
              <w:top w:val="nil"/>
              <w:left w:val="nil"/>
              <w:bottom w:val="single" w:sz="4" w:space="0" w:color="auto"/>
              <w:right w:val="single" w:sz="4" w:space="0" w:color="auto"/>
            </w:tcBorders>
            <w:shd w:val="clear" w:color="auto" w:fill="auto"/>
            <w:noWrap/>
            <w:vAlign w:val="bottom"/>
            <w:hideMark/>
          </w:tcPr>
          <w:p w14:paraId="124699B1" w14:textId="77777777" w:rsidR="008473FC" w:rsidRPr="00527EA8" w:rsidRDefault="008473FC" w:rsidP="004A0DC2">
            <w:pPr>
              <w:pStyle w:val="NoSpacing"/>
              <w:rPr>
                <w:rFonts w:ascii="Times New Roman" w:hAnsi="Times New Roman"/>
                <w:sz w:val="20"/>
                <w:szCs w:val="20"/>
              </w:rPr>
            </w:pPr>
            <w:r w:rsidRPr="00527EA8">
              <w:rPr>
                <w:rFonts w:ascii="Times New Roman" w:hAnsi="Times New Roman"/>
                <w:sz w:val="20"/>
                <w:szCs w:val="20"/>
              </w:rPr>
              <w:t xml:space="preserve">96 </w:t>
            </w:r>
            <w:proofErr w:type="spellStart"/>
            <w:r w:rsidRPr="00527EA8">
              <w:rPr>
                <w:rFonts w:ascii="Times New Roman" w:hAnsi="Times New Roman"/>
                <w:sz w:val="20"/>
                <w:szCs w:val="20"/>
              </w:rPr>
              <w:t>wt</w:t>
            </w:r>
            <w:proofErr w:type="spellEnd"/>
            <w:r w:rsidRPr="00527EA8">
              <w:rPr>
                <w:rFonts w:ascii="Times New Roman" w:hAnsi="Times New Roman"/>
                <w:sz w:val="20"/>
                <w:szCs w:val="20"/>
              </w:rPr>
              <w:t>% SiO</w:t>
            </w:r>
            <w:r w:rsidRPr="00527EA8">
              <w:rPr>
                <w:rFonts w:ascii="Times New Roman" w:hAnsi="Times New Roman"/>
                <w:sz w:val="20"/>
                <w:szCs w:val="20"/>
                <w:vertAlign w:val="subscript"/>
              </w:rPr>
              <w:t>2</w:t>
            </w:r>
          </w:p>
        </w:tc>
        <w:tc>
          <w:tcPr>
            <w:tcW w:w="1350" w:type="dxa"/>
            <w:tcBorders>
              <w:top w:val="nil"/>
              <w:left w:val="nil"/>
              <w:bottom w:val="single" w:sz="4" w:space="0" w:color="auto"/>
              <w:right w:val="single" w:sz="4" w:space="0" w:color="auto"/>
            </w:tcBorders>
            <w:shd w:val="clear" w:color="auto" w:fill="auto"/>
            <w:noWrap/>
            <w:vAlign w:val="bottom"/>
            <w:hideMark/>
          </w:tcPr>
          <w:p w14:paraId="3982DE96" w14:textId="77777777" w:rsidR="008473FC" w:rsidRPr="00527EA8" w:rsidRDefault="008473FC" w:rsidP="004A0DC2">
            <w:pPr>
              <w:pStyle w:val="NoSpacing"/>
              <w:jc w:val="center"/>
              <w:rPr>
                <w:rFonts w:ascii="Times New Roman" w:hAnsi="Times New Roman"/>
                <w:sz w:val="20"/>
                <w:szCs w:val="20"/>
              </w:rPr>
            </w:pPr>
            <w:r w:rsidRPr="00527EA8">
              <w:rPr>
                <w:rFonts w:ascii="Times New Roman" w:hAnsi="Times New Roman"/>
                <w:sz w:val="20"/>
                <w:szCs w:val="20"/>
              </w:rPr>
              <w:t>1600</w:t>
            </w:r>
          </w:p>
        </w:tc>
        <w:tc>
          <w:tcPr>
            <w:tcW w:w="2070" w:type="dxa"/>
            <w:tcBorders>
              <w:top w:val="nil"/>
              <w:left w:val="nil"/>
              <w:bottom w:val="single" w:sz="4" w:space="0" w:color="auto"/>
              <w:right w:val="single" w:sz="4" w:space="0" w:color="auto"/>
            </w:tcBorders>
            <w:shd w:val="clear" w:color="auto" w:fill="auto"/>
            <w:noWrap/>
            <w:vAlign w:val="bottom"/>
            <w:hideMark/>
          </w:tcPr>
          <w:p w14:paraId="6CA1FEAD" w14:textId="77777777" w:rsidR="008473FC" w:rsidRPr="00527EA8" w:rsidRDefault="008473FC" w:rsidP="004A0DC2">
            <w:pPr>
              <w:pStyle w:val="NoSpacing"/>
              <w:jc w:val="center"/>
              <w:rPr>
                <w:rFonts w:ascii="Times New Roman" w:hAnsi="Times New Roman"/>
                <w:sz w:val="20"/>
                <w:szCs w:val="20"/>
              </w:rPr>
            </w:pPr>
            <w:r w:rsidRPr="00527EA8">
              <w:rPr>
                <w:rFonts w:ascii="Times New Roman" w:hAnsi="Times New Roman"/>
                <w:sz w:val="20"/>
                <w:szCs w:val="20"/>
              </w:rPr>
              <w:t>3120</w:t>
            </w:r>
            <w:r w:rsidR="00D35AAD">
              <w:rPr>
                <w:rFonts w:ascii="Times New Roman" w:hAnsi="Times New Roman"/>
                <w:sz w:val="20"/>
                <w:szCs w:val="20"/>
              </w:rPr>
              <w:t>F</w:t>
            </w:r>
            <w:r w:rsidRPr="00527EA8">
              <w:rPr>
                <w:rFonts w:ascii="Times New Roman" w:hAnsi="Times New Roman"/>
                <w:sz w:val="20"/>
                <w:szCs w:val="20"/>
              </w:rPr>
              <w:t xml:space="preserve"> (1715</w:t>
            </w:r>
            <w:r w:rsidR="00D35AAD">
              <w:rPr>
                <w:rFonts w:ascii="Times New Roman" w:hAnsi="Times New Roman"/>
                <w:sz w:val="20"/>
                <w:szCs w:val="20"/>
              </w:rPr>
              <w:t>C</w:t>
            </w:r>
            <w:r w:rsidRPr="00527EA8">
              <w:rPr>
                <w:rFonts w:ascii="Times New Roman" w:hAnsi="Times New Roman"/>
                <w:sz w:val="20"/>
                <w:szCs w:val="20"/>
              </w:rPr>
              <w:t>)</w:t>
            </w:r>
          </w:p>
        </w:tc>
        <w:tc>
          <w:tcPr>
            <w:tcW w:w="2070" w:type="dxa"/>
            <w:tcBorders>
              <w:top w:val="nil"/>
              <w:left w:val="nil"/>
              <w:bottom w:val="single" w:sz="4" w:space="0" w:color="auto"/>
              <w:right w:val="single" w:sz="4" w:space="0" w:color="auto"/>
            </w:tcBorders>
            <w:shd w:val="clear" w:color="auto" w:fill="auto"/>
            <w:noWrap/>
            <w:vAlign w:val="bottom"/>
            <w:hideMark/>
          </w:tcPr>
          <w:p w14:paraId="1DB4190D" w14:textId="77777777" w:rsidR="008473FC" w:rsidRPr="00527EA8" w:rsidRDefault="008473FC" w:rsidP="004A0DC2">
            <w:pPr>
              <w:pStyle w:val="NoSpacing"/>
              <w:jc w:val="center"/>
              <w:rPr>
                <w:rFonts w:ascii="Times New Roman" w:hAnsi="Times New Roman"/>
                <w:sz w:val="20"/>
                <w:szCs w:val="20"/>
              </w:rPr>
            </w:pPr>
            <w:r w:rsidRPr="00527EA8">
              <w:rPr>
                <w:rFonts w:ascii="Times New Roman" w:hAnsi="Times New Roman"/>
                <w:sz w:val="20"/>
                <w:szCs w:val="20"/>
              </w:rPr>
              <w:t>1.2</w:t>
            </w:r>
            <w:r w:rsidR="008B2A8A">
              <w:rPr>
                <w:rFonts w:ascii="Times New Roman" w:hAnsi="Times New Roman"/>
                <w:sz w:val="20"/>
                <w:szCs w:val="20"/>
              </w:rPr>
              <w:t>‒</w:t>
            </w:r>
            <w:r w:rsidRPr="00527EA8">
              <w:rPr>
                <w:rFonts w:ascii="Times New Roman" w:hAnsi="Times New Roman"/>
                <w:sz w:val="20"/>
                <w:szCs w:val="20"/>
              </w:rPr>
              <w:t>1.5</w:t>
            </w:r>
          </w:p>
        </w:tc>
      </w:tr>
      <w:tr w:rsidR="008473FC" w:rsidRPr="00527EA8" w14:paraId="42B9FC28" w14:textId="77777777" w:rsidTr="00A372BE">
        <w:trPr>
          <w:trHeight w:val="131"/>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14:paraId="1042B306" w14:textId="77777777" w:rsidR="008473FC" w:rsidRPr="00527EA8" w:rsidRDefault="008473FC" w:rsidP="004A0DC2">
            <w:pPr>
              <w:pStyle w:val="NoSpacing"/>
              <w:rPr>
                <w:rFonts w:ascii="Times New Roman" w:hAnsi="Times New Roman"/>
                <w:sz w:val="20"/>
                <w:szCs w:val="20"/>
              </w:rPr>
            </w:pPr>
            <w:r w:rsidRPr="00527EA8">
              <w:rPr>
                <w:rFonts w:ascii="Times New Roman" w:hAnsi="Times New Roman"/>
                <w:sz w:val="20"/>
                <w:szCs w:val="20"/>
              </w:rPr>
              <w:t xml:space="preserve">Fireclay </w:t>
            </w:r>
          </w:p>
        </w:tc>
        <w:tc>
          <w:tcPr>
            <w:tcW w:w="1676" w:type="dxa"/>
            <w:tcBorders>
              <w:top w:val="nil"/>
              <w:left w:val="nil"/>
              <w:bottom w:val="single" w:sz="4" w:space="0" w:color="auto"/>
              <w:right w:val="single" w:sz="4" w:space="0" w:color="auto"/>
            </w:tcBorders>
            <w:shd w:val="clear" w:color="auto" w:fill="auto"/>
            <w:noWrap/>
            <w:vAlign w:val="bottom"/>
            <w:hideMark/>
          </w:tcPr>
          <w:p w14:paraId="69DAAC7E" w14:textId="77777777" w:rsidR="008473FC" w:rsidRPr="00527EA8" w:rsidRDefault="008473FC" w:rsidP="004A0DC2">
            <w:pPr>
              <w:pStyle w:val="NoSpacing"/>
              <w:rPr>
                <w:rFonts w:ascii="Times New Roman" w:hAnsi="Times New Roman"/>
                <w:sz w:val="20"/>
                <w:szCs w:val="20"/>
              </w:rPr>
            </w:pPr>
            <w:r w:rsidRPr="00527EA8">
              <w:rPr>
                <w:rFonts w:ascii="Times New Roman" w:hAnsi="Times New Roman"/>
                <w:sz w:val="20"/>
                <w:szCs w:val="20"/>
              </w:rPr>
              <w:t>50</w:t>
            </w:r>
            <w:r w:rsidR="008B2A8A">
              <w:rPr>
                <w:rFonts w:ascii="Times New Roman" w:hAnsi="Times New Roman"/>
                <w:sz w:val="20"/>
                <w:szCs w:val="20"/>
              </w:rPr>
              <w:t>‒</w:t>
            </w:r>
            <w:r w:rsidRPr="00527EA8">
              <w:rPr>
                <w:rFonts w:ascii="Times New Roman" w:hAnsi="Times New Roman"/>
                <w:sz w:val="20"/>
                <w:szCs w:val="20"/>
              </w:rPr>
              <w:t xml:space="preserve">90 </w:t>
            </w:r>
            <w:proofErr w:type="spellStart"/>
            <w:r w:rsidRPr="00527EA8">
              <w:rPr>
                <w:rFonts w:ascii="Times New Roman" w:hAnsi="Times New Roman"/>
                <w:sz w:val="20"/>
                <w:szCs w:val="20"/>
              </w:rPr>
              <w:t>wt</w:t>
            </w:r>
            <w:proofErr w:type="spellEnd"/>
            <w:r w:rsidRPr="00527EA8">
              <w:rPr>
                <w:rFonts w:ascii="Times New Roman" w:hAnsi="Times New Roman"/>
                <w:sz w:val="20"/>
                <w:szCs w:val="20"/>
              </w:rPr>
              <w:t>% Al</w:t>
            </w:r>
            <w:r w:rsidRPr="00527EA8">
              <w:rPr>
                <w:rFonts w:ascii="Times New Roman" w:hAnsi="Times New Roman"/>
                <w:sz w:val="20"/>
                <w:szCs w:val="20"/>
                <w:vertAlign w:val="subscript"/>
              </w:rPr>
              <w:t>2</w:t>
            </w:r>
            <w:r w:rsidRPr="00527EA8">
              <w:rPr>
                <w:rFonts w:ascii="Times New Roman" w:hAnsi="Times New Roman"/>
                <w:sz w:val="20"/>
                <w:szCs w:val="20"/>
              </w:rPr>
              <w:t>O</w:t>
            </w:r>
            <w:r w:rsidRPr="00527EA8">
              <w:rPr>
                <w:rFonts w:ascii="Times New Roman" w:hAnsi="Times New Roman"/>
                <w:sz w:val="20"/>
                <w:szCs w:val="20"/>
                <w:vertAlign w:val="subscript"/>
              </w:rPr>
              <w:t>3</w:t>
            </w:r>
          </w:p>
        </w:tc>
        <w:tc>
          <w:tcPr>
            <w:tcW w:w="1350" w:type="dxa"/>
            <w:tcBorders>
              <w:top w:val="nil"/>
              <w:left w:val="nil"/>
              <w:bottom w:val="single" w:sz="4" w:space="0" w:color="auto"/>
              <w:right w:val="single" w:sz="4" w:space="0" w:color="auto"/>
            </w:tcBorders>
            <w:shd w:val="clear" w:color="auto" w:fill="auto"/>
            <w:noWrap/>
            <w:vAlign w:val="bottom"/>
            <w:hideMark/>
          </w:tcPr>
          <w:p w14:paraId="05184A46" w14:textId="77777777" w:rsidR="008473FC" w:rsidRPr="00527EA8" w:rsidRDefault="008473FC" w:rsidP="004A0DC2">
            <w:pPr>
              <w:pStyle w:val="NoSpacing"/>
              <w:jc w:val="center"/>
              <w:rPr>
                <w:rFonts w:ascii="Times New Roman" w:hAnsi="Times New Roman"/>
                <w:sz w:val="20"/>
                <w:szCs w:val="20"/>
              </w:rPr>
            </w:pPr>
            <w:r w:rsidRPr="00527EA8">
              <w:rPr>
                <w:rFonts w:ascii="Times New Roman" w:hAnsi="Times New Roman"/>
                <w:sz w:val="20"/>
                <w:szCs w:val="20"/>
              </w:rPr>
              <w:t>2400</w:t>
            </w:r>
          </w:p>
        </w:tc>
        <w:tc>
          <w:tcPr>
            <w:tcW w:w="2070" w:type="dxa"/>
            <w:tcBorders>
              <w:top w:val="nil"/>
              <w:left w:val="nil"/>
              <w:bottom w:val="single" w:sz="4" w:space="0" w:color="auto"/>
              <w:right w:val="single" w:sz="4" w:space="0" w:color="auto"/>
            </w:tcBorders>
            <w:shd w:val="clear" w:color="auto" w:fill="auto"/>
            <w:noWrap/>
            <w:vAlign w:val="bottom"/>
            <w:hideMark/>
          </w:tcPr>
          <w:p w14:paraId="0FE61382" w14:textId="77777777" w:rsidR="008473FC" w:rsidRPr="00527EA8" w:rsidRDefault="008473FC" w:rsidP="004A0DC2">
            <w:pPr>
              <w:pStyle w:val="NoSpacing"/>
              <w:jc w:val="center"/>
              <w:rPr>
                <w:rFonts w:ascii="Times New Roman" w:hAnsi="Times New Roman"/>
                <w:sz w:val="20"/>
                <w:szCs w:val="20"/>
              </w:rPr>
            </w:pPr>
            <w:r w:rsidRPr="00527EA8">
              <w:rPr>
                <w:rFonts w:ascii="Times New Roman" w:hAnsi="Times New Roman"/>
                <w:sz w:val="20"/>
                <w:szCs w:val="20"/>
              </w:rPr>
              <w:t>3400</w:t>
            </w:r>
            <w:r w:rsidR="00A372BE">
              <w:rPr>
                <w:rFonts w:ascii="Times New Roman" w:hAnsi="Times New Roman"/>
                <w:sz w:val="20"/>
                <w:szCs w:val="20"/>
              </w:rPr>
              <w:t>F</w:t>
            </w:r>
            <w:r w:rsidRPr="00527EA8">
              <w:rPr>
                <w:rFonts w:ascii="Times New Roman" w:hAnsi="Times New Roman"/>
                <w:sz w:val="20"/>
                <w:szCs w:val="20"/>
              </w:rPr>
              <w:t xml:space="preserve"> (1871</w:t>
            </w:r>
            <w:r w:rsidR="00A372BE">
              <w:rPr>
                <w:rFonts w:ascii="Times New Roman" w:hAnsi="Times New Roman"/>
                <w:sz w:val="20"/>
                <w:szCs w:val="20"/>
              </w:rPr>
              <w:t>C</w:t>
            </w:r>
            <w:r w:rsidRPr="00527EA8">
              <w:rPr>
                <w:rFonts w:ascii="Times New Roman" w:hAnsi="Times New Roman"/>
                <w:sz w:val="20"/>
                <w:szCs w:val="20"/>
              </w:rPr>
              <w:t>)</w:t>
            </w:r>
          </w:p>
        </w:tc>
        <w:tc>
          <w:tcPr>
            <w:tcW w:w="2070" w:type="dxa"/>
            <w:tcBorders>
              <w:top w:val="nil"/>
              <w:left w:val="nil"/>
              <w:bottom w:val="single" w:sz="4" w:space="0" w:color="auto"/>
              <w:right w:val="single" w:sz="4" w:space="0" w:color="auto"/>
            </w:tcBorders>
            <w:shd w:val="clear" w:color="auto" w:fill="auto"/>
            <w:noWrap/>
            <w:vAlign w:val="bottom"/>
            <w:hideMark/>
          </w:tcPr>
          <w:p w14:paraId="08871EEC" w14:textId="77777777" w:rsidR="008473FC" w:rsidRPr="00527EA8" w:rsidRDefault="008473FC" w:rsidP="004A0DC2">
            <w:pPr>
              <w:pStyle w:val="NoSpacing"/>
              <w:jc w:val="center"/>
              <w:rPr>
                <w:rFonts w:ascii="Times New Roman" w:hAnsi="Times New Roman"/>
                <w:sz w:val="20"/>
                <w:szCs w:val="20"/>
              </w:rPr>
            </w:pPr>
            <w:r w:rsidRPr="00527EA8">
              <w:rPr>
                <w:rFonts w:ascii="Times New Roman" w:hAnsi="Times New Roman"/>
                <w:sz w:val="20"/>
                <w:szCs w:val="20"/>
              </w:rPr>
              <w:t>1.4</w:t>
            </w:r>
          </w:p>
        </w:tc>
      </w:tr>
      <w:tr w:rsidR="008473FC" w:rsidRPr="00527EA8" w14:paraId="6CD250CE" w14:textId="77777777" w:rsidTr="00A372BE">
        <w:trPr>
          <w:trHeight w:val="131"/>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14:paraId="740B5BC0" w14:textId="77777777" w:rsidR="008473FC" w:rsidRPr="00527EA8" w:rsidRDefault="00762149" w:rsidP="004A0DC2">
            <w:pPr>
              <w:pStyle w:val="NoSpacing"/>
              <w:rPr>
                <w:rFonts w:ascii="Times New Roman" w:hAnsi="Times New Roman"/>
                <w:sz w:val="20"/>
                <w:szCs w:val="20"/>
              </w:rPr>
            </w:pPr>
            <w:r>
              <w:rPr>
                <w:rFonts w:ascii="Times New Roman" w:hAnsi="Times New Roman"/>
                <w:sz w:val="20"/>
                <w:szCs w:val="20"/>
              </w:rPr>
              <w:t xml:space="preserve">Magnesia </w:t>
            </w:r>
            <w:r w:rsidR="00A372BE">
              <w:rPr>
                <w:rFonts w:ascii="Times New Roman" w:hAnsi="Times New Roman"/>
                <w:sz w:val="20"/>
                <w:szCs w:val="20"/>
              </w:rPr>
              <w:t>F</w:t>
            </w:r>
            <w:r>
              <w:rPr>
                <w:rFonts w:ascii="Times New Roman" w:hAnsi="Times New Roman"/>
                <w:sz w:val="20"/>
                <w:szCs w:val="20"/>
              </w:rPr>
              <w:t>iber</w:t>
            </w:r>
            <w:r w:rsidR="008473FC" w:rsidRPr="00527EA8">
              <w:rPr>
                <w:rFonts w:ascii="Times New Roman" w:hAnsi="Times New Roman"/>
                <w:sz w:val="20"/>
                <w:szCs w:val="20"/>
              </w:rPr>
              <w:t>board</w:t>
            </w:r>
          </w:p>
        </w:tc>
        <w:tc>
          <w:tcPr>
            <w:tcW w:w="1676" w:type="dxa"/>
            <w:tcBorders>
              <w:top w:val="nil"/>
              <w:left w:val="nil"/>
              <w:bottom w:val="single" w:sz="4" w:space="0" w:color="auto"/>
              <w:right w:val="single" w:sz="4" w:space="0" w:color="auto"/>
            </w:tcBorders>
            <w:shd w:val="clear" w:color="auto" w:fill="auto"/>
            <w:noWrap/>
            <w:vAlign w:val="bottom"/>
            <w:hideMark/>
          </w:tcPr>
          <w:p w14:paraId="72CBD10E" w14:textId="77777777" w:rsidR="008473FC" w:rsidRPr="00527EA8" w:rsidRDefault="008473FC" w:rsidP="004A0DC2">
            <w:pPr>
              <w:pStyle w:val="NoSpacing"/>
              <w:rPr>
                <w:rFonts w:ascii="Times New Roman" w:hAnsi="Times New Roman"/>
                <w:sz w:val="20"/>
                <w:szCs w:val="20"/>
              </w:rPr>
            </w:pPr>
            <w:r w:rsidRPr="00527EA8">
              <w:rPr>
                <w:rFonts w:ascii="Times New Roman" w:hAnsi="Times New Roman"/>
                <w:sz w:val="20"/>
                <w:szCs w:val="20"/>
              </w:rPr>
              <w:t xml:space="preserve">90+ </w:t>
            </w:r>
            <w:proofErr w:type="spellStart"/>
            <w:r w:rsidRPr="00527EA8">
              <w:rPr>
                <w:rFonts w:ascii="Times New Roman" w:hAnsi="Times New Roman"/>
                <w:sz w:val="20"/>
                <w:szCs w:val="20"/>
              </w:rPr>
              <w:t>wt</w:t>
            </w:r>
            <w:proofErr w:type="spellEnd"/>
            <w:r w:rsidRPr="00527EA8">
              <w:rPr>
                <w:rFonts w:ascii="Times New Roman" w:hAnsi="Times New Roman"/>
                <w:sz w:val="20"/>
                <w:szCs w:val="20"/>
              </w:rPr>
              <w:t>% MgO</w:t>
            </w:r>
          </w:p>
        </w:tc>
        <w:tc>
          <w:tcPr>
            <w:tcW w:w="1350" w:type="dxa"/>
            <w:tcBorders>
              <w:top w:val="nil"/>
              <w:left w:val="nil"/>
              <w:bottom w:val="single" w:sz="4" w:space="0" w:color="auto"/>
              <w:right w:val="single" w:sz="4" w:space="0" w:color="auto"/>
            </w:tcBorders>
            <w:shd w:val="clear" w:color="auto" w:fill="auto"/>
            <w:noWrap/>
            <w:vAlign w:val="bottom"/>
            <w:hideMark/>
          </w:tcPr>
          <w:p w14:paraId="101FED1E" w14:textId="77777777" w:rsidR="008473FC" w:rsidRPr="00527EA8" w:rsidRDefault="008473FC" w:rsidP="004A0DC2">
            <w:pPr>
              <w:pStyle w:val="NoSpacing"/>
              <w:jc w:val="center"/>
              <w:rPr>
                <w:rFonts w:ascii="Times New Roman" w:hAnsi="Times New Roman"/>
                <w:sz w:val="20"/>
                <w:szCs w:val="20"/>
              </w:rPr>
            </w:pPr>
            <w:r w:rsidRPr="00527EA8">
              <w:rPr>
                <w:rFonts w:ascii="Times New Roman" w:hAnsi="Times New Roman"/>
                <w:sz w:val="20"/>
                <w:szCs w:val="20"/>
              </w:rPr>
              <w:t>1400</w:t>
            </w:r>
          </w:p>
        </w:tc>
        <w:tc>
          <w:tcPr>
            <w:tcW w:w="2070" w:type="dxa"/>
            <w:tcBorders>
              <w:top w:val="nil"/>
              <w:left w:val="nil"/>
              <w:bottom w:val="single" w:sz="4" w:space="0" w:color="auto"/>
              <w:right w:val="single" w:sz="4" w:space="0" w:color="auto"/>
            </w:tcBorders>
            <w:shd w:val="clear" w:color="auto" w:fill="auto"/>
            <w:noWrap/>
            <w:vAlign w:val="bottom"/>
            <w:hideMark/>
          </w:tcPr>
          <w:p w14:paraId="33D84216" w14:textId="77777777" w:rsidR="008473FC" w:rsidRPr="00527EA8" w:rsidRDefault="008473FC" w:rsidP="004A0DC2">
            <w:pPr>
              <w:pStyle w:val="NoSpacing"/>
              <w:jc w:val="center"/>
              <w:rPr>
                <w:rFonts w:ascii="Times New Roman" w:hAnsi="Times New Roman"/>
                <w:sz w:val="20"/>
                <w:szCs w:val="20"/>
              </w:rPr>
            </w:pPr>
            <w:r w:rsidRPr="00527EA8">
              <w:rPr>
                <w:rFonts w:ascii="Times New Roman" w:hAnsi="Times New Roman"/>
                <w:sz w:val="20"/>
                <w:szCs w:val="20"/>
              </w:rPr>
              <w:t>3980</w:t>
            </w:r>
            <w:r w:rsidR="00A372BE">
              <w:rPr>
                <w:rFonts w:ascii="Times New Roman" w:hAnsi="Times New Roman"/>
                <w:sz w:val="20"/>
                <w:szCs w:val="20"/>
              </w:rPr>
              <w:t>F</w:t>
            </w:r>
            <w:r w:rsidRPr="00527EA8">
              <w:rPr>
                <w:rFonts w:ascii="Times New Roman" w:hAnsi="Times New Roman"/>
                <w:sz w:val="20"/>
                <w:szCs w:val="20"/>
              </w:rPr>
              <w:t xml:space="preserve"> (2193</w:t>
            </w:r>
            <w:r w:rsidR="00A372BE">
              <w:rPr>
                <w:rFonts w:ascii="Times New Roman" w:hAnsi="Times New Roman"/>
                <w:sz w:val="20"/>
                <w:szCs w:val="20"/>
              </w:rPr>
              <w:t>C</w:t>
            </w:r>
            <w:r w:rsidRPr="00527EA8">
              <w:rPr>
                <w:rFonts w:ascii="Times New Roman" w:hAnsi="Times New Roman"/>
                <w:sz w:val="20"/>
                <w:szCs w:val="20"/>
              </w:rPr>
              <w:t>)</w:t>
            </w:r>
          </w:p>
        </w:tc>
        <w:tc>
          <w:tcPr>
            <w:tcW w:w="2070" w:type="dxa"/>
            <w:tcBorders>
              <w:top w:val="nil"/>
              <w:left w:val="nil"/>
              <w:bottom w:val="single" w:sz="4" w:space="0" w:color="auto"/>
              <w:right w:val="single" w:sz="4" w:space="0" w:color="auto"/>
            </w:tcBorders>
            <w:shd w:val="clear" w:color="auto" w:fill="auto"/>
            <w:noWrap/>
            <w:vAlign w:val="bottom"/>
            <w:hideMark/>
          </w:tcPr>
          <w:p w14:paraId="0A6C0396" w14:textId="77777777" w:rsidR="008473FC" w:rsidRPr="00527EA8" w:rsidRDefault="008473FC" w:rsidP="004A0DC2">
            <w:pPr>
              <w:pStyle w:val="NoSpacing"/>
              <w:jc w:val="center"/>
              <w:rPr>
                <w:rFonts w:ascii="Times New Roman" w:hAnsi="Times New Roman"/>
                <w:sz w:val="20"/>
                <w:szCs w:val="20"/>
              </w:rPr>
            </w:pPr>
            <w:r w:rsidRPr="00527EA8">
              <w:rPr>
                <w:rFonts w:ascii="Times New Roman" w:hAnsi="Times New Roman"/>
                <w:sz w:val="20"/>
                <w:szCs w:val="20"/>
              </w:rPr>
              <w:t>0.7</w:t>
            </w:r>
            <w:r w:rsidR="008B2A8A">
              <w:rPr>
                <w:rFonts w:ascii="Times New Roman" w:hAnsi="Times New Roman"/>
                <w:sz w:val="20"/>
                <w:szCs w:val="20"/>
              </w:rPr>
              <w:t>‒</w:t>
            </w:r>
            <w:r w:rsidRPr="00527EA8">
              <w:rPr>
                <w:rFonts w:ascii="Times New Roman" w:hAnsi="Times New Roman"/>
                <w:sz w:val="20"/>
                <w:szCs w:val="20"/>
              </w:rPr>
              <w:t>0.9</w:t>
            </w:r>
          </w:p>
        </w:tc>
      </w:tr>
      <w:tr w:rsidR="008473FC" w:rsidRPr="00527EA8" w14:paraId="100BDCDF" w14:textId="77777777" w:rsidTr="00A372BE">
        <w:trPr>
          <w:trHeight w:val="131"/>
          <w:jc w:val="center"/>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14:paraId="5B72DB55" w14:textId="77777777" w:rsidR="008473FC" w:rsidRPr="00527EA8" w:rsidRDefault="008473FC" w:rsidP="004A0DC2">
            <w:pPr>
              <w:pStyle w:val="NoSpacing"/>
              <w:rPr>
                <w:rFonts w:ascii="Times New Roman" w:hAnsi="Times New Roman"/>
                <w:sz w:val="20"/>
                <w:szCs w:val="20"/>
              </w:rPr>
            </w:pPr>
            <w:r w:rsidRPr="00527EA8">
              <w:rPr>
                <w:rFonts w:ascii="Times New Roman" w:hAnsi="Times New Roman"/>
                <w:sz w:val="20"/>
                <w:szCs w:val="20"/>
              </w:rPr>
              <w:t>Alumina</w:t>
            </w:r>
          </w:p>
        </w:tc>
        <w:tc>
          <w:tcPr>
            <w:tcW w:w="1676" w:type="dxa"/>
            <w:tcBorders>
              <w:top w:val="nil"/>
              <w:left w:val="nil"/>
              <w:bottom w:val="single" w:sz="4" w:space="0" w:color="auto"/>
              <w:right w:val="single" w:sz="4" w:space="0" w:color="auto"/>
            </w:tcBorders>
            <w:shd w:val="clear" w:color="auto" w:fill="auto"/>
            <w:noWrap/>
            <w:vAlign w:val="bottom"/>
            <w:hideMark/>
          </w:tcPr>
          <w:p w14:paraId="60552651" w14:textId="77777777" w:rsidR="008473FC" w:rsidRPr="00527EA8" w:rsidRDefault="008473FC" w:rsidP="004A0DC2">
            <w:pPr>
              <w:pStyle w:val="NoSpacing"/>
              <w:rPr>
                <w:rFonts w:ascii="Times New Roman" w:hAnsi="Times New Roman"/>
                <w:sz w:val="20"/>
                <w:szCs w:val="20"/>
              </w:rPr>
            </w:pPr>
            <w:r w:rsidRPr="00527EA8">
              <w:rPr>
                <w:rFonts w:ascii="Times New Roman" w:hAnsi="Times New Roman"/>
                <w:sz w:val="20"/>
                <w:szCs w:val="20"/>
              </w:rPr>
              <w:t xml:space="preserve">90+ </w:t>
            </w:r>
            <w:proofErr w:type="spellStart"/>
            <w:r w:rsidRPr="00527EA8">
              <w:rPr>
                <w:rFonts w:ascii="Times New Roman" w:hAnsi="Times New Roman"/>
                <w:sz w:val="20"/>
                <w:szCs w:val="20"/>
              </w:rPr>
              <w:t>wt</w:t>
            </w:r>
            <w:proofErr w:type="spellEnd"/>
            <w:r w:rsidRPr="00527EA8">
              <w:rPr>
                <w:rFonts w:ascii="Times New Roman" w:hAnsi="Times New Roman"/>
                <w:sz w:val="20"/>
                <w:szCs w:val="20"/>
              </w:rPr>
              <w:t>% Al</w:t>
            </w:r>
            <w:r w:rsidRPr="00527EA8">
              <w:rPr>
                <w:rFonts w:ascii="Times New Roman" w:hAnsi="Times New Roman"/>
                <w:sz w:val="20"/>
                <w:szCs w:val="20"/>
                <w:vertAlign w:val="subscript"/>
              </w:rPr>
              <w:t>2</w:t>
            </w:r>
            <w:r w:rsidRPr="00527EA8">
              <w:rPr>
                <w:rFonts w:ascii="Times New Roman" w:hAnsi="Times New Roman"/>
                <w:sz w:val="20"/>
                <w:szCs w:val="20"/>
              </w:rPr>
              <w:t>O</w:t>
            </w:r>
            <w:r w:rsidRPr="00527EA8">
              <w:rPr>
                <w:rFonts w:ascii="Times New Roman" w:hAnsi="Times New Roman"/>
                <w:sz w:val="20"/>
                <w:szCs w:val="20"/>
                <w:vertAlign w:val="subscript"/>
              </w:rPr>
              <w:t>3</w:t>
            </w:r>
          </w:p>
        </w:tc>
        <w:tc>
          <w:tcPr>
            <w:tcW w:w="1350" w:type="dxa"/>
            <w:tcBorders>
              <w:top w:val="nil"/>
              <w:left w:val="nil"/>
              <w:bottom w:val="single" w:sz="4" w:space="0" w:color="auto"/>
              <w:right w:val="single" w:sz="4" w:space="0" w:color="auto"/>
            </w:tcBorders>
            <w:shd w:val="clear" w:color="auto" w:fill="auto"/>
            <w:noWrap/>
            <w:vAlign w:val="bottom"/>
            <w:hideMark/>
          </w:tcPr>
          <w:p w14:paraId="3DABD47B" w14:textId="77777777" w:rsidR="008473FC" w:rsidRPr="00527EA8" w:rsidRDefault="008473FC" w:rsidP="004A0DC2">
            <w:pPr>
              <w:pStyle w:val="NoSpacing"/>
              <w:jc w:val="center"/>
              <w:rPr>
                <w:rFonts w:ascii="Times New Roman" w:hAnsi="Times New Roman"/>
                <w:sz w:val="20"/>
                <w:szCs w:val="20"/>
              </w:rPr>
            </w:pPr>
            <w:r w:rsidRPr="00527EA8">
              <w:rPr>
                <w:rFonts w:ascii="Times New Roman" w:hAnsi="Times New Roman"/>
                <w:sz w:val="20"/>
                <w:szCs w:val="20"/>
              </w:rPr>
              <w:t>2400</w:t>
            </w:r>
          </w:p>
        </w:tc>
        <w:tc>
          <w:tcPr>
            <w:tcW w:w="2070" w:type="dxa"/>
            <w:tcBorders>
              <w:top w:val="nil"/>
              <w:left w:val="nil"/>
              <w:bottom w:val="single" w:sz="4" w:space="0" w:color="auto"/>
              <w:right w:val="single" w:sz="4" w:space="0" w:color="auto"/>
            </w:tcBorders>
            <w:shd w:val="clear" w:color="auto" w:fill="auto"/>
            <w:noWrap/>
            <w:vAlign w:val="bottom"/>
            <w:hideMark/>
          </w:tcPr>
          <w:p w14:paraId="04035179" w14:textId="77777777" w:rsidR="008473FC" w:rsidRPr="00527EA8" w:rsidRDefault="008473FC" w:rsidP="004A0DC2">
            <w:pPr>
              <w:pStyle w:val="NoSpacing"/>
              <w:jc w:val="center"/>
              <w:rPr>
                <w:rFonts w:ascii="Times New Roman" w:hAnsi="Times New Roman"/>
                <w:sz w:val="20"/>
                <w:szCs w:val="20"/>
              </w:rPr>
            </w:pPr>
            <w:r w:rsidRPr="00527EA8">
              <w:rPr>
                <w:rFonts w:ascii="Times New Roman" w:hAnsi="Times New Roman"/>
                <w:sz w:val="20"/>
                <w:szCs w:val="20"/>
              </w:rPr>
              <w:t>3720</w:t>
            </w:r>
            <w:r w:rsidR="00A372BE">
              <w:rPr>
                <w:rFonts w:ascii="Times New Roman" w:hAnsi="Times New Roman"/>
                <w:sz w:val="20"/>
                <w:szCs w:val="20"/>
              </w:rPr>
              <w:t>F</w:t>
            </w:r>
            <w:r w:rsidRPr="00527EA8">
              <w:rPr>
                <w:rFonts w:ascii="Times New Roman" w:hAnsi="Times New Roman"/>
                <w:sz w:val="20"/>
                <w:szCs w:val="20"/>
              </w:rPr>
              <w:t xml:space="preserve"> (2048</w:t>
            </w:r>
            <w:r w:rsidR="00A372BE">
              <w:rPr>
                <w:rFonts w:ascii="Times New Roman" w:hAnsi="Times New Roman"/>
                <w:sz w:val="20"/>
                <w:szCs w:val="20"/>
              </w:rPr>
              <w:t>C</w:t>
            </w:r>
            <w:r w:rsidRPr="00527EA8">
              <w:rPr>
                <w:rFonts w:ascii="Times New Roman" w:hAnsi="Times New Roman"/>
                <w:sz w:val="20"/>
                <w:szCs w:val="20"/>
              </w:rPr>
              <w:t>)</w:t>
            </w:r>
          </w:p>
        </w:tc>
        <w:tc>
          <w:tcPr>
            <w:tcW w:w="2070" w:type="dxa"/>
            <w:tcBorders>
              <w:top w:val="nil"/>
              <w:left w:val="nil"/>
              <w:bottom w:val="single" w:sz="4" w:space="0" w:color="auto"/>
              <w:right w:val="single" w:sz="4" w:space="0" w:color="auto"/>
            </w:tcBorders>
            <w:shd w:val="clear" w:color="auto" w:fill="auto"/>
            <w:noWrap/>
            <w:vAlign w:val="bottom"/>
            <w:hideMark/>
          </w:tcPr>
          <w:p w14:paraId="0E5939D2" w14:textId="77777777" w:rsidR="008473FC" w:rsidRPr="00527EA8" w:rsidRDefault="008473FC" w:rsidP="004A0DC2">
            <w:pPr>
              <w:pStyle w:val="NoSpacing"/>
              <w:jc w:val="center"/>
              <w:rPr>
                <w:rFonts w:ascii="Times New Roman" w:hAnsi="Times New Roman"/>
                <w:sz w:val="20"/>
                <w:szCs w:val="20"/>
              </w:rPr>
            </w:pPr>
            <w:r w:rsidRPr="00527EA8">
              <w:rPr>
                <w:rFonts w:ascii="Times New Roman" w:hAnsi="Times New Roman"/>
                <w:sz w:val="20"/>
                <w:szCs w:val="20"/>
              </w:rPr>
              <w:t>2.2</w:t>
            </w:r>
            <w:r w:rsidR="008B2A8A">
              <w:rPr>
                <w:rFonts w:ascii="Times New Roman" w:hAnsi="Times New Roman"/>
                <w:sz w:val="20"/>
                <w:szCs w:val="20"/>
              </w:rPr>
              <w:t>‒</w:t>
            </w:r>
            <w:r w:rsidRPr="00527EA8">
              <w:rPr>
                <w:rFonts w:ascii="Times New Roman" w:hAnsi="Times New Roman"/>
                <w:sz w:val="20"/>
                <w:szCs w:val="20"/>
              </w:rPr>
              <w:t>2.9</w:t>
            </w:r>
          </w:p>
        </w:tc>
      </w:tr>
    </w:tbl>
    <w:p w14:paraId="3225179A" w14:textId="77777777" w:rsidR="008473FC" w:rsidRDefault="008473FC" w:rsidP="008473FC">
      <w:pPr>
        <w:pStyle w:val="Head1"/>
        <w:sectPr w:rsidR="008473FC" w:rsidSect="004A0DC2">
          <w:type w:val="continuous"/>
          <w:pgSz w:w="12240" w:h="15840"/>
          <w:pgMar w:top="1080" w:right="1080" w:bottom="1080" w:left="1080" w:header="720" w:footer="720" w:gutter="0"/>
          <w:cols w:space="720"/>
          <w:docGrid w:linePitch="360"/>
        </w:sectPr>
      </w:pPr>
    </w:p>
    <w:p w14:paraId="54073873" w14:textId="77777777" w:rsidR="00527EA8" w:rsidRPr="005308E5" w:rsidRDefault="00CC450F" w:rsidP="00527EA8">
      <w:pPr>
        <w:autoSpaceDE w:val="0"/>
        <w:autoSpaceDN w:val="0"/>
        <w:adjustRightInd w:val="0"/>
        <w:rPr>
          <w:rFonts w:ascii="Times New Roman" w:eastAsia="Calibri" w:hAnsi="Times New Roman"/>
          <w:b/>
        </w:rPr>
      </w:pPr>
      <w:r w:rsidRPr="00527EA8">
        <w:rPr>
          <w:rFonts w:ascii="Times New Roman" w:hAnsi="Times New Roman"/>
          <w:color w:val="000000"/>
        </w:rPr>
        <w:lastRenderedPageBreak/>
        <w:t xml:space="preserve">A </w:t>
      </w:r>
      <w:proofErr w:type="gramStart"/>
      <w:r w:rsidRPr="00527EA8">
        <w:rPr>
          <w:rFonts w:ascii="Times New Roman" w:hAnsi="Times New Roman"/>
          <w:color w:val="000000"/>
        </w:rPr>
        <w:t>pre-fabricated</w:t>
      </w:r>
      <w:proofErr w:type="gramEnd"/>
      <w:r w:rsidRPr="00527EA8">
        <w:rPr>
          <w:rFonts w:ascii="Times New Roman" w:hAnsi="Times New Roman"/>
          <w:color w:val="000000"/>
        </w:rPr>
        <w:t xml:space="preserve"> porous castable alumina lining showed promise due to its low thermal conductivity</w:t>
      </w:r>
      <w:r w:rsidR="008D2241">
        <w:rPr>
          <w:rFonts w:ascii="Times New Roman" w:hAnsi="Times New Roman"/>
          <w:color w:val="000000"/>
        </w:rPr>
        <w:t xml:space="preserve">. </w:t>
      </w:r>
      <w:r w:rsidRPr="00527EA8">
        <w:rPr>
          <w:rFonts w:ascii="Times New Roman" w:hAnsi="Times New Roman"/>
          <w:color w:val="000000"/>
        </w:rPr>
        <w:t>However, it was not strong enough (crack formation</w:t>
      </w:r>
      <w:r w:rsidR="00762149">
        <w:rPr>
          <w:rFonts w:ascii="Times New Roman" w:hAnsi="Times New Roman"/>
          <w:color w:val="000000"/>
        </w:rPr>
        <w:t xml:space="preserve"> occurred</w:t>
      </w:r>
      <w:r w:rsidRPr="00527EA8">
        <w:rPr>
          <w:rFonts w:ascii="Times New Roman" w:hAnsi="Times New Roman"/>
          <w:color w:val="000000"/>
        </w:rPr>
        <w:t xml:space="preserve"> </w:t>
      </w:r>
      <w:r w:rsidR="00762149">
        <w:rPr>
          <w:rFonts w:ascii="Times New Roman" w:hAnsi="Times New Roman"/>
          <w:color w:val="000000"/>
        </w:rPr>
        <w:t>in</w:t>
      </w:r>
      <w:r w:rsidRPr="00527EA8">
        <w:rPr>
          <w:rFonts w:ascii="Times New Roman" w:hAnsi="Times New Roman"/>
          <w:color w:val="000000"/>
        </w:rPr>
        <w:t xml:space="preserve"> the bottom) to withstand the falling melt stream into the ladle during pouring</w:t>
      </w:r>
      <w:r w:rsidR="008D2241">
        <w:rPr>
          <w:rFonts w:ascii="Times New Roman" w:hAnsi="Times New Roman"/>
          <w:color w:val="000000"/>
        </w:rPr>
        <w:t>.</w:t>
      </w:r>
      <w:r w:rsidR="00F06BC0">
        <w:rPr>
          <w:rFonts w:ascii="Times New Roman" w:hAnsi="Times New Roman"/>
          <w:color w:val="000000"/>
        </w:rPr>
        <w:t xml:space="preserve"> </w:t>
      </w:r>
      <w:r w:rsidRPr="00527EA8">
        <w:rPr>
          <w:rFonts w:ascii="Times New Roman" w:hAnsi="Times New Roman"/>
          <w:color w:val="000000"/>
        </w:rPr>
        <w:t>The idea of increasing the porosity of the alumina-based linings in the previous study was applied for the development of the novel silica</w:t>
      </w:r>
      <w:r w:rsidR="00762149">
        <w:rPr>
          <w:rFonts w:ascii="Times New Roman" w:hAnsi="Times New Roman"/>
          <w:color w:val="000000"/>
        </w:rPr>
        <w:t>-</w:t>
      </w:r>
      <w:r w:rsidRPr="00527EA8">
        <w:rPr>
          <w:rFonts w:ascii="Times New Roman" w:hAnsi="Times New Roman"/>
          <w:color w:val="000000"/>
        </w:rPr>
        <w:t xml:space="preserve">based lining described in this </w:t>
      </w:r>
      <w:r w:rsidR="005308E5">
        <w:rPr>
          <w:rFonts w:ascii="Times New Roman" w:hAnsi="Times New Roman"/>
          <w:color w:val="000000"/>
        </w:rPr>
        <w:t>paper</w:t>
      </w:r>
      <w:r w:rsidRPr="00527EA8">
        <w:rPr>
          <w:rFonts w:ascii="Times New Roman" w:hAnsi="Times New Roman"/>
          <w:color w:val="000000"/>
        </w:rPr>
        <w:t>.</w:t>
      </w:r>
    </w:p>
    <w:p w14:paraId="340D74E3" w14:textId="77777777" w:rsidR="00EA1F38" w:rsidRDefault="00EA1F38" w:rsidP="00630A84">
      <w:pPr>
        <w:rPr>
          <w:rFonts w:ascii="Arial" w:hAnsi="Arial" w:cs="Arial"/>
          <w:b/>
        </w:rPr>
      </w:pPr>
    </w:p>
    <w:p w14:paraId="0349EB88" w14:textId="77777777" w:rsidR="00606142" w:rsidRDefault="00606142" w:rsidP="00630A84">
      <w:pPr>
        <w:rPr>
          <w:rFonts w:ascii="Arial" w:hAnsi="Arial" w:cs="Arial"/>
          <w:b/>
        </w:rPr>
      </w:pPr>
    </w:p>
    <w:p w14:paraId="45DD6353" w14:textId="77777777" w:rsidR="00882C33" w:rsidRPr="00C0448A" w:rsidRDefault="00527EA8" w:rsidP="00630A84">
      <w:pPr>
        <w:rPr>
          <w:rFonts w:ascii="Arial" w:hAnsi="Arial" w:cs="Arial"/>
          <w:b/>
        </w:rPr>
      </w:pPr>
      <w:r w:rsidRPr="00C0448A">
        <w:rPr>
          <w:rFonts w:ascii="Arial" w:hAnsi="Arial" w:cs="Arial"/>
          <w:b/>
        </w:rPr>
        <w:t>NOVEL LINING DESIGN CONCEPT</w:t>
      </w:r>
    </w:p>
    <w:p w14:paraId="5938335B" w14:textId="77777777" w:rsidR="00882C33" w:rsidRDefault="00882C33" w:rsidP="00630A84">
      <w:pPr>
        <w:rPr>
          <w:rFonts w:ascii="Times New Roman" w:hAnsi="Times New Roman"/>
        </w:rPr>
      </w:pPr>
    </w:p>
    <w:p w14:paraId="5C17107C" w14:textId="77777777" w:rsidR="00527EA8" w:rsidRPr="00B55645" w:rsidRDefault="00527EA8" w:rsidP="00527EA8">
      <w:pPr>
        <w:autoSpaceDE w:val="0"/>
        <w:autoSpaceDN w:val="0"/>
        <w:adjustRightInd w:val="0"/>
        <w:rPr>
          <w:rFonts w:ascii="Times New Roman" w:hAnsi="Times New Roman"/>
        </w:rPr>
      </w:pPr>
      <w:r w:rsidRPr="00527EA8">
        <w:rPr>
          <w:rFonts w:ascii="Times New Roman" w:hAnsi="Times New Roman"/>
          <w:color w:val="000000"/>
        </w:rPr>
        <w:t>Small foundry ladles designed to</w:t>
      </w:r>
      <w:r w:rsidR="005308E5">
        <w:rPr>
          <w:rFonts w:ascii="Times New Roman" w:hAnsi="Times New Roman"/>
          <w:color w:val="000000"/>
        </w:rPr>
        <w:t xml:space="preserve"> hold less than 450 kg (1000 </w:t>
      </w:r>
      <w:proofErr w:type="spellStart"/>
      <w:r w:rsidR="005308E5">
        <w:rPr>
          <w:rFonts w:ascii="Times New Roman" w:hAnsi="Times New Roman"/>
          <w:color w:val="000000"/>
        </w:rPr>
        <w:t>lb</w:t>
      </w:r>
      <w:proofErr w:type="spellEnd"/>
      <w:r w:rsidRPr="00527EA8">
        <w:rPr>
          <w:rFonts w:ascii="Times New Roman" w:hAnsi="Times New Roman"/>
          <w:color w:val="000000"/>
        </w:rPr>
        <w:t>) of liquid steel have a large surface</w:t>
      </w:r>
      <w:r w:rsidR="00762149">
        <w:rPr>
          <w:rFonts w:ascii="Times New Roman" w:hAnsi="Times New Roman"/>
          <w:color w:val="000000"/>
        </w:rPr>
        <w:t>-</w:t>
      </w:r>
      <w:r w:rsidRPr="00527EA8">
        <w:rPr>
          <w:rFonts w:ascii="Times New Roman" w:hAnsi="Times New Roman"/>
          <w:color w:val="000000"/>
        </w:rPr>
        <w:t>to</w:t>
      </w:r>
      <w:r w:rsidR="00762149">
        <w:rPr>
          <w:rFonts w:ascii="Times New Roman" w:hAnsi="Times New Roman"/>
          <w:color w:val="000000"/>
        </w:rPr>
        <w:t>-</w:t>
      </w:r>
      <w:r w:rsidRPr="00527EA8">
        <w:rPr>
          <w:rFonts w:ascii="Times New Roman" w:hAnsi="Times New Roman"/>
          <w:color w:val="000000"/>
        </w:rPr>
        <w:t>volume ratio</w:t>
      </w:r>
      <w:r w:rsidR="008D2241">
        <w:rPr>
          <w:rFonts w:ascii="Times New Roman" w:hAnsi="Times New Roman"/>
          <w:color w:val="000000"/>
        </w:rPr>
        <w:t>.</w:t>
      </w:r>
      <w:r w:rsidR="00F06BC0">
        <w:rPr>
          <w:rFonts w:ascii="Times New Roman" w:hAnsi="Times New Roman"/>
          <w:color w:val="000000"/>
        </w:rPr>
        <w:t xml:space="preserve"> </w:t>
      </w:r>
      <w:r w:rsidRPr="00527EA8">
        <w:rPr>
          <w:rFonts w:ascii="Times New Roman" w:hAnsi="Times New Roman"/>
          <w:color w:val="000000"/>
        </w:rPr>
        <w:t>These ladles are typically used for relatively short holding times (less than 10 minutes) with a minimal amount of aggressive slag</w:t>
      </w:r>
      <w:r w:rsidR="008D2241">
        <w:rPr>
          <w:rFonts w:ascii="Times New Roman" w:hAnsi="Times New Roman"/>
          <w:color w:val="000000"/>
        </w:rPr>
        <w:t>.</w:t>
      </w:r>
      <w:r w:rsidR="00F06BC0">
        <w:rPr>
          <w:rFonts w:ascii="Times New Roman" w:hAnsi="Times New Roman"/>
          <w:color w:val="000000"/>
        </w:rPr>
        <w:t xml:space="preserve"> </w:t>
      </w:r>
      <w:r w:rsidRPr="00527EA8">
        <w:rPr>
          <w:rFonts w:ascii="Times New Roman" w:hAnsi="Times New Roman"/>
          <w:color w:val="000000"/>
        </w:rPr>
        <w:t>Under these conditions, a lining with a high thermal diffusivity is the driving force of the rapid temperature drop after the melt is tapped into the ladle</w:t>
      </w:r>
      <w:r w:rsidR="008D2241">
        <w:rPr>
          <w:rFonts w:ascii="Times New Roman" w:hAnsi="Times New Roman"/>
          <w:color w:val="000000"/>
        </w:rPr>
        <w:t xml:space="preserve">. </w:t>
      </w:r>
      <w:r w:rsidRPr="00527EA8">
        <w:rPr>
          <w:rFonts w:ascii="Times New Roman" w:hAnsi="Times New Roman"/>
          <w:color w:val="000000"/>
        </w:rPr>
        <w:t xml:space="preserve">Silica sand ladle linings have been used in steel foundries for over 100 years because of the low cost and high </w:t>
      </w:r>
      <w:r w:rsidRPr="00527EA8">
        <w:rPr>
          <w:rFonts w:ascii="Times New Roman" w:hAnsi="Times New Roman"/>
          <w:bCs/>
          <w:color w:val="000000"/>
        </w:rPr>
        <w:t>chemical purity (above 93% SiO</w:t>
      </w:r>
      <w:r w:rsidRPr="00527EA8">
        <w:rPr>
          <w:rFonts w:ascii="Times New Roman" w:hAnsi="Times New Roman"/>
          <w:bCs/>
          <w:color w:val="000000"/>
          <w:vertAlign w:val="subscript"/>
        </w:rPr>
        <w:t>2</w:t>
      </w:r>
      <w:r w:rsidRPr="00527EA8">
        <w:rPr>
          <w:rFonts w:ascii="Times New Roman" w:hAnsi="Times New Roman"/>
          <w:bCs/>
          <w:color w:val="000000"/>
        </w:rPr>
        <w:t>)</w:t>
      </w:r>
      <w:r w:rsidR="008D2241">
        <w:rPr>
          <w:rFonts w:ascii="Times New Roman" w:hAnsi="Times New Roman"/>
          <w:bCs/>
          <w:color w:val="000000"/>
        </w:rPr>
        <w:t xml:space="preserve">. </w:t>
      </w:r>
      <w:r w:rsidRPr="00527EA8">
        <w:rPr>
          <w:rFonts w:ascii="Times New Roman" w:hAnsi="Times New Roman"/>
          <w:bCs/>
          <w:color w:val="000000"/>
        </w:rPr>
        <w:t>In comparison to other p</w:t>
      </w:r>
      <w:r w:rsidRPr="00527EA8">
        <w:rPr>
          <w:rFonts w:ascii="Times New Roman" w:hAnsi="Times New Roman"/>
          <w:color w:val="000000"/>
        </w:rPr>
        <w:t>olycrystalline ceramics used as traditional refractories, s</w:t>
      </w:r>
      <w:r w:rsidRPr="00527EA8">
        <w:rPr>
          <w:rFonts w:ascii="Times New Roman" w:hAnsi="Times New Roman"/>
          <w:bCs/>
          <w:color w:val="000000"/>
        </w:rPr>
        <w:t xml:space="preserve">ilica has </w:t>
      </w:r>
      <w:proofErr w:type="gramStart"/>
      <w:r w:rsidRPr="00527EA8">
        <w:rPr>
          <w:rFonts w:ascii="Times New Roman" w:hAnsi="Times New Roman"/>
          <w:bCs/>
          <w:color w:val="000000"/>
        </w:rPr>
        <w:t>an</w:t>
      </w:r>
      <w:proofErr w:type="gramEnd"/>
      <w:r w:rsidRPr="00527EA8">
        <w:rPr>
          <w:rFonts w:ascii="Times New Roman" w:hAnsi="Times New Roman"/>
          <w:bCs/>
          <w:color w:val="000000"/>
        </w:rPr>
        <w:t xml:space="preserve"> advantage of a relatively low thermal diffusivity</w:t>
      </w:r>
      <w:r w:rsidR="008D2241">
        <w:rPr>
          <w:rFonts w:ascii="Times New Roman" w:hAnsi="Times New Roman"/>
          <w:bCs/>
          <w:color w:val="000000"/>
        </w:rPr>
        <w:t xml:space="preserve">. </w:t>
      </w:r>
      <w:r w:rsidRPr="00527EA8">
        <w:rPr>
          <w:rFonts w:ascii="Times New Roman" w:hAnsi="Times New Roman"/>
          <w:bCs/>
          <w:color w:val="000000"/>
        </w:rPr>
        <w:t>Figure 1 shows the relationship between density and thermal conductivity of silica sand in comparison to other linings</w:t>
      </w:r>
      <w:r w:rsidRPr="00527EA8">
        <w:rPr>
          <w:rFonts w:ascii="Times New Roman" w:hAnsi="Times New Roman"/>
          <w:color w:val="000000"/>
        </w:rPr>
        <w:t>.</w:t>
      </w:r>
      <w:r w:rsidR="006608B5" w:rsidRPr="006608B5">
        <w:rPr>
          <w:rFonts w:ascii="Times New Roman" w:hAnsi="Times New Roman"/>
          <w:color w:val="000000"/>
          <w:vertAlign w:val="superscript"/>
        </w:rPr>
        <w:t>3</w:t>
      </w:r>
      <w:r w:rsidRPr="00527EA8">
        <w:rPr>
          <w:rFonts w:ascii="Times New Roman" w:hAnsi="Times New Roman"/>
          <w:color w:val="000000"/>
        </w:rPr>
        <w:t xml:space="preserve"> A silica lining has 2.2 to 3.4 times lower thermal conductivity than alumina castable refractories</w:t>
      </w:r>
      <w:r w:rsidR="008D2241">
        <w:rPr>
          <w:rFonts w:ascii="Times New Roman" w:hAnsi="Times New Roman"/>
          <w:color w:val="000000"/>
        </w:rPr>
        <w:t xml:space="preserve">. </w:t>
      </w:r>
      <w:r w:rsidRPr="00527EA8">
        <w:rPr>
          <w:rFonts w:ascii="Times New Roman" w:hAnsi="Times New Roman"/>
          <w:color w:val="000000"/>
        </w:rPr>
        <w:t>Silica refractories have a thermal conductivity closer to the magnesia fiber linings used in many foundries</w:t>
      </w:r>
      <w:r w:rsidR="008D2241">
        <w:rPr>
          <w:rFonts w:ascii="Times New Roman" w:hAnsi="Times New Roman"/>
          <w:color w:val="000000"/>
        </w:rPr>
        <w:t xml:space="preserve">. </w:t>
      </w:r>
      <w:r w:rsidRPr="00527EA8">
        <w:rPr>
          <w:rFonts w:ascii="Times New Roman" w:hAnsi="Times New Roman"/>
          <w:color w:val="000000"/>
        </w:rPr>
        <w:t>However</w:t>
      </w:r>
      <w:r w:rsidR="005308E5">
        <w:rPr>
          <w:rFonts w:ascii="Times New Roman" w:hAnsi="Times New Roman"/>
          <w:color w:val="000000"/>
        </w:rPr>
        <w:t>,</w:t>
      </w:r>
      <w:r w:rsidRPr="00527EA8">
        <w:rPr>
          <w:rFonts w:ascii="Times New Roman" w:hAnsi="Times New Roman"/>
          <w:color w:val="000000"/>
        </w:rPr>
        <w:t xml:space="preserve"> magnesia fiber lining cannot be used in the preheated condition because the binder disintegrates when exposed t</w:t>
      </w:r>
      <w:r w:rsidR="005308E5">
        <w:rPr>
          <w:rFonts w:ascii="Times New Roman" w:hAnsi="Times New Roman"/>
          <w:color w:val="000000"/>
        </w:rPr>
        <w:t xml:space="preserve">o high temperatures </w:t>
      </w:r>
      <w:r w:rsidR="00D35AAD">
        <w:rPr>
          <w:rFonts w:ascii="Times New Roman" w:hAnsi="Times New Roman"/>
          <w:color w:val="000000"/>
        </w:rPr>
        <w:t>(</w:t>
      </w:r>
      <w:r w:rsidR="005308E5">
        <w:rPr>
          <w:rFonts w:ascii="Times New Roman" w:hAnsi="Times New Roman"/>
        </w:rPr>
        <w:t>2732</w:t>
      </w:r>
      <w:r w:rsidR="00203551">
        <w:rPr>
          <w:rFonts w:ascii="Times New Roman" w:hAnsi="Times New Roman"/>
        </w:rPr>
        <w:t>–</w:t>
      </w:r>
      <w:r w:rsidR="005308E5">
        <w:rPr>
          <w:rFonts w:ascii="Times New Roman" w:hAnsi="Times New Roman"/>
        </w:rPr>
        <w:t>3092</w:t>
      </w:r>
      <w:r w:rsidR="0062130D">
        <w:rPr>
          <w:rFonts w:ascii="Times New Roman" w:hAnsi="Times New Roman"/>
        </w:rPr>
        <w:t>F</w:t>
      </w:r>
      <w:r w:rsidR="00D35AAD">
        <w:rPr>
          <w:rFonts w:ascii="Times New Roman" w:hAnsi="Times New Roman"/>
        </w:rPr>
        <w:t>/</w:t>
      </w:r>
      <w:r w:rsidR="00D35AAD">
        <w:rPr>
          <w:rFonts w:ascii="Times New Roman" w:hAnsi="Times New Roman"/>
          <w:color w:val="000000"/>
        </w:rPr>
        <w:t>1500–1700</w:t>
      </w:r>
      <w:r w:rsidR="00D35AAD" w:rsidRPr="00527EA8">
        <w:rPr>
          <w:rFonts w:ascii="Times New Roman" w:hAnsi="Times New Roman"/>
          <w:color w:val="000000"/>
        </w:rPr>
        <w:t>C</w:t>
      </w:r>
      <w:r w:rsidR="0062130D">
        <w:rPr>
          <w:rFonts w:ascii="Times New Roman" w:hAnsi="Times New Roman"/>
        </w:rPr>
        <w:t>)</w:t>
      </w:r>
      <w:r w:rsidR="0062130D" w:rsidRPr="00285735">
        <w:rPr>
          <w:rFonts w:ascii="Times New Roman" w:hAnsi="Times New Roman"/>
        </w:rPr>
        <w:t xml:space="preserve"> </w:t>
      </w:r>
      <w:r w:rsidRPr="00527EA8">
        <w:rPr>
          <w:rFonts w:ascii="Times New Roman" w:hAnsi="Times New Roman"/>
          <w:color w:val="000000"/>
        </w:rPr>
        <w:t xml:space="preserve">for </w:t>
      </w:r>
      <w:r w:rsidR="00B55645">
        <w:rPr>
          <w:rFonts w:ascii="Times New Roman" w:hAnsi="Times New Roman"/>
          <w:color w:val="000000"/>
        </w:rPr>
        <w:t xml:space="preserve">a </w:t>
      </w:r>
      <w:r w:rsidRPr="00527EA8">
        <w:rPr>
          <w:rFonts w:ascii="Times New Roman" w:hAnsi="Times New Roman"/>
          <w:color w:val="000000"/>
        </w:rPr>
        <w:t xml:space="preserve">long time </w:t>
      </w:r>
      <w:r w:rsidR="008D2241">
        <w:rPr>
          <w:rFonts w:ascii="Times New Roman" w:hAnsi="Times New Roman"/>
          <w:color w:val="000000"/>
        </w:rPr>
        <w:t xml:space="preserve">(preheating and holding time). </w:t>
      </w:r>
      <w:r w:rsidRPr="00527EA8">
        <w:rPr>
          <w:rFonts w:ascii="Times New Roman" w:hAnsi="Times New Roman"/>
          <w:color w:val="000000"/>
        </w:rPr>
        <w:t xml:space="preserve">The goal of this research </w:t>
      </w:r>
      <w:r w:rsidRPr="00527EA8">
        <w:rPr>
          <w:rFonts w:ascii="Times New Roman" w:hAnsi="Times New Roman"/>
        </w:rPr>
        <w:t>was to further reduce the thermal conductivity of silica sand-based lining by adding cenospheres to result in a lining that will reduce the necessary tap temperatures at similar hold times (</w:t>
      </w:r>
      <w:r w:rsidR="003A6821">
        <w:rPr>
          <w:rFonts w:ascii="Times New Roman" w:hAnsi="Times New Roman"/>
        </w:rPr>
        <w:t>Fig.</w:t>
      </w:r>
      <w:r w:rsidRPr="00527EA8">
        <w:rPr>
          <w:rFonts w:ascii="Times New Roman" w:hAnsi="Times New Roman"/>
        </w:rPr>
        <w:t xml:space="preserve"> 1).</w:t>
      </w:r>
      <w:r w:rsidRPr="00527EA8">
        <w:rPr>
          <w:rFonts w:ascii="Times New Roman" w:hAnsi="Times New Roman"/>
          <w:color w:val="FF0000"/>
        </w:rPr>
        <w:t xml:space="preserve"> </w:t>
      </w:r>
    </w:p>
    <w:p w14:paraId="7BE04A7F" w14:textId="77777777" w:rsidR="008D2241" w:rsidRPr="00B55645" w:rsidRDefault="008D2241" w:rsidP="00527EA8">
      <w:pPr>
        <w:autoSpaceDE w:val="0"/>
        <w:autoSpaceDN w:val="0"/>
        <w:adjustRightInd w:val="0"/>
        <w:rPr>
          <w:rFonts w:ascii="Times New Roman" w:hAnsi="Times New Roman"/>
        </w:rPr>
      </w:pPr>
    </w:p>
    <w:p w14:paraId="6696E817" w14:textId="483444A9" w:rsidR="00527EA8" w:rsidRPr="00527EA8" w:rsidRDefault="00F1214B" w:rsidP="00527EA8">
      <w:pPr>
        <w:autoSpaceDE w:val="0"/>
        <w:autoSpaceDN w:val="0"/>
        <w:adjustRightInd w:val="0"/>
        <w:rPr>
          <w:rFonts w:ascii="Times New Roman" w:hAnsi="Times New Roman"/>
          <w:color w:val="FF0000"/>
        </w:rPr>
      </w:pPr>
      <w:r w:rsidRPr="00527EA8">
        <w:rPr>
          <w:rFonts w:ascii="Times New Roman" w:hAnsi="Times New Roman"/>
          <w:noProof/>
          <w:color w:val="FF0000"/>
        </w:rPr>
        <w:drawing>
          <wp:inline distT="0" distB="0" distL="0" distR="0" wp14:anchorId="2902C438" wp14:editId="4A3757E8">
            <wp:extent cx="2590800" cy="1562100"/>
            <wp:effectExtent l="0" t="0" r="0" b="0"/>
            <wp:docPr id="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1562100"/>
                    </a:xfrm>
                    <a:prstGeom prst="rect">
                      <a:avLst/>
                    </a:prstGeom>
                    <a:noFill/>
                    <a:ln>
                      <a:noFill/>
                    </a:ln>
                  </pic:spPr>
                </pic:pic>
              </a:graphicData>
            </a:graphic>
          </wp:inline>
        </w:drawing>
      </w:r>
    </w:p>
    <w:p w14:paraId="4652A13B" w14:textId="77777777" w:rsidR="008D2241" w:rsidRDefault="008D2241" w:rsidP="009D1EA3">
      <w:pPr>
        <w:pStyle w:val="NoSpacing"/>
        <w:rPr>
          <w:rFonts w:ascii="Arial" w:hAnsi="Arial" w:cs="Arial"/>
          <w:b/>
          <w:i/>
          <w:sz w:val="18"/>
          <w:szCs w:val="18"/>
        </w:rPr>
      </w:pPr>
    </w:p>
    <w:p w14:paraId="6B003D55" w14:textId="77777777" w:rsidR="00527EA8" w:rsidRPr="00B55645" w:rsidRDefault="00527EA8" w:rsidP="009D1EA3">
      <w:pPr>
        <w:pStyle w:val="NoSpacing"/>
        <w:rPr>
          <w:rFonts w:ascii="Arial" w:hAnsi="Arial" w:cs="Arial"/>
          <w:b/>
          <w:i/>
          <w:sz w:val="18"/>
          <w:szCs w:val="18"/>
        </w:rPr>
      </w:pPr>
      <w:r w:rsidRPr="00EF1CDC">
        <w:rPr>
          <w:rFonts w:ascii="Arial" w:hAnsi="Arial" w:cs="Arial"/>
          <w:b/>
          <w:i/>
          <w:sz w:val="18"/>
          <w:szCs w:val="18"/>
        </w:rPr>
        <w:t>Fig</w:t>
      </w:r>
      <w:r w:rsidR="00203551">
        <w:rPr>
          <w:rFonts w:ascii="Arial" w:hAnsi="Arial" w:cs="Arial"/>
          <w:b/>
          <w:i/>
          <w:sz w:val="18"/>
          <w:szCs w:val="18"/>
        </w:rPr>
        <w:t>ure</w:t>
      </w:r>
      <w:r w:rsidR="008D2241">
        <w:rPr>
          <w:rFonts w:ascii="Arial" w:hAnsi="Arial" w:cs="Arial"/>
          <w:b/>
          <w:i/>
          <w:sz w:val="18"/>
          <w:szCs w:val="18"/>
        </w:rPr>
        <w:t xml:space="preserve"> 1. </w:t>
      </w:r>
      <w:r w:rsidRPr="00EF1CDC">
        <w:rPr>
          <w:rFonts w:ascii="Arial" w:hAnsi="Arial" w:cs="Arial"/>
          <w:b/>
          <w:i/>
          <w:sz w:val="18"/>
          <w:szCs w:val="18"/>
        </w:rPr>
        <w:t>Room temperature thermal conductivity versus density of different refractory materials</w:t>
      </w:r>
      <w:r w:rsidR="00B55645">
        <w:rPr>
          <w:rFonts w:ascii="Arial" w:hAnsi="Arial" w:cs="Arial"/>
          <w:b/>
          <w:i/>
          <w:sz w:val="18"/>
          <w:szCs w:val="18"/>
          <w:vertAlign w:val="superscript"/>
        </w:rPr>
        <w:t>3</w:t>
      </w:r>
      <w:r w:rsidR="00B55645">
        <w:rPr>
          <w:rFonts w:ascii="Arial" w:hAnsi="Arial" w:cs="Arial"/>
          <w:b/>
          <w:i/>
          <w:sz w:val="18"/>
          <w:szCs w:val="18"/>
        </w:rPr>
        <w:t xml:space="preserve"> is </w:t>
      </w:r>
      <w:r w:rsidR="00D01E95">
        <w:rPr>
          <w:rFonts w:ascii="Arial" w:hAnsi="Arial" w:cs="Arial"/>
          <w:b/>
          <w:i/>
          <w:sz w:val="18"/>
          <w:szCs w:val="18"/>
        </w:rPr>
        <w:t>shown</w:t>
      </w:r>
      <w:r w:rsidR="00B55645">
        <w:rPr>
          <w:rFonts w:ascii="Arial" w:hAnsi="Arial" w:cs="Arial"/>
          <w:b/>
          <w:i/>
          <w:sz w:val="18"/>
          <w:szCs w:val="18"/>
        </w:rPr>
        <w:t>.</w:t>
      </w:r>
      <w:r w:rsidR="00655A6D">
        <w:rPr>
          <w:rFonts w:ascii="Arial" w:hAnsi="Arial" w:cs="Arial"/>
          <w:b/>
          <w:i/>
          <w:sz w:val="18"/>
          <w:szCs w:val="18"/>
        </w:rPr>
        <w:t xml:space="preserve"> (Artwork courtesy of </w:t>
      </w:r>
      <w:r w:rsidR="00E558B3">
        <w:rPr>
          <w:rFonts w:ascii="Arial" w:hAnsi="Arial" w:cs="Arial"/>
          <w:b/>
          <w:i/>
          <w:sz w:val="18"/>
          <w:szCs w:val="18"/>
        </w:rPr>
        <w:t xml:space="preserve">ST </w:t>
      </w:r>
      <w:r w:rsidR="00655A6D">
        <w:rPr>
          <w:rFonts w:ascii="Arial" w:hAnsi="Arial" w:cs="Arial"/>
          <w:b/>
          <w:i/>
          <w:sz w:val="18"/>
          <w:szCs w:val="18"/>
        </w:rPr>
        <w:t>Foundry</w:t>
      </w:r>
      <w:r w:rsidR="00E558B3">
        <w:rPr>
          <w:rFonts w:ascii="Arial" w:hAnsi="Arial" w:cs="Arial"/>
          <w:b/>
          <w:i/>
          <w:sz w:val="18"/>
          <w:szCs w:val="18"/>
        </w:rPr>
        <w:t>, Inc.</w:t>
      </w:r>
      <w:r w:rsidR="00655A6D">
        <w:rPr>
          <w:rFonts w:ascii="Arial" w:hAnsi="Arial" w:cs="Arial"/>
          <w:b/>
          <w:i/>
          <w:sz w:val="18"/>
          <w:szCs w:val="18"/>
        </w:rPr>
        <w:t>)</w:t>
      </w:r>
    </w:p>
    <w:p w14:paraId="033DCB1C" w14:textId="77777777" w:rsidR="00527EA8" w:rsidRDefault="00527EA8" w:rsidP="00630A84">
      <w:pPr>
        <w:rPr>
          <w:rFonts w:ascii="Times New Roman" w:hAnsi="Times New Roman"/>
          <w:noProof/>
        </w:rPr>
      </w:pPr>
    </w:p>
    <w:p w14:paraId="74A5B3EE" w14:textId="77777777" w:rsidR="00EF1CDC" w:rsidRPr="00285735" w:rsidRDefault="00EF1CDC" w:rsidP="00EF1CDC">
      <w:pPr>
        <w:pStyle w:val="NoSpacing"/>
        <w:rPr>
          <w:rFonts w:ascii="Times New Roman" w:hAnsi="Times New Roman"/>
          <w:sz w:val="20"/>
          <w:szCs w:val="20"/>
        </w:rPr>
      </w:pPr>
      <w:r w:rsidRPr="00285735">
        <w:rPr>
          <w:rFonts w:ascii="Times New Roman" w:hAnsi="Times New Roman"/>
          <w:sz w:val="20"/>
          <w:szCs w:val="20"/>
        </w:rPr>
        <w:t>Ladle linings are exposed t</w:t>
      </w:r>
      <w:r w:rsidR="00083BDE">
        <w:rPr>
          <w:rFonts w:ascii="Times New Roman" w:hAnsi="Times New Roman"/>
          <w:sz w:val="20"/>
          <w:szCs w:val="20"/>
        </w:rPr>
        <w:t xml:space="preserve">o high temperatures </w:t>
      </w:r>
      <w:r w:rsidR="0062130D">
        <w:rPr>
          <w:rFonts w:ascii="Times New Roman" w:hAnsi="Times New Roman"/>
          <w:sz w:val="20"/>
          <w:szCs w:val="20"/>
        </w:rPr>
        <w:t>(2732</w:t>
      </w:r>
      <w:r w:rsidR="00AE7402">
        <w:rPr>
          <w:rFonts w:ascii="Times New Roman" w:hAnsi="Times New Roman"/>
          <w:sz w:val="20"/>
          <w:szCs w:val="20"/>
        </w:rPr>
        <w:t>–</w:t>
      </w:r>
      <w:r w:rsidR="0062130D">
        <w:rPr>
          <w:rFonts w:ascii="Times New Roman" w:hAnsi="Times New Roman"/>
          <w:sz w:val="20"/>
          <w:szCs w:val="20"/>
        </w:rPr>
        <w:t>3092F</w:t>
      </w:r>
      <w:r w:rsidR="00D4380F">
        <w:rPr>
          <w:rFonts w:ascii="Times New Roman" w:hAnsi="Times New Roman"/>
          <w:sz w:val="20"/>
          <w:szCs w:val="20"/>
        </w:rPr>
        <w:t>/1500–1700</w:t>
      </w:r>
      <w:r w:rsidR="00D4380F" w:rsidRPr="00285735">
        <w:rPr>
          <w:rFonts w:ascii="Times New Roman" w:hAnsi="Times New Roman"/>
          <w:sz w:val="20"/>
          <w:szCs w:val="20"/>
        </w:rPr>
        <w:t>C)</w:t>
      </w:r>
      <w:r w:rsidRPr="00285735">
        <w:rPr>
          <w:rFonts w:ascii="Times New Roman" w:hAnsi="Times New Roman"/>
          <w:sz w:val="20"/>
          <w:szCs w:val="20"/>
        </w:rPr>
        <w:t>; therefore</w:t>
      </w:r>
      <w:r w:rsidR="00BB418F">
        <w:rPr>
          <w:rFonts w:ascii="Times New Roman" w:hAnsi="Times New Roman"/>
          <w:sz w:val="20"/>
          <w:szCs w:val="20"/>
        </w:rPr>
        <w:t>,</w:t>
      </w:r>
      <w:r w:rsidRPr="00285735">
        <w:rPr>
          <w:rFonts w:ascii="Times New Roman" w:hAnsi="Times New Roman"/>
          <w:sz w:val="20"/>
          <w:szCs w:val="20"/>
        </w:rPr>
        <w:t xml:space="preserve"> the effect of elevated temperature on the lining’s thermal properties is very important</w:t>
      </w:r>
      <w:r w:rsidR="008D2241">
        <w:rPr>
          <w:rFonts w:ascii="Times New Roman" w:hAnsi="Times New Roman"/>
          <w:sz w:val="20"/>
          <w:szCs w:val="20"/>
        </w:rPr>
        <w:t>.</w:t>
      </w:r>
      <w:r w:rsidR="00F06BC0">
        <w:rPr>
          <w:rFonts w:ascii="Times New Roman" w:hAnsi="Times New Roman"/>
          <w:sz w:val="20"/>
          <w:szCs w:val="20"/>
        </w:rPr>
        <w:t xml:space="preserve"> </w:t>
      </w:r>
      <w:r w:rsidRPr="00285735">
        <w:rPr>
          <w:rFonts w:ascii="Times New Roman" w:hAnsi="Times New Roman"/>
          <w:sz w:val="20"/>
          <w:szCs w:val="20"/>
        </w:rPr>
        <w:t>At this temperature pore size becomes important</w:t>
      </w:r>
      <w:r w:rsidR="00F06BC0">
        <w:rPr>
          <w:rFonts w:ascii="Times New Roman" w:hAnsi="Times New Roman"/>
          <w:sz w:val="20"/>
          <w:szCs w:val="20"/>
        </w:rPr>
        <w:t>.</w:t>
      </w:r>
      <w:r w:rsidR="008D2241">
        <w:rPr>
          <w:rFonts w:ascii="Times New Roman" w:hAnsi="Times New Roman"/>
          <w:sz w:val="20"/>
          <w:szCs w:val="20"/>
        </w:rPr>
        <w:t xml:space="preserve"> </w:t>
      </w:r>
      <w:r w:rsidRPr="00285735">
        <w:rPr>
          <w:rFonts w:ascii="Times New Roman" w:hAnsi="Times New Roman"/>
          <w:sz w:val="20"/>
          <w:szCs w:val="20"/>
        </w:rPr>
        <w:t>Refractories with smaller pores,</w:t>
      </w:r>
      <w:r w:rsidRPr="00285735">
        <w:rPr>
          <w:rFonts w:ascii="Times New Roman" w:hAnsi="Times New Roman"/>
          <w:sz w:val="20"/>
          <w:szCs w:val="20"/>
          <w:vertAlign w:val="subscript"/>
        </w:rPr>
        <w:t xml:space="preserve"> </w:t>
      </w:r>
      <w:r w:rsidRPr="00285735">
        <w:rPr>
          <w:rFonts w:ascii="Times New Roman" w:hAnsi="Times New Roman"/>
          <w:sz w:val="20"/>
          <w:szCs w:val="20"/>
        </w:rPr>
        <w:t>lower than the photon mean free path, have lower thermal conductivity values.</w:t>
      </w:r>
      <w:r w:rsidR="006608B5" w:rsidRPr="006608B5">
        <w:rPr>
          <w:rFonts w:ascii="Times New Roman" w:hAnsi="Times New Roman"/>
          <w:sz w:val="20"/>
          <w:szCs w:val="20"/>
          <w:vertAlign w:val="superscript"/>
        </w:rPr>
        <w:t>4</w:t>
      </w:r>
      <w:r w:rsidRPr="00285735">
        <w:rPr>
          <w:rFonts w:ascii="Times New Roman" w:hAnsi="Times New Roman"/>
          <w:sz w:val="20"/>
          <w:szCs w:val="20"/>
        </w:rPr>
        <w:t xml:space="preserve"> </w:t>
      </w:r>
      <w:r w:rsidR="003F14DB">
        <w:rPr>
          <w:rFonts w:ascii="Times New Roman" w:hAnsi="Times New Roman"/>
          <w:sz w:val="20"/>
          <w:szCs w:val="20"/>
        </w:rPr>
        <w:t>I</w:t>
      </w:r>
      <w:r w:rsidRPr="00285735">
        <w:rPr>
          <w:rFonts w:ascii="Times New Roman" w:hAnsi="Times New Roman"/>
          <w:sz w:val="20"/>
          <w:szCs w:val="20"/>
        </w:rPr>
        <w:t>n general, the thermal conductivity of dense refractories decreases with increasing amounts of porosity.</w:t>
      </w:r>
      <w:r w:rsidR="006608B5" w:rsidRPr="006608B5">
        <w:rPr>
          <w:rFonts w:ascii="Times New Roman" w:hAnsi="Times New Roman"/>
          <w:sz w:val="20"/>
          <w:szCs w:val="20"/>
          <w:vertAlign w:val="superscript"/>
        </w:rPr>
        <w:t>5</w:t>
      </w:r>
      <w:r w:rsidRPr="00285735">
        <w:rPr>
          <w:rFonts w:ascii="Times New Roman" w:hAnsi="Times New Roman"/>
          <w:sz w:val="20"/>
          <w:szCs w:val="20"/>
        </w:rPr>
        <w:t xml:space="preserve"> The relationship between pore size and total porosity on thermal conductivity (k) is shown by the following Eq</w:t>
      </w:r>
      <w:r w:rsidR="008B2A8A">
        <w:rPr>
          <w:rFonts w:ascii="Times New Roman" w:hAnsi="Times New Roman"/>
          <w:sz w:val="20"/>
          <w:szCs w:val="20"/>
        </w:rPr>
        <w:t>uations</w:t>
      </w:r>
      <w:r w:rsidRPr="00285735">
        <w:rPr>
          <w:rFonts w:ascii="Times New Roman" w:hAnsi="Times New Roman"/>
          <w:sz w:val="20"/>
          <w:szCs w:val="20"/>
        </w:rPr>
        <w:t xml:space="preserve"> 1 and 2</w:t>
      </w:r>
      <w:r w:rsidR="00B55645">
        <w:rPr>
          <w:rFonts w:ascii="Times New Roman" w:hAnsi="Times New Roman"/>
          <w:sz w:val="20"/>
          <w:szCs w:val="20"/>
        </w:rPr>
        <w:t>,</w:t>
      </w:r>
      <w:r w:rsidRPr="00285735">
        <w:rPr>
          <w:rFonts w:ascii="Times New Roman" w:hAnsi="Times New Roman"/>
          <w:sz w:val="20"/>
          <w:szCs w:val="20"/>
        </w:rPr>
        <w:t xml:space="preserve"> respectively</w:t>
      </w:r>
      <w:r w:rsidR="00B55645">
        <w:rPr>
          <w:rFonts w:ascii="Times New Roman" w:hAnsi="Times New Roman"/>
          <w:sz w:val="20"/>
          <w:szCs w:val="20"/>
        </w:rPr>
        <w:t>.</w:t>
      </w:r>
      <w:r w:rsidR="006608B5" w:rsidRPr="006608B5">
        <w:rPr>
          <w:rFonts w:ascii="Times New Roman" w:hAnsi="Times New Roman"/>
          <w:sz w:val="20"/>
          <w:szCs w:val="20"/>
          <w:vertAlign w:val="superscript"/>
        </w:rPr>
        <w:t xml:space="preserve">4, </w:t>
      </w:r>
      <w:proofErr w:type="gramStart"/>
      <w:r w:rsidR="006608B5" w:rsidRPr="006608B5">
        <w:rPr>
          <w:rFonts w:ascii="Times New Roman" w:hAnsi="Times New Roman"/>
          <w:sz w:val="20"/>
          <w:szCs w:val="20"/>
          <w:vertAlign w:val="superscript"/>
        </w:rPr>
        <w:t>5</w:t>
      </w:r>
      <w:proofErr w:type="gramEnd"/>
    </w:p>
    <w:p w14:paraId="13F4AB99" w14:textId="77777777" w:rsidR="00EF1CDC" w:rsidRDefault="00EF1CDC" w:rsidP="00EF1CDC">
      <w:pPr>
        <w:pStyle w:val="NoSpacing"/>
        <w:ind w:firstLine="720"/>
        <w:rPr>
          <w:rFonts w:ascii="Times New Roman" w:hAnsi="Times New Roman"/>
          <w:sz w:val="20"/>
          <w:szCs w:val="20"/>
        </w:rPr>
      </w:pPr>
    </w:p>
    <w:p w14:paraId="2C67D9FC" w14:textId="0EAAA3D5" w:rsidR="00EF1CDC" w:rsidRPr="008B2A8A" w:rsidRDefault="00F1214B" w:rsidP="00AB5B9C">
      <w:pPr>
        <w:ind w:firstLine="270"/>
        <w:rPr>
          <w:rFonts w:ascii="Times New Roman" w:hAnsi="Times New Roman"/>
        </w:rPr>
      </w:pPr>
      <m:oMath>
        <m:r>
          <w:rPr>
            <w:rFonts w:ascii="Cambria Math" w:hAnsi="Cambria Math"/>
          </w:rPr>
          <m:t>k=4</m:t>
        </m:r>
        <m:sSub>
          <m:sSubPr>
            <m:ctrlPr>
              <w:rPr>
                <w:rFonts w:ascii="Cambria Math" w:hAnsi="Cambria Math"/>
                <w:i/>
              </w:rPr>
            </m:ctrlPr>
          </m:sSubPr>
          <m:e>
            <m:r>
              <w:rPr>
                <w:rFonts w:ascii="Cambria Math" w:hAnsi="Cambria Math"/>
              </w:rPr>
              <m:t>ed</m:t>
            </m:r>
          </m:e>
          <m:sub>
            <m:r>
              <w:rPr>
                <w:rFonts w:ascii="Cambria Math" w:hAnsi="Cambria Math"/>
              </w:rPr>
              <m:t xml:space="preserve">p </m:t>
            </m:r>
          </m:sub>
        </m:sSub>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σ</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3</m:t>
            </m:r>
          </m:sup>
        </m:sSup>
        <m:r>
          <m:rPr>
            <m:sty m:val="p"/>
          </m:rPr>
          <w:rPr>
            <w:rFonts w:ascii="Cambria Math" w:hAnsi="Cambria Math"/>
          </w:rPr>
          <m:t xml:space="preserve"> </m:t>
        </m:r>
      </m:oMath>
      <w:r w:rsidR="008156DB">
        <w:rPr>
          <w:rFonts w:ascii="Times New Roman" w:hAnsi="Times New Roman"/>
        </w:rPr>
        <w:t xml:space="preserve"> </w:t>
      </w:r>
      <w:r w:rsidR="00AB5B9C">
        <w:rPr>
          <w:rFonts w:ascii="Times New Roman" w:hAnsi="Times New Roman"/>
        </w:rPr>
        <w:tab/>
      </w:r>
      <w:r w:rsidR="00AB5B9C">
        <w:rPr>
          <w:rFonts w:ascii="Times New Roman" w:hAnsi="Times New Roman"/>
        </w:rPr>
        <w:tab/>
      </w:r>
      <w:r w:rsidR="00AB5B9C">
        <w:rPr>
          <w:rFonts w:ascii="Times New Roman" w:hAnsi="Times New Roman"/>
        </w:rPr>
        <w:tab/>
      </w:r>
      <w:r w:rsidR="00EF1CDC" w:rsidRPr="008B2A8A">
        <w:rPr>
          <w:rFonts w:ascii="Arial" w:hAnsi="Arial" w:cs="Arial"/>
          <w:b/>
          <w:sz w:val="18"/>
          <w:szCs w:val="18"/>
        </w:rPr>
        <w:t>Eq</w:t>
      </w:r>
      <w:r w:rsidR="003A6821" w:rsidRPr="008B2A8A">
        <w:rPr>
          <w:rFonts w:ascii="Arial" w:hAnsi="Arial" w:cs="Arial"/>
          <w:b/>
          <w:sz w:val="18"/>
          <w:szCs w:val="18"/>
        </w:rPr>
        <w:t>n.</w:t>
      </w:r>
      <w:r w:rsidR="008156DB" w:rsidRPr="008B2A8A">
        <w:rPr>
          <w:rFonts w:ascii="Arial" w:hAnsi="Arial" w:cs="Arial"/>
          <w:b/>
          <w:sz w:val="18"/>
          <w:szCs w:val="18"/>
        </w:rPr>
        <w:t xml:space="preserve"> 1</w:t>
      </w:r>
    </w:p>
    <w:p w14:paraId="27226460" w14:textId="77777777" w:rsidR="00EF1CDC" w:rsidRPr="00285735" w:rsidRDefault="00EF1CDC" w:rsidP="00EF1CDC">
      <w:pPr>
        <w:pStyle w:val="NoSpacing"/>
        <w:rPr>
          <w:rFonts w:ascii="Times New Roman" w:hAnsi="Times New Roman"/>
          <w:sz w:val="20"/>
          <w:szCs w:val="20"/>
        </w:rPr>
      </w:pPr>
    </w:p>
    <w:p w14:paraId="6D7189D1" w14:textId="058FCE64" w:rsidR="00EF1CDC" w:rsidRPr="00285735" w:rsidRDefault="003F14DB" w:rsidP="00B55645">
      <w:pPr>
        <w:rPr>
          <w:rFonts w:ascii="Times New Roman" w:hAnsi="Times New Roman"/>
        </w:rPr>
      </w:pPr>
      <w:r>
        <w:rPr>
          <w:rFonts w:ascii="Times New Roman" w:hAnsi="Times New Roman"/>
        </w:rPr>
        <w:t>W</w:t>
      </w:r>
      <w:r w:rsidR="00EF1CDC" w:rsidRPr="00285735">
        <w:rPr>
          <w:rFonts w:ascii="Times New Roman" w:hAnsi="Times New Roman"/>
        </w:rPr>
        <w:t>here</w:t>
      </w:r>
      <w:r>
        <w:rPr>
          <w:rFonts w:ascii="Times New Roman" w:hAnsi="Times New Roman"/>
        </w:rPr>
        <w:t>:</w:t>
      </w:r>
      <w:r w:rsidR="00EF1CDC" w:rsidRPr="00285735">
        <w:rPr>
          <w:rFonts w:ascii="Times New Roman" w:hAnsi="Times New Roman"/>
        </w:rPr>
        <w:t xml:space="preserve"> </w:t>
      </w:r>
      <w:proofErr w:type="spellStart"/>
      <w:r w:rsidR="00EF1CDC" w:rsidRPr="00285735">
        <w:rPr>
          <w:rFonts w:ascii="Times New Roman" w:hAnsi="Times New Roman"/>
        </w:rPr>
        <w:t>d</w:t>
      </w:r>
      <w:r w:rsidR="00EF1CDC" w:rsidRPr="00285735">
        <w:rPr>
          <w:rFonts w:ascii="Times New Roman" w:hAnsi="Times New Roman"/>
          <w:vertAlign w:val="subscript"/>
        </w:rPr>
        <w:t>p</w:t>
      </w:r>
      <w:proofErr w:type="spellEnd"/>
      <w:r w:rsidR="00EF1CDC" w:rsidRPr="00285735">
        <w:rPr>
          <w:rFonts w:ascii="Times New Roman" w:hAnsi="Times New Roman"/>
          <w:vertAlign w:val="subscript"/>
        </w:rPr>
        <w:t xml:space="preserve"> </w:t>
      </w:r>
      <w:r>
        <w:rPr>
          <w:rFonts w:ascii="Times New Roman" w:hAnsi="Times New Roman"/>
        </w:rPr>
        <w:t>=</w:t>
      </w:r>
      <w:r w:rsidR="00EF1CDC" w:rsidRPr="00285735">
        <w:rPr>
          <w:rFonts w:ascii="Times New Roman" w:hAnsi="Times New Roman"/>
        </w:rPr>
        <w:t xml:space="preserve"> pore size, </w:t>
      </w:r>
      <w:r w:rsidR="00EF1CDC" w:rsidRPr="00285735">
        <w:rPr>
          <w:rFonts w:ascii="Times New Roman" w:hAnsi="Times New Roman"/>
          <w:i/>
        </w:rPr>
        <w:t>n</w:t>
      </w:r>
      <w:r w:rsidR="00EF1CDC" w:rsidRPr="00285735">
        <w:rPr>
          <w:rFonts w:ascii="Times New Roman" w:hAnsi="Times New Roman"/>
        </w:rPr>
        <w:t xml:space="preserve"> </w:t>
      </w:r>
      <w:r>
        <w:rPr>
          <w:rFonts w:ascii="Times New Roman" w:hAnsi="Times New Roman"/>
        </w:rPr>
        <w:t>=</w:t>
      </w:r>
      <w:r w:rsidR="00EF1CDC" w:rsidRPr="00285735">
        <w:rPr>
          <w:rFonts w:ascii="Times New Roman" w:hAnsi="Times New Roman"/>
        </w:rPr>
        <w:t xml:space="preserve"> refractive index, </w:t>
      </w:r>
      <w:r w:rsidR="00EF1CDC" w:rsidRPr="00285735">
        <w:rPr>
          <w:rFonts w:ascii="Times New Roman" w:hAnsi="Times New Roman"/>
          <w:i/>
        </w:rPr>
        <w:t>e</w:t>
      </w:r>
      <w:r w:rsidR="00EF1CDC" w:rsidRPr="00285735">
        <w:rPr>
          <w:rFonts w:ascii="Times New Roman" w:hAnsi="Times New Roman"/>
        </w:rPr>
        <w:t xml:space="preserve"> </w:t>
      </w:r>
      <w:r>
        <w:rPr>
          <w:rFonts w:ascii="Times New Roman" w:hAnsi="Times New Roman"/>
        </w:rPr>
        <w:t>=</w:t>
      </w:r>
      <w:r w:rsidR="00EF1CDC" w:rsidRPr="00285735">
        <w:rPr>
          <w:rFonts w:ascii="Times New Roman" w:hAnsi="Times New Roman"/>
        </w:rPr>
        <w:t xml:space="preserve"> reflectivity of the surface, T </w:t>
      </w:r>
      <w:r>
        <w:rPr>
          <w:rFonts w:ascii="Times New Roman" w:hAnsi="Times New Roman"/>
        </w:rPr>
        <w:t>=</w:t>
      </w:r>
      <w:r w:rsidR="00EF1CDC" w:rsidRPr="00285735">
        <w:rPr>
          <w:rFonts w:ascii="Times New Roman" w:hAnsi="Times New Roman"/>
        </w:rPr>
        <w:t xml:space="preserve"> absolute temperature and </w:t>
      </w:r>
      <m:oMath>
        <m:r>
          <w:rPr>
            <w:rFonts w:ascii="Cambria Math" w:hAnsi="Cambria Math"/>
          </w:rPr>
          <m:t>σ</m:t>
        </m:r>
      </m:oMath>
      <w:r w:rsidR="00EF1CDC" w:rsidRPr="00285735">
        <w:rPr>
          <w:rFonts w:ascii="Times New Roman" w:hAnsi="Times New Roman"/>
        </w:rPr>
        <w:t xml:space="preserve"> </w:t>
      </w:r>
      <w:r>
        <w:rPr>
          <w:rFonts w:ascii="Times New Roman" w:hAnsi="Times New Roman"/>
        </w:rPr>
        <w:t>=</w:t>
      </w:r>
      <w:r w:rsidR="00EF1CDC" w:rsidRPr="00285735">
        <w:rPr>
          <w:rFonts w:ascii="Times New Roman" w:hAnsi="Times New Roman"/>
        </w:rPr>
        <w:t xml:space="preserve"> Stefan- Boltzmann constant. </w:t>
      </w:r>
    </w:p>
    <w:p w14:paraId="37C11A0D" w14:textId="77777777" w:rsidR="008156DB" w:rsidRDefault="008156DB" w:rsidP="008156DB">
      <w:pPr>
        <w:pStyle w:val="NoSpacing"/>
        <w:rPr>
          <w:rFonts w:ascii="Times New Roman" w:hAnsi="Times New Roman"/>
          <w:sz w:val="20"/>
          <w:szCs w:val="20"/>
        </w:rPr>
      </w:pPr>
    </w:p>
    <w:p w14:paraId="061139C5" w14:textId="6D328210" w:rsidR="00EF1CDC" w:rsidRPr="008B2A8A" w:rsidRDefault="00000000" w:rsidP="00AB5B9C">
      <w:pPr>
        <w:pStyle w:val="NoSpacing"/>
        <w:ind w:firstLine="180"/>
        <w:rPr>
          <w:rFonts w:ascii="Times New Roman" w:hAnsi="Times New Roman"/>
          <w:sz w:val="20"/>
          <w:szCs w:val="20"/>
        </w:rPr>
      </w:pPr>
      <m:oMath>
        <m:f>
          <m:fPr>
            <m:ctrlPr>
              <w:rPr>
                <w:rFonts w:ascii="Cambria Math" w:hAnsi="Times New Roman"/>
                <w:i/>
              </w:rPr>
            </m:ctrlPr>
          </m:fPr>
          <m:num>
            <m:r>
              <w:rPr>
                <w:rFonts w:ascii="Cambria Math" w:hAnsi="Cambria Math"/>
              </w:rPr>
              <m:t>k</m:t>
            </m:r>
          </m:num>
          <m:den>
            <m:sSub>
              <m:sSubPr>
                <m:ctrlPr>
                  <w:rPr>
                    <w:rFonts w:ascii="Cambria Math" w:hAnsi="Times New Roman"/>
                    <w:i/>
                  </w:rPr>
                </m:ctrlPr>
              </m:sSubPr>
              <m:e>
                <m:r>
                  <w:rPr>
                    <w:rFonts w:ascii="Cambria Math" w:hAnsi="Cambria Math"/>
                  </w:rPr>
                  <m:t>k</m:t>
                </m:r>
              </m:e>
              <m:sub>
                <m:r>
                  <w:rPr>
                    <w:rFonts w:ascii="Cambria Math" w:hAnsi="Times New Roman"/>
                  </w:rPr>
                  <m:t>0</m:t>
                </m:r>
              </m:sub>
            </m:sSub>
          </m:den>
        </m:f>
        <m:r>
          <w:rPr>
            <w:rFonts w:ascii="Cambria Math" w:hAnsi="Times New Roman"/>
          </w:rPr>
          <m:t>=</m:t>
        </m:r>
        <m:f>
          <m:fPr>
            <m:ctrlPr>
              <w:rPr>
                <w:rFonts w:ascii="Cambria Math" w:hAnsi="Times New Roman"/>
                <w:i/>
              </w:rPr>
            </m:ctrlPr>
          </m:fPr>
          <m:num>
            <m:r>
              <w:rPr>
                <w:rFonts w:ascii="Cambria Math" w:hAnsi="Times New Roman"/>
              </w:rPr>
              <m:t>1+P</m:t>
            </m:r>
          </m:num>
          <m:den>
            <m:r>
              <w:rPr>
                <w:rFonts w:ascii="Cambria Math" w:hAnsi="Times New Roman"/>
              </w:rPr>
              <m:t>1</m:t>
            </m:r>
            <m:r>
              <w:rPr>
                <w:rFonts w:ascii="Times New Roman" w:hAnsi="Times New Roman"/>
              </w:rPr>
              <m:t>-</m:t>
            </m:r>
            <m:r>
              <w:rPr>
                <w:rFonts w:ascii="Cambria Math" w:hAnsi="Times New Roman"/>
              </w:rPr>
              <m:t>n</m:t>
            </m:r>
            <m:sSup>
              <m:sSupPr>
                <m:ctrlPr>
                  <w:rPr>
                    <w:rFonts w:ascii="Cambria Math" w:hAnsi="Times New Roman"/>
                    <w:i/>
                  </w:rPr>
                </m:ctrlPr>
              </m:sSupPr>
              <m:e>
                <m:r>
                  <w:rPr>
                    <w:rFonts w:ascii="Cambria Math" w:hAnsi="Times New Roman"/>
                  </w:rPr>
                  <m:t>P</m:t>
                </m:r>
              </m:e>
              <m:sup>
                <m:r>
                  <w:rPr>
                    <w:rFonts w:ascii="Cambria Math" w:hAnsi="Times New Roman"/>
                  </w:rPr>
                  <m:t>2</m:t>
                </m:r>
              </m:sup>
            </m:sSup>
          </m:den>
        </m:f>
      </m:oMath>
      <w:r w:rsidR="00AB5B34">
        <w:rPr>
          <w:rFonts w:ascii="Times New Roman" w:hAnsi="Times New Roman"/>
          <w:sz w:val="20"/>
          <w:szCs w:val="20"/>
        </w:rPr>
        <w:tab/>
      </w:r>
      <w:r w:rsidR="00AB5B34">
        <w:rPr>
          <w:rFonts w:ascii="Times New Roman" w:hAnsi="Times New Roman"/>
          <w:sz w:val="20"/>
          <w:szCs w:val="20"/>
        </w:rPr>
        <w:tab/>
      </w:r>
      <w:r w:rsidR="00AB5B9C">
        <w:rPr>
          <w:rFonts w:ascii="Times New Roman" w:hAnsi="Times New Roman"/>
          <w:sz w:val="20"/>
          <w:szCs w:val="20"/>
        </w:rPr>
        <w:tab/>
      </w:r>
      <w:r w:rsidR="00AB5B9C">
        <w:rPr>
          <w:rFonts w:ascii="Times New Roman" w:hAnsi="Times New Roman"/>
          <w:sz w:val="20"/>
          <w:szCs w:val="20"/>
        </w:rPr>
        <w:tab/>
      </w:r>
      <w:r w:rsidR="00AB5B34" w:rsidRPr="008B2A8A">
        <w:rPr>
          <w:rFonts w:ascii="Arial" w:hAnsi="Arial" w:cs="Arial"/>
          <w:b/>
          <w:sz w:val="18"/>
          <w:szCs w:val="18"/>
        </w:rPr>
        <w:t>Eqn.</w:t>
      </w:r>
      <w:r w:rsidR="008156DB" w:rsidRPr="008B2A8A">
        <w:rPr>
          <w:rFonts w:ascii="Arial" w:hAnsi="Arial" w:cs="Arial"/>
          <w:b/>
          <w:sz w:val="18"/>
          <w:szCs w:val="18"/>
        </w:rPr>
        <w:t xml:space="preserve"> 2</w:t>
      </w:r>
    </w:p>
    <w:p w14:paraId="5DE1F442" w14:textId="77777777" w:rsidR="00EF1CDC" w:rsidRPr="00AB5B34" w:rsidRDefault="00EF1CDC" w:rsidP="00EF1CDC">
      <w:pPr>
        <w:autoSpaceDE w:val="0"/>
        <w:autoSpaceDN w:val="0"/>
        <w:adjustRightInd w:val="0"/>
        <w:rPr>
          <w:rFonts w:ascii="Times New Roman" w:eastAsia="Calibri" w:hAnsi="Times New Roman"/>
        </w:rPr>
      </w:pPr>
    </w:p>
    <w:p w14:paraId="406482EF" w14:textId="77777777" w:rsidR="00EF1CDC" w:rsidRPr="00EF1CDC" w:rsidRDefault="003F14DB" w:rsidP="00EF1CDC">
      <w:pPr>
        <w:autoSpaceDE w:val="0"/>
        <w:autoSpaceDN w:val="0"/>
        <w:adjustRightInd w:val="0"/>
        <w:rPr>
          <w:rFonts w:ascii="Times New Roman" w:hAnsi="Times New Roman"/>
        </w:rPr>
      </w:pPr>
      <w:r>
        <w:rPr>
          <w:rFonts w:ascii="Times New Roman" w:hAnsi="Times New Roman"/>
        </w:rPr>
        <w:t>W</w:t>
      </w:r>
      <w:r w:rsidR="00EF1CDC" w:rsidRPr="00EF1CDC">
        <w:rPr>
          <w:rFonts w:ascii="Times New Roman" w:hAnsi="Times New Roman"/>
        </w:rPr>
        <w:t>here</w:t>
      </w:r>
      <w:r>
        <w:rPr>
          <w:rFonts w:ascii="Times New Roman" w:hAnsi="Times New Roman"/>
        </w:rPr>
        <w:t>:</w:t>
      </w:r>
      <w:r w:rsidR="00EF1CDC" w:rsidRPr="00EF1CDC">
        <w:rPr>
          <w:rFonts w:ascii="Times New Roman" w:hAnsi="Times New Roman"/>
        </w:rPr>
        <w:t xml:space="preserve"> k </w:t>
      </w:r>
      <w:r>
        <w:rPr>
          <w:rFonts w:ascii="Times New Roman" w:hAnsi="Times New Roman"/>
        </w:rPr>
        <w:t>=</w:t>
      </w:r>
      <w:r w:rsidR="00EF1CDC" w:rsidRPr="00EF1CDC">
        <w:rPr>
          <w:rFonts w:ascii="Times New Roman" w:hAnsi="Times New Roman"/>
        </w:rPr>
        <w:t xml:space="preserve"> thermal conductivity of a porous ceramic body, k</w:t>
      </w:r>
      <w:r w:rsidR="00EF1CDC" w:rsidRPr="00EF1CDC">
        <w:rPr>
          <w:rFonts w:ascii="Times New Roman" w:hAnsi="Times New Roman"/>
          <w:vertAlign w:val="subscript"/>
        </w:rPr>
        <w:t>0</w:t>
      </w:r>
      <w:r w:rsidR="00EF1CDC" w:rsidRPr="00EF1CDC">
        <w:rPr>
          <w:rFonts w:ascii="Times New Roman" w:hAnsi="Times New Roman"/>
        </w:rPr>
        <w:t xml:space="preserve"> </w:t>
      </w:r>
      <w:r>
        <w:rPr>
          <w:rFonts w:ascii="Times New Roman" w:hAnsi="Times New Roman"/>
        </w:rPr>
        <w:t>=</w:t>
      </w:r>
      <w:r w:rsidR="00EF1CDC" w:rsidRPr="00EF1CDC">
        <w:rPr>
          <w:rFonts w:ascii="Times New Roman" w:hAnsi="Times New Roman"/>
        </w:rPr>
        <w:t xml:space="preserve"> that of the pore-free ceramic body, P </w:t>
      </w:r>
      <w:r>
        <w:rPr>
          <w:rFonts w:ascii="Times New Roman" w:hAnsi="Times New Roman"/>
        </w:rPr>
        <w:t>=</w:t>
      </w:r>
      <w:r w:rsidR="00EF1CDC" w:rsidRPr="00EF1CDC">
        <w:rPr>
          <w:rFonts w:ascii="Times New Roman" w:hAnsi="Times New Roman"/>
        </w:rPr>
        <w:t xml:space="preserve"> </w:t>
      </w:r>
      <w:r>
        <w:rPr>
          <w:rFonts w:ascii="Times New Roman" w:hAnsi="Times New Roman"/>
        </w:rPr>
        <w:t xml:space="preserve">pore </w:t>
      </w:r>
      <w:r w:rsidR="00EF1CDC" w:rsidRPr="00EF1CDC">
        <w:rPr>
          <w:rFonts w:ascii="Times New Roman" w:hAnsi="Times New Roman"/>
        </w:rPr>
        <w:t xml:space="preserve">volume fraction and n </w:t>
      </w:r>
      <w:r>
        <w:rPr>
          <w:rFonts w:ascii="Times New Roman" w:hAnsi="Times New Roman"/>
        </w:rPr>
        <w:t>=</w:t>
      </w:r>
      <w:r w:rsidR="00EF1CDC" w:rsidRPr="00EF1CDC">
        <w:rPr>
          <w:rFonts w:ascii="Times New Roman" w:hAnsi="Times New Roman"/>
        </w:rPr>
        <w:t xml:space="preserve"> constant.</w:t>
      </w:r>
    </w:p>
    <w:p w14:paraId="6AFFE76F" w14:textId="77777777" w:rsidR="00EF1CDC" w:rsidRDefault="00EF1CDC" w:rsidP="00EF1CDC">
      <w:pPr>
        <w:pStyle w:val="NoSpacing"/>
        <w:rPr>
          <w:rFonts w:ascii="Times New Roman" w:hAnsi="Times New Roman"/>
          <w:sz w:val="20"/>
          <w:szCs w:val="20"/>
        </w:rPr>
      </w:pPr>
    </w:p>
    <w:p w14:paraId="765E7AA4" w14:textId="77777777" w:rsidR="004F2D6D" w:rsidRDefault="00EF1CDC" w:rsidP="00EF1CDC">
      <w:pPr>
        <w:pStyle w:val="NoSpacing"/>
        <w:rPr>
          <w:rFonts w:ascii="Times New Roman" w:hAnsi="Times New Roman"/>
          <w:sz w:val="20"/>
          <w:szCs w:val="20"/>
        </w:rPr>
      </w:pPr>
      <w:r w:rsidRPr="00285735">
        <w:rPr>
          <w:rFonts w:ascii="Times New Roman" w:hAnsi="Times New Roman"/>
          <w:sz w:val="20"/>
          <w:szCs w:val="20"/>
        </w:rPr>
        <w:t>However, there is a limit to the amount of porosity that can be introduced into a refractory lining</w:t>
      </w:r>
      <w:r w:rsidR="008D2241">
        <w:rPr>
          <w:rFonts w:ascii="Times New Roman" w:hAnsi="Times New Roman"/>
          <w:sz w:val="20"/>
          <w:szCs w:val="20"/>
        </w:rPr>
        <w:t xml:space="preserve">. </w:t>
      </w:r>
      <w:r w:rsidRPr="00285735">
        <w:rPr>
          <w:rFonts w:ascii="Times New Roman" w:hAnsi="Times New Roman"/>
          <w:sz w:val="20"/>
          <w:szCs w:val="20"/>
        </w:rPr>
        <w:t>High porosity will lead to lower strength</w:t>
      </w:r>
      <w:r w:rsidR="008D2241">
        <w:rPr>
          <w:rFonts w:ascii="Times New Roman" w:hAnsi="Times New Roman"/>
          <w:sz w:val="20"/>
          <w:szCs w:val="20"/>
        </w:rPr>
        <w:t xml:space="preserve">. </w:t>
      </w:r>
      <w:r w:rsidRPr="00285735">
        <w:rPr>
          <w:rFonts w:ascii="Times New Roman" w:hAnsi="Times New Roman"/>
          <w:sz w:val="20"/>
          <w:szCs w:val="20"/>
        </w:rPr>
        <w:t>Also, open porosity can lead to problems with melt or slag penetration.</w:t>
      </w:r>
      <w:r w:rsidR="006608B5" w:rsidRPr="006608B5">
        <w:rPr>
          <w:rFonts w:ascii="Times New Roman" w:hAnsi="Times New Roman"/>
          <w:sz w:val="20"/>
          <w:szCs w:val="20"/>
          <w:vertAlign w:val="superscript"/>
        </w:rPr>
        <w:t>6</w:t>
      </w:r>
      <w:r w:rsidRPr="00285735">
        <w:rPr>
          <w:rFonts w:ascii="Times New Roman" w:hAnsi="Times New Roman"/>
          <w:sz w:val="20"/>
          <w:szCs w:val="20"/>
        </w:rPr>
        <w:t xml:space="preserve"> The suggested concept of a new lining material design is based on two main requirements: </w:t>
      </w:r>
    </w:p>
    <w:p w14:paraId="2193E662" w14:textId="77777777" w:rsidR="00AB5B9C" w:rsidRDefault="00AB5B9C" w:rsidP="00EF1CDC">
      <w:pPr>
        <w:pStyle w:val="NoSpacing"/>
        <w:rPr>
          <w:rFonts w:ascii="Times New Roman" w:hAnsi="Times New Roman"/>
          <w:sz w:val="20"/>
          <w:szCs w:val="20"/>
        </w:rPr>
      </w:pPr>
    </w:p>
    <w:p w14:paraId="41F9FA5E" w14:textId="77777777" w:rsidR="003F14DB" w:rsidRDefault="003F14DB" w:rsidP="00AB5B9C">
      <w:pPr>
        <w:pStyle w:val="NoSpacing"/>
        <w:numPr>
          <w:ilvl w:val="0"/>
          <w:numId w:val="12"/>
        </w:numPr>
        <w:ind w:left="540"/>
        <w:rPr>
          <w:rFonts w:ascii="Times New Roman" w:hAnsi="Times New Roman"/>
          <w:sz w:val="20"/>
          <w:szCs w:val="20"/>
        </w:rPr>
      </w:pPr>
      <w:r>
        <w:rPr>
          <w:rFonts w:ascii="Times New Roman" w:hAnsi="Times New Roman"/>
          <w:sz w:val="20"/>
          <w:szCs w:val="20"/>
        </w:rPr>
        <w:t>M</w:t>
      </w:r>
      <w:r w:rsidR="00EF1CDC" w:rsidRPr="00285735">
        <w:rPr>
          <w:rFonts w:ascii="Times New Roman" w:hAnsi="Times New Roman"/>
          <w:sz w:val="20"/>
          <w:szCs w:val="20"/>
        </w:rPr>
        <w:t xml:space="preserve">aximization of total porosity to decrease thermal diffusivity (density </w:t>
      </w:r>
      <w:r>
        <w:rPr>
          <w:rFonts w:ascii="Times New Roman" w:hAnsi="Times New Roman"/>
          <w:sz w:val="20"/>
          <w:szCs w:val="20"/>
        </w:rPr>
        <w:t>&amp;</w:t>
      </w:r>
      <w:r w:rsidR="00B55645">
        <w:rPr>
          <w:rFonts w:ascii="Times New Roman" w:hAnsi="Times New Roman"/>
          <w:sz w:val="20"/>
          <w:szCs w:val="20"/>
        </w:rPr>
        <w:t xml:space="preserve"> thermal conductivity)</w:t>
      </w:r>
      <w:r>
        <w:rPr>
          <w:rFonts w:ascii="Times New Roman" w:hAnsi="Times New Roman"/>
          <w:sz w:val="20"/>
          <w:szCs w:val="20"/>
        </w:rPr>
        <w:t>;</w:t>
      </w:r>
      <w:r w:rsidR="00B55645">
        <w:rPr>
          <w:rFonts w:ascii="Times New Roman" w:hAnsi="Times New Roman"/>
          <w:sz w:val="20"/>
          <w:szCs w:val="20"/>
        </w:rPr>
        <w:t xml:space="preserve"> and</w:t>
      </w:r>
    </w:p>
    <w:p w14:paraId="2E06CDE7" w14:textId="77777777" w:rsidR="00EF1CDC" w:rsidRPr="003F14DB" w:rsidRDefault="00EF1CDC" w:rsidP="00AB5B9C">
      <w:pPr>
        <w:pStyle w:val="NoSpacing"/>
        <w:numPr>
          <w:ilvl w:val="0"/>
          <w:numId w:val="12"/>
        </w:numPr>
        <w:ind w:left="540"/>
        <w:rPr>
          <w:rFonts w:ascii="Times New Roman" w:hAnsi="Times New Roman"/>
          <w:sz w:val="20"/>
          <w:szCs w:val="20"/>
        </w:rPr>
      </w:pPr>
      <w:r w:rsidRPr="003F14DB">
        <w:rPr>
          <w:rFonts w:ascii="Times New Roman" w:hAnsi="Times New Roman"/>
          <w:sz w:val="20"/>
          <w:szCs w:val="20"/>
        </w:rPr>
        <w:t xml:space="preserve">avoiding open porosity to prevent melt penetration. </w:t>
      </w:r>
    </w:p>
    <w:p w14:paraId="5615E405" w14:textId="77777777" w:rsidR="00EF1CDC" w:rsidRDefault="00EF1CDC" w:rsidP="00AB5B9C">
      <w:pPr>
        <w:pStyle w:val="NoSpacing"/>
        <w:ind w:left="540"/>
        <w:rPr>
          <w:rFonts w:ascii="Times New Roman" w:hAnsi="Times New Roman"/>
          <w:sz w:val="20"/>
          <w:szCs w:val="20"/>
        </w:rPr>
      </w:pPr>
    </w:p>
    <w:p w14:paraId="20D96A23" w14:textId="3F2287D5" w:rsidR="00EF1CDC" w:rsidRPr="00285735" w:rsidRDefault="00EF1CDC" w:rsidP="00EF1CDC">
      <w:pPr>
        <w:pStyle w:val="NoSpacing"/>
        <w:rPr>
          <w:rFonts w:ascii="Times New Roman" w:hAnsi="Times New Roman"/>
          <w:sz w:val="20"/>
          <w:szCs w:val="20"/>
        </w:rPr>
      </w:pPr>
      <w:r w:rsidRPr="00285735">
        <w:rPr>
          <w:rFonts w:ascii="Times New Roman" w:hAnsi="Times New Roman"/>
          <w:sz w:val="20"/>
          <w:szCs w:val="20"/>
        </w:rPr>
        <w:t>To satisfy these requirements, the addition of hollow cenosphere particles to a traditional silica lining was suggested</w:t>
      </w:r>
      <w:r w:rsidR="008D2241">
        <w:rPr>
          <w:rFonts w:ascii="Times New Roman" w:hAnsi="Times New Roman"/>
          <w:sz w:val="20"/>
          <w:szCs w:val="20"/>
        </w:rPr>
        <w:t xml:space="preserve">. </w:t>
      </w:r>
      <w:r w:rsidR="003F14DB" w:rsidRPr="00285735">
        <w:rPr>
          <w:rFonts w:ascii="Times New Roman" w:hAnsi="Times New Roman"/>
          <w:sz w:val="20"/>
          <w:szCs w:val="20"/>
        </w:rPr>
        <w:t>Cenospheres are lightweight hollow spheres filled with air or gases</w:t>
      </w:r>
      <w:r w:rsidR="003F14DB">
        <w:rPr>
          <w:rFonts w:ascii="Times New Roman" w:hAnsi="Times New Roman"/>
          <w:sz w:val="20"/>
          <w:szCs w:val="20"/>
        </w:rPr>
        <w:t xml:space="preserve"> and </w:t>
      </w:r>
      <w:r w:rsidRPr="00285735">
        <w:rPr>
          <w:rFonts w:ascii="Times New Roman" w:hAnsi="Times New Roman"/>
          <w:sz w:val="20"/>
          <w:szCs w:val="20"/>
        </w:rPr>
        <w:t xml:space="preserve">are a </w:t>
      </w:r>
      <w:r w:rsidR="003F14DB">
        <w:rPr>
          <w:rFonts w:ascii="Times New Roman" w:hAnsi="Times New Roman"/>
          <w:sz w:val="20"/>
          <w:szCs w:val="20"/>
        </w:rPr>
        <w:t>by</w:t>
      </w:r>
      <w:r w:rsidRPr="00285735">
        <w:rPr>
          <w:rFonts w:ascii="Times New Roman" w:hAnsi="Times New Roman"/>
          <w:sz w:val="20"/>
          <w:szCs w:val="20"/>
        </w:rPr>
        <w:t>product of coal fired power plants</w:t>
      </w:r>
      <w:r w:rsidR="008D2241">
        <w:rPr>
          <w:rFonts w:ascii="Times New Roman" w:hAnsi="Times New Roman"/>
          <w:sz w:val="20"/>
          <w:szCs w:val="20"/>
        </w:rPr>
        <w:t xml:space="preserve">. </w:t>
      </w:r>
      <w:r w:rsidRPr="00285735">
        <w:rPr>
          <w:rFonts w:ascii="Times New Roman" w:hAnsi="Times New Roman"/>
          <w:sz w:val="20"/>
          <w:szCs w:val="20"/>
        </w:rPr>
        <w:t>The word</w:t>
      </w:r>
      <w:r w:rsidR="00B55645">
        <w:rPr>
          <w:rFonts w:ascii="Times New Roman" w:hAnsi="Times New Roman"/>
          <w:sz w:val="20"/>
          <w:szCs w:val="20"/>
        </w:rPr>
        <w:t>, cenosphere,</w:t>
      </w:r>
      <w:r w:rsidRPr="00285735">
        <w:rPr>
          <w:rFonts w:ascii="Times New Roman" w:hAnsi="Times New Roman"/>
          <w:sz w:val="20"/>
          <w:szCs w:val="20"/>
        </w:rPr>
        <w:t xml:space="preserve"> is derived from </w:t>
      </w:r>
      <w:r w:rsidR="003F14DB">
        <w:rPr>
          <w:rFonts w:ascii="Times New Roman" w:hAnsi="Times New Roman"/>
          <w:sz w:val="20"/>
          <w:szCs w:val="20"/>
        </w:rPr>
        <w:t xml:space="preserve">the </w:t>
      </w:r>
      <w:r w:rsidRPr="00285735">
        <w:rPr>
          <w:rFonts w:ascii="Times New Roman" w:hAnsi="Times New Roman"/>
          <w:sz w:val="20"/>
          <w:szCs w:val="20"/>
        </w:rPr>
        <w:t xml:space="preserve">Greek words, kenos (hollow) and </w:t>
      </w:r>
      <w:proofErr w:type="spellStart"/>
      <w:r w:rsidRPr="00A52C92">
        <w:rPr>
          <w:rFonts w:ascii="Times New Roman" w:hAnsi="Times New Roman"/>
          <w:sz w:val="20"/>
          <w:szCs w:val="20"/>
        </w:rPr>
        <w:t>sphaira</w:t>
      </w:r>
      <w:proofErr w:type="spellEnd"/>
      <w:r w:rsidRPr="00A52C92">
        <w:rPr>
          <w:rFonts w:ascii="Times New Roman" w:hAnsi="Times New Roman"/>
          <w:sz w:val="20"/>
          <w:szCs w:val="20"/>
        </w:rPr>
        <w:t xml:space="preserve"> (sphere).</w:t>
      </w:r>
      <w:r w:rsidRPr="00285735">
        <w:rPr>
          <w:rFonts w:ascii="Times New Roman" w:hAnsi="Times New Roman"/>
          <w:sz w:val="20"/>
          <w:szCs w:val="20"/>
        </w:rPr>
        <w:t xml:space="preserve"> The properties and composition vary based on the nature of the coal, grinding operation, combustion</w:t>
      </w:r>
      <w:r w:rsidR="008D2241">
        <w:rPr>
          <w:rFonts w:ascii="Times New Roman" w:hAnsi="Times New Roman"/>
          <w:sz w:val="20"/>
          <w:szCs w:val="20"/>
        </w:rPr>
        <w:t>,</w:t>
      </w:r>
      <w:r w:rsidRPr="00285735">
        <w:rPr>
          <w:rFonts w:ascii="Times New Roman" w:hAnsi="Times New Roman"/>
          <w:sz w:val="20"/>
          <w:szCs w:val="20"/>
        </w:rPr>
        <w:t xml:space="preserve"> and withdrawal in the electricity generation process</w:t>
      </w:r>
      <w:r w:rsidR="008D2241">
        <w:rPr>
          <w:rFonts w:ascii="Times New Roman" w:hAnsi="Times New Roman"/>
          <w:sz w:val="20"/>
          <w:szCs w:val="20"/>
        </w:rPr>
        <w:t xml:space="preserve">. </w:t>
      </w:r>
      <w:r w:rsidRPr="00285735">
        <w:rPr>
          <w:rFonts w:ascii="Times New Roman" w:hAnsi="Times New Roman"/>
          <w:sz w:val="20"/>
          <w:szCs w:val="20"/>
        </w:rPr>
        <w:t xml:space="preserve">They mainly consist of silica and alumina and are inert </w:t>
      </w:r>
      <w:r w:rsidRPr="000E4D70">
        <w:rPr>
          <w:rFonts w:ascii="Times New Roman" w:hAnsi="Times New Roman"/>
          <w:sz w:val="20"/>
          <w:szCs w:val="20"/>
        </w:rPr>
        <w:t>to chemical reactions.</w:t>
      </w:r>
      <w:r w:rsidRPr="00285735">
        <w:rPr>
          <w:rFonts w:ascii="Times New Roman" w:hAnsi="Times New Roman"/>
          <w:sz w:val="20"/>
          <w:szCs w:val="20"/>
        </w:rPr>
        <w:t xml:space="preserve"> The chemical and physical properties of cenospheres make it a valuable additive to refractory materials</w:t>
      </w:r>
      <w:r w:rsidR="008D2241">
        <w:rPr>
          <w:rFonts w:ascii="Times New Roman" w:hAnsi="Times New Roman"/>
          <w:sz w:val="20"/>
          <w:szCs w:val="20"/>
        </w:rPr>
        <w:t xml:space="preserve">. </w:t>
      </w:r>
      <w:r w:rsidRPr="00285735">
        <w:rPr>
          <w:rFonts w:ascii="Times New Roman" w:hAnsi="Times New Roman"/>
          <w:sz w:val="20"/>
          <w:szCs w:val="20"/>
        </w:rPr>
        <w:t>The chemical composition is provided in Table 2</w:t>
      </w:r>
      <w:r w:rsidR="008D2241">
        <w:rPr>
          <w:rFonts w:ascii="Times New Roman" w:hAnsi="Times New Roman"/>
          <w:sz w:val="20"/>
          <w:szCs w:val="20"/>
        </w:rPr>
        <w:t xml:space="preserve">. </w:t>
      </w:r>
      <w:r w:rsidRPr="00285735">
        <w:rPr>
          <w:rFonts w:ascii="Times New Roman" w:hAnsi="Times New Roman"/>
          <w:sz w:val="20"/>
          <w:szCs w:val="20"/>
        </w:rPr>
        <w:t>Figure 2 shows the Scanning Electron Microscopic (SEM) image of cenospheres</w:t>
      </w:r>
      <w:r w:rsidR="008D2241">
        <w:rPr>
          <w:rFonts w:ascii="Times New Roman" w:hAnsi="Times New Roman"/>
          <w:sz w:val="20"/>
          <w:szCs w:val="20"/>
        </w:rPr>
        <w:t xml:space="preserve">. </w:t>
      </w:r>
      <w:r w:rsidRPr="00285735">
        <w:rPr>
          <w:rFonts w:ascii="Times New Roman" w:hAnsi="Times New Roman"/>
          <w:sz w:val="20"/>
          <w:szCs w:val="20"/>
        </w:rPr>
        <w:t>The physical properties of cenospheres are given in Table 3</w:t>
      </w:r>
      <w:r w:rsidR="008D2241">
        <w:rPr>
          <w:rFonts w:ascii="Times New Roman" w:hAnsi="Times New Roman"/>
          <w:sz w:val="20"/>
          <w:szCs w:val="20"/>
        </w:rPr>
        <w:t xml:space="preserve">. </w:t>
      </w:r>
      <w:r w:rsidRPr="00285735">
        <w:rPr>
          <w:rFonts w:ascii="Times New Roman" w:hAnsi="Times New Roman"/>
          <w:sz w:val="20"/>
          <w:szCs w:val="20"/>
        </w:rPr>
        <w:t>Cenospheres have a very low bulk thermal conductivity (0.07 W/</w:t>
      </w:r>
      <w:proofErr w:type="spellStart"/>
      <w:r w:rsidRPr="00285735">
        <w:rPr>
          <w:rFonts w:ascii="Times New Roman" w:hAnsi="Times New Roman"/>
          <w:sz w:val="20"/>
          <w:szCs w:val="20"/>
        </w:rPr>
        <w:t>mK</w:t>
      </w:r>
      <w:proofErr w:type="spellEnd"/>
      <w:r w:rsidRPr="00285735">
        <w:rPr>
          <w:rFonts w:ascii="Times New Roman" w:hAnsi="Times New Roman"/>
          <w:sz w:val="20"/>
          <w:szCs w:val="20"/>
        </w:rPr>
        <w:t>).</w:t>
      </w:r>
    </w:p>
    <w:p w14:paraId="4FC97DC8" w14:textId="77777777" w:rsidR="008D2241" w:rsidRDefault="008D2241" w:rsidP="00AC168F">
      <w:pPr>
        <w:jc w:val="both"/>
        <w:rPr>
          <w:rFonts w:ascii="Times New Roman" w:hAnsi="Times New Roman"/>
          <w:noProof/>
        </w:rPr>
      </w:pPr>
    </w:p>
    <w:p w14:paraId="7FEB3CEA" w14:textId="77777777" w:rsidR="00EF1CDC" w:rsidRDefault="00EF1CDC" w:rsidP="00EF1CDC">
      <w:pPr>
        <w:ind w:firstLineChars="50" w:firstLine="90"/>
        <w:jc w:val="center"/>
        <w:rPr>
          <w:rFonts w:ascii="Arial" w:hAnsi="Arial" w:cs="Arial"/>
          <w:b/>
          <w:i/>
          <w:sz w:val="18"/>
          <w:szCs w:val="18"/>
        </w:rPr>
      </w:pPr>
      <w:r w:rsidRPr="00EF1CDC">
        <w:rPr>
          <w:rFonts w:ascii="Arial" w:hAnsi="Arial" w:cs="Arial"/>
          <w:b/>
          <w:i/>
          <w:sz w:val="18"/>
          <w:szCs w:val="18"/>
        </w:rPr>
        <w:t>Table 2</w:t>
      </w:r>
      <w:r w:rsidR="008D2241">
        <w:rPr>
          <w:rFonts w:ascii="Arial" w:hAnsi="Arial" w:cs="Arial"/>
          <w:b/>
          <w:i/>
          <w:sz w:val="18"/>
          <w:szCs w:val="18"/>
        </w:rPr>
        <w:t xml:space="preserve">. </w:t>
      </w:r>
      <w:r w:rsidRPr="00EF1CDC">
        <w:rPr>
          <w:rFonts w:ascii="Arial" w:hAnsi="Arial" w:cs="Arial"/>
          <w:b/>
          <w:i/>
          <w:sz w:val="18"/>
          <w:szCs w:val="18"/>
        </w:rPr>
        <w:t xml:space="preserve">Chemical </w:t>
      </w:r>
      <w:r w:rsidR="0011542B" w:rsidRPr="00EF1CDC">
        <w:rPr>
          <w:rFonts w:ascii="Arial" w:hAnsi="Arial" w:cs="Arial"/>
          <w:b/>
          <w:i/>
          <w:sz w:val="18"/>
          <w:szCs w:val="18"/>
        </w:rPr>
        <w:t>Compositio</w:t>
      </w:r>
      <w:r w:rsidRPr="00EF1CDC">
        <w:rPr>
          <w:rFonts w:ascii="Arial" w:hAnsi="Arial" w:cs="Arial"/>
          <w:b/>
          <w:i/>
          <w:sz w:val="18"/>
          <w:szCs w:val="18"/>
        </w:rPr>
        <w:t xml:space="preserve">n of </w:t>
      </w:r>
      <w:r w:rsidR="0011542B" w:rsidRPr="00EF1CDC">
        <w:rPr>
          <w:rFonts w:ascii="Arial" w:hAnsi="Arial" w:cs="Arial"/>
          <w:b/>
          <w:i/>
          <w:sz w:val="18"/>
          <w:szCs w:val="18"/>
        </w:rPr>
        <w:t>Ceno</w:t>
      </w:r>
      <w:r w:rsidRPr="00EF1CDC">
        <w:rPr>
          <w:rFonts w:ascii="Arial" w:hAnsi="Arial" w:cs="Arial"/>
          <w:b/>
          <w:i/>
          <w:sz w:val="18"/>
          <w:szCs w:val="18"/>
        </w:rPr>
        <w:t xml:space="preserve">spheres </w:t>
      </w:r>
      <w:r w:rsidR="003F14DB">
        <w:rPr>
          <w:rFonts w:ascii="Arial" w:hAnsi="Arial" w:cs="Arial"/>
          <w:b/>
          <w:i/>
          <w:sz w:val="18"/>
          <w:szCs w:val="18"/>
        </w:rPr>
        <w:t>(</w:t>
      </w:r>
      <w:r w:rsidR="0011542B" w:rsidRPr="00EF1CDC">
        <w:rPr>
          <w:rFonts w:ascii="Arial" w:hAnsi="Arial" w:cs="Arial"/>
          <w:b/>
          <w:i/>
          <w:sz w:val="18"/>
          <w:szCs w:val="18"/>
        </w:rPr>
        <w:t>Pro</w:t>
      </w:r>
      <w:r w:rsidRPr="00EF1CDC">
        <w:rPr>
          <w:rFonts w:ascii="Arial" w:hAnsi="Arial" w:cs="Arial"/>
          <w:b/>
          <w:i/>
          <w:sz w:val="18"/>
          <w:szCs w:val="18"/>
        </w:rPr>
        <w:t xml:space="preserve">vided by </w:t>
      </w:r>
      <w:r w:rsidR="00E558B3">
        <w:rPr>
          <w:rFonts w:ascii="Arial" w:hAnsi="Arial" w:cs="Arial"/>
          <w:b/>
          <w:i/>
          <w:sz w:val="18"/>
          <w:szCs w:val="18"/>
        </w:rPr>
        <w:t>ST</w:t>
      </w:r>
      <w:r w:rsidR="003F14DB">
        <w:rPr>
          <w:rFonts w:ascii="Arial" w:hAnsi="Arial" w:cs="Arial"/>
          <w:b/>
          <w:i/>
          <w:sz w:val="18"/>
          <w:szCs w:val="18"/>
        </w:rPr>
        <w:t xml:space="preserve"> </w:t>
      </w:r>
      <w:r w:rsidR="0011542B" w:rsidRPr="00EF1CDC">
        <w:rPr>
          <w:rFonts w:ascii="Arial" w:hAnsi="Arial" w:cs="Arial"/>
          <w:b/>
          <w:i/>
          <w:sz w:val="18"/>
          <w:szCs w:val="18"/>
        </w:rPr>
        <w:t>Sup</w:t>
      </w:r>
      <w:r w:rsidRPr="00EF1CDC">
        <w:rPr>
          <w:rFonts w:ascii="Arial" w:hAnsi="Arial" w:cs="Arial"/>
          <w:b/>
          <w:i/>
          <w:sz w:val="18"/>
          <w:szCs w:val="18"/>
        </w:rPr>
        <w:t>plier</w:t>
      </w:r>
      <w:r w:rsidR="003F14DB">
        <w:rPr>
          <w:rFonts w:ascii="Arial" w:hAnsi="Arial" w:cs="Arial"/>
          <w:b/>
          <w:i/>
          <w:sz w:val="18"/>
          <w:szCs w:val="18"/>
        </w:rPr>
        <w:t>, Inc.)</w:t>
      </w:r>
    </w:p>
    <w:p w14:paraId="7E8CE659" w14:textId="77777777" w:rsidR="008505E4" w:rsidRPr="00EF1CDC" w:rsidRDefault="008505E4" w:rsidP="00EF1CDC">
      <w:pPr>
        <w:ind w:firstLineChars="50" w:firstLine="90"/>
        <w:jc w:val="center"/>
        <w:rPr>
          <w:rFonts w:ascii="Arial" w:hAnsi="Arial" w:cs="Arial"/>
          <w:b/>
          <w:i/>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4"/>
        <w:gridCol w:w="720"/>
        <w:gridCol w:w="720"/>
        <w:gridCol w:w="720"/>
        <w:gridCol w:w="720"/>
        <w:gridCol w:w="720"/>
      </w:tblGrid>
      <w:tr w:rsidR="008505E4" w:rsidRPr="008F64BA" w14:paraId="04563FE4" w14:textId="77777777" w:rsidTr="008F64BA">
        <w:trPr>
          <w:trHeight w:val="291"/>
          <w:jc w:val="center"/>
        </w:trPr>
        <w:tc>
          <w:tcPr>
            <w:tcW w:w="728" w:type="dxa"/>
            <w:shd w:val="clear" w:color="auto" w:fill="auto"/>
          </w:tcPr>
          <w:p w14:paraId="7E6DE295" w14:textId="77777777" w:rsidR="008505E4" w:rsidRPr="008F64BA" w:rsidRDefault="008505E4" w:rsidP="008505E4">
            <w:pPr>
              <w:jc w:val="center"/>
              <w:rPr>
                <w:rFonts w:ascii="Times New Roman" w:hAnsi="Times New Roman"/>
                <w:b/>
              </w:rPr>
            </w:pPr>
            <w:r w:rsidRPr="008F64BA">
              <w:rPr>
                <w:rFonts w:ascii="Times New Roman" w:hAnsi="Times New Roman"/>
                <w:b/>
              </w:rPr>
              <w:t>SiO</w:t>
            </w:r>
            <w:r w:rsidRPr="008F64BA">
              <w:rPr>
                <w:rFonts w:ascii="Times New Roman" w:hAnsi="Times New Roman"/>
                <w:b/>
                <w:vertAlign w:val="subscript"/>
              </w:rPr>
              <w:t>2</w:t>
            </w:r>
          </w:p>
        </w:tc>
        <w:tc>
          <w:tcPr>
            <w:tcW w:w="720" w:type="dxa"/>
            <w:shd w:val="clear" w:color="auto" w:fill="auto"/>
          </w:tcPr>
          <w:p w14:paraId="589A70E1" w14:textId="77777777" w:rsidR="008505E4" w:rsidRPr="008F64BA" w:rsidRDefault="008505E4" w:rsidP="008505E4">
            <w:pPr>
              <w:jc w:val="center"/>
              <w:rPr>
                <w:rFonts w:ascii="Times New Roman" w:hAnsi="Times New Roman"/>
                <w:b/>
              </w:rPr>
            </w:pPr>
            <w:r w:rsidRPr="008F64BA">
              <w:rPr>
                <w:rFonts w:ascii="Times New Roman" w:hAnsi="Times New Roman"/>
                <w:b/>
              </w:rPr>
              <w:t>Al</w:t>
            </w:r>
            <w:r w:rsidRPr="008F64BA">
              <w:rPr>
                <w:rFonts w:ascii="Times New Roman" w:hAnsi="Times New Roman"/>
                <w:b/>
                <w:vertAlign w:val="subscript"/>
              </w:rPr>
              <w:t>2</w:t>
            </w:r>
            <w:r w:rsidRPr="008F64BA">
              <w:rPr>
                <w:rFonts w:ascii="Times New Roman" w:hAnsi="Times New Roman"/>
                <w:b/>
              </w:rPr>
              <w:t>O</w:t>
            </w:r>
            <w:r w:rsidRPr="008F64BA">
              <w:rPr>
                <w:rFonts w:ascii="Times New Roman" w:hAnsi="Times New Roman"/>
                <w:b/>
                <w:vertAlign w:val="subscript"/>
              </w:rPr>
              <w:t>3</w:t>
            </w:r>
          </w:p>
        </w:tc>
        <w:tc>
          <w:tcPr>
            <w:tcW w:w="720" w:type="dxa"/>
            <w:shd w:val="clear" w:color="auto" w:fill="auto"/>
          </w:tcPr>
          <w:p w14:paraId="37E9403B" w14:textId="77777777" w:rsidR="008505E4" w:rsidRPr="008F64BA" w:rsidRDefault="008505E4" w:rsidP="008505E4">
            <w:pPr>
              <w:jc w:val="center"/>
              <w:rPr>
                <w:rFonts w:ascii="Times New Roman" w:hAnsi="Times New Roman"/>
                <w:b/>
              </w:rPr>
            </w:pPr>
            <w:r w:rsidRPr="008F64BA">
              <w:rPr>
                <w:rFonts w:ascii="Times New Roman" w:hAnsi="Times New Roman"/>
                <w:b/>
              </w:rPr>
              <w:t>Fe</w:t>
            </w:r>
            <w:r w:rsidRPr="008F64BA">
              <w:rPr>
                <w:rFonts w:ascii="Times New Roman" w:hAnsi="Times New Roman"/>
                <w:b/>
                <w:vertAlign w:val="subscript"/>
              </w:rPr>
              <w:t>2</w:t>
            </w:r>
            <w:r w:rsidRPr="008F64BA">
              <w:rPr>
                <w:rFonts w:ascii="Times New Roman" w:hAnsi="Times New Roman"/>
                <w:b/>
              </w:rPr>
              <w:t>O</w:t>
            </w:r>
            <w:r w:rsidRPr="008F64BA">
              <w:rPr>
                <w:rFonts w:ascii="Times New Roman" w:hAnsi="Times New Roman"/>
                <w:b/>
                <w:vertAlign w:val="subscript"/>
              </w:rPr>
              <w:t>3</w:t>
            </w:r>
          </w:p>
        </w:tc>
        <w:tc>
          <w:tcPr>
            <w:tcW w:w="650" w:type="dxa"/>
            <w:shd w:val="clear" w:color="auto" w:fill="auto"/>
          </w:tcPr>
          <w:p w14:paraId="0A51DEC5" w14:textId="77777777" w:rsidR="008505E4" w:rsidRPr="008F64BA" w:rsidRDefault="008505E4" w:rsidP="008505E4">
            <w:pPr>
              <w:jc w:val="center"/>
              <w:rPr>
                <w:rFonts w:ascii="Times New Roman" w:hAnsi="Times New Roman"/>
                <w:b/>
              </w:rPr>
            </w:pPr>
            <w:proofErr w:type="spellStart"/>
            <w:r w:rsidRPr="008F64BA">
              <w:rPr>
                <w:rFonts w:ascii="Times New Roman" w:hAnsi="Times New Roman"/>
                <w:b/>
              </w:rPr>
              <w:t>CaO</w:t>
            </w:r>
            <w:proofErr w:type="spellEnd"/>
          </w:p>
        </w:tc>
        <w:tc>
          <w:tcPr>
            <w:tcW w:w="720" w:type="dxa"/>
            <w:shd w:val="clear" w:color="auto" w:fill="auto"/>
          </w:tcPr>
          <w:p w14:paraId="01DBDC0D" w14:textId="77777777" w:rsidR="008505E4" w:rsidRPr="008F64BA" w:rsidRDefault="008505E4" w:rsidP="008505E4">
            <w:pPr>
              <w:jc w:val="center"/>
              <w:rPr>
                <w:rFonts w:ascii="Times New Roman" w:hAnsi="Times New Roman"/>
                <w:b/>
              </w:rPr>
            </w:pPr>
            <w:r w:rsidRPr="008F64BA">
              <w:rPr>
                <w:rFonts w:ascii="Times New Roman" w:hAnsi="Times New Roman"/>
                <w:b/>
              </w:rPr>
              <w:t>MgO</w:t>
            </w:r>
          </w:p>
        </w:tc>
        <w:tc>
          <w:tcPr>
            <w:tcW w:w="720" w:type="dxa"/>
            <w:shd w:val="clear" w:color="auto" w:fill="auto"/>
          </w:tcPr>
          <w:p w14:paraId="6A957FD7" w14:textId="77777777" w:rsidR="008505E4" w:rsidRPr="008F64BA" w:rsidRDefault="008505E4" w:rsidP="008505E4">
            <w:pPr>
              <w:jc w:val="center"/>
              <w:rPr>
                <w:rFonts w:ascii="Times New Roman" w:hAnsi="Times New Roman"/>
                <w:b/>
              </w:rPr>
            </w:pPr>
            <w:r w:rsidRPr="008F64BA">
              <w:rPr>
                <w:rFonts w:ascii="Times New Roman" w:hAnsi="Times New Roman"/>
                <w:b/>
              </w:rPr>
              <w:t>K</w:t>
            </w:r>
            <w:r w:rsidRPr="008F64BA">
              <w:rPr>
                <w:rFonts w:ascii="Times New Roman" w:hAnsi="Times New Roman"/>
                <w:b/>
                <w:vertAlign w:val="subscript"/>
              </w:rPr>
              <w:t>2</w:t>
            </w:r>
            <w:r w:rsidRPr="008F64BA">
              <w:rPr>
                <w:rFonts w:ascii="Times New Roman" w:hAnsi="Times New Roman"/>
                <w:b/>
              </w:rPr>
              <w:t>O</w:t>
            </w:r>
          </w:p>
        </w:tc>
      </w:tr>
      <w:tr w:rsidR="008505E4" w:rsidRPr="00EF1CDC" w14:paraId="006DF031" w14:textId="77777777" w:rsidTr="008F64BA">
        <w:trPr>
          <w:trHeight w:val="273"/>
          <w:jc w:val="center"/>
        </w:trPr>
        <w:tc>
          <w:tcPr>
            <w:tcW w:w="864" w:type="dxa"/>
            <w:shd w:val="clear" w:color="auto" w:fill="auto"/>
          </w:tcPr>
          <w:p w14:paraId="7BDDBDB4" w14:textId="77777777" w:rsidR="008505E4" w:rsidRPr="00EF1CDC" w:rsidRDefault="008505E4" w:rsidP="00AE5D80">
            <w:pPr>
              <w:jc w:val="center"/>
              <w:rPr>
                <w:rFonts w:ascii="Times New Roman" w:hAnsi="Times New Roman"/>
              </w:rPr>
            </w:pPr>
            <w:r w:rsidRPr="00EF1CDC">
              <w:rPr>
                <w:rFonts w:ascii="Times New Roman" w:hAnsi="Times New Roman"/>
              </w:rPr>
              <w:t>50</w:t>
            </w:r>
            <w:r>
              <w:rPr>
                <w:rFonts w:ascii="Times New Roman" w:hAnsi="Times New Roman"/>
              </w:rPr>
              <w:t>.00</w:t>
            </w:r>
            <w:r w:rsidR="008D2241">
              <w:rPr>
                <w:rFonts w:ascii="Times New Roman" w:hAnsi="Times New Roman"/>
              </w:rPr>
              <w:t>‒</w:t>
            </w:r>
            <w:r w:rsidRPr="00EF1CDC">
              <w:rPr>
                <w:rFonts w:ascii="Times New Roman" w:hAnsi="Times New Roman"/>
              </w:rPr>
              <w:t>65</w:t>
            </w:r>
            <w:r>
              <w:rPr>
                <w:rFonts w:ascii="Times New Roman" w:hAnsi="Times New Roman"/>
              </w:rPr>
              <w:t>.00</w:t>
            </w:r>
          </w:p>
        </w:tc>
        <w:tc>
          <w:tcPr>
            <w:tcW w:w="720" w:type="dxa"/>
            <w:shd w:val="clear" w:color="auto" w:fill="auto"/>
          </w:tcPr>
          <w:p w14:paraId="04C3A538" w14:textId="77777777" w:rsidR="008505E4" w:rsidRPr="00EF1CDC" w:rsidRDefault="008505E4" w:rsidP="00AE5D80">
            <w:pPr>
              <w:jc w:val="center"/>
              <w:rPr>
                <w:rFonts w:ascii="Times New Roman" w:hAnsi="Times New Roman"/>
              </w:rPr>
            </w:pPr>
            <w:r w:rsidRPr="00EF1CDC">
              <w:rPr>
                <w:rFonts w:ascii="Times New Roman" w:hAnsi="Times New Roman"/>
              </w:rPr>
              <w:t>28</w:t>
            </w:r>
            <w:r>
              <w:rPr>
                <w:rFonts w:ascii="Times New Roman" w:hAnsi="Times New Roman"/>
              </w:rPr>
              <w:t>.00</w:t>
            </w:r>
            <w:r w:rsidRPr="00EF1CDC">
              <w:rPr>
                <w:rFonts w:ascii="Times New Roman" w:hAnsi="Times New Roman"/>
              </w:rPr>
              <w:t xml:space="preserve"> min.</w:t>
            </w:r>
          </w:p>
        </w:tc>
        <w:tc>
          <w:tcPr>
            <w:tcW w:w="720" w:type="dxa"/>
            <w:shd w:val="clear" w:color="auto" w:fill="auto"/>
          </w:tcPr>
          <w:p w14:paraId="60A60E83" w14:textId="77777777" w:rsidR="008505E4" w:rsidRPr="00EF1CDC" w:rsidRDefault="008505E4" w:rsidP="00AE5D80">
            <w:pPr>
              <w:jc w:val="center"/>
              <w:rPr>
                <w:rFonts w:ascii="Times New Roman" w:hAnsi="Times New Roman"/>
              </w:rPr>
            </w:pPr>
            <w:r w:rsidRPr="00EF1CDC">
              <w:rPr>
                <w:rFonts w:ascii="Times New Roman" w:hAnsi="Times New Roman"/>
              </w:rPr>
              <w:t>0.5</w:t>
            </w:r>
            <w:r>
              <w:rPr>
                <w:rFonts w:ascii="Times New Roman" w:hAnsi="Times New Roman"/>
              </w:rPr>
              <w:t>0</w:t>
            </w:r>
            <w:r w:rsidR="008D2241">
              <w:rPr>
                <w:rFonts w:ascii="Times New Roman" w:hAnsi="Times New Roman"/>
              </w:rPr>
              <w:t>‒</w:t>
            </w:r>
            <w:r w:rsidRPr="00EF1CDC">
              <w:rPr>
                <w:rFonts w:ascii="Times New Roman" w:hAnsi="Times New Roman"/>
              </w:rPr>
              <w:t>5.0</w:t>
            </w:r>
            <w:r>
              <w:rPr>
                <w:rFonts w:ascii="Times New Roman" w:hAnsi="Times New Roman"/>
              </w:rPr>
              <w:t>0</w:t>
            </w:r>
          </w:p>
        </w:tc>
        <w:tc>
          <w:tcPr>
            <w:tcW w:w="720" w:type="dxa"/>
            <w:shd w:val="clear" w:color="auto" w:fill="auto"/>
          </w:tcPr>
          <w:p w14:paraId="5D87A821" w14:textId="77777777" w:rsidR="008505E4" w:rsidRPr="00EF1CDC" w:rsidRDefault="008505E4" w:rsidP="00AE5D80">
            <w:pPr>
              <w:jc w:val="center"/>
              <w:rPr>
                <w:rFonts w:ascii="Times New Roman" w:hAnsi="Times New Roman"/>
              </w:rPr>
            </w:pPr>
            <w:r w:rsidRPr="00EF1CDC">
              <w:rPr>
                <w:rFonts w:ascii="Times New Roman" w:hAnsi="Times New Roman"/>
              </w:rPr>
              <w:t>0.5</w:t>
            </w:r>
            <w:r>
              <w:rPr>
                <w:rFonts w:ascii="Times New Roman" w:hAnsi="Times New Roman"/>
              </w:rPr>
              <w:t>0</w:t>
            </w:r>
            <w:r w:rsidR="008D2241">
              <w:rPr>
                <w:rFonts w:ascii="Times New Roman" w:hAnsi="Times New Roman"/>
              </w:rPr>
              <w:t>‒</w:t>
            </w:r>
            <w:r w:rsidRPr="00EF1CDC">
              <w:rPr>
                <w:rFonts w:ascii="Times New Roman" w:hAnsi="Times New Roman"/>
              </w:rPr>
              <w:t>3.5</w:t>
            </w:r>
            <w:r>
              <w:rPr>
                <w:rFonts w:ascii="Times New Roman" w:hAnsi="Times New Roman"/>
              </w:rPr>
              <w:t>0</w:t>
            </w:r>
          </w:p>
        </w:tc>
        <w:tc>
          <w:tcPr>
            <w:tcW w:w="720" w:type="dxa"/>
            <w:shd w:val="clear" w:color="auto" w:fill="auto"/>
          </w:tcPr>
          <w:p w14:paraId="3849F373" w14:textId="77777777" w:rsidR="008505E4" w:rsidRPr="00EF1CDC" w:rsidRDefault="008505E4" w:rsidP="00AE5D80">
            <w:pPr>
              <w:jc w:val="center"/>
              <w:rPr>
                <w:rFonts w:ascii="Times New Roman" w:hAnsi="Times New Roman"/>
              </w:rPr>
            </w:pPr>
            <w:r w:rsidRPr="00EF1CDC">
              <w:rPr>
                <w:rFonts w:ascii="Times New Roman" w:hAnsi="Times New Roman"/>
              </w:rPr>
              <w:t>0.8</w:t>
            </w:r>
            <w:r>
              <w:rPr>
                <w:rFonts w:ascii="Times New Roman" w:hAnsi="Times New Roman"/>
              </w:rPr>
              <w:t>0</w:t>
            </w:r>
            <w:r w:rsidR="008D2241">
              <w:rPr>
                <w:rFonts w:ascii="Times New Roman" w:hAnsi="Times New Roman"/>
              </w:rPr>
              <w:t>‒</w:t>
            </w:r>
            <w:r w:rsidRPr="00EF1CDC">
              <w:rPr>
                <w:rFonts w:ascii="Times New Roman" w:hAnsi="Times New Roman"/>
              </w:rPr>
              <w:t>2.0</w:t>
            </w:r>
            <w:r>
              <w:rPr>
                <w:rFonts w:ascii="Times New Roman" w:hAnsi="Times New Roman"/>
              </w:rPr>
              <w:t>0</w:t>
            </w:r>
          </w:p>
        </w:tc>
        <w:tc>
          <w:tcPr>
            <w:tcW w:w="720" w:type="dxa"/>
            <w:shd w:val="clear" w:color="auto" w:fill="auto"/>
          </w:tcPr>
          <w:p w14:paraId="080D471E" w14:textId="77777777" w:rsidR="008505E4" w:rsidRPr="00EF1CDC" w:rsidRDefault="008505E4" w:rsidP="00AE5D80">
            <w:pPr>
              <w:jc w:val="center"/>
              <w:rPr>
                <w:rFonts w:ascii="Times New Roman" w:hAnsi="Times New Roman"/>
              </w:rPr>
            </w:pPr>
            <w:r w:rsidRPr="00EF1CDC">
              <w:rPr>
                <w:rFonts w:ascii="Times New Roman" w:hAnsi="Times New Roman"/>
              </w:rPr>
              <w:t>1</w:t>
            </w:r>
            <w:r>
              <w:rPr>
                <w:rFonts w:ascii="Times New Roman" w:hAnsi="Times New Roman"/>
              </w:rPr>
              <w:t>.00</w:t>
            </w:r>
            <w:r w:rsidR="008D2241">
              <w:rPr>
                <w:rFonts w:ascii="Times New Roman" w:hAnsi="Times New Roman"/>
              </w:rPr>
              <w:t>‒</w:t>
            </w:r>
            <w:r w:rsidRPr="00EF1CDC">
              <w:rPr>
                <w:rFonts w:ascii="Times New Roman" w:hAnsi="Times New Roman"/>
              </w:rPr>
              <w:t>4</w:t>
            </w:r>
            <w:r>
              <w:rPr>
                <w:rFonts w:ascii="Times New Roman" w:hAnsi="Times New Roman"/>
              </w:rPr>
              <w:t>.00</w:t>
            </w:r>
          </w:p>
        </w:tc>
      </w:tr>
    </w:tbl>
    <w:p w14:paraId="14A43450" w14:textId="77777777" w:rsidR="00AB5B9C" w:rsidRDefault="00AB5B9C" w:rsidP="00EF1CDC">
      <w:pPr>
        <w:pStyle w:val="NoSpacing"/>
        <w:rPr>
          <w:rFonts w:ascii="Times New Roman" w:hAnsi="Times New Roman"/>
          <w:sz w:val="20"/>
          <w:szCs w:val="20"/>
        </w:rPr>
      </w:pPr>
    </w:p>
    <w:p w14:paraId="7A77907D" w14:textId="77777777" w:rsidR="00EF1CDC" w:rsidRDefault="004F2D6D" w:rsidP="00EF1CDC">
      <w:pPr>
        <w:pStyle w:val="NoSpacing"/>
        <w:rPr>
          <w:rFonts w:ascii="Times New Roman" w:hAnsi="Times New Roman"/>
          <w:sz w:val="20"/>
          <w:szCs w:val="20"/>
        </w:rPr>
      </w:pPr>
      <w:r>
        <w:rPr>
          <w:rFonts w:ascii="Times New Roman" w:hAnsi="Times New Roman"/>
          <w:sz w:val="20"/>
          <w:szCs w:val="20"/>
        </w:rPr>
        <w:t>The a</w:t>
      </w:r>
      <w:r w:rsidR="00EF1CDC" w:rsidRPr="00285735">
        <w:rPr>
          <w:rFonts w:ascii="Times New Roman" w:hAnsi="Times New Roman"/>
          <w:sz w:val="20"/>
          <w:szCs w:val="20"/>
        </w:rPr>
        <w:t>ddition of hollow cenospheres to silica sand linings increases total porosity without increasing open porosity</w:t>
      </w:r>
      <w:r w:rsidR="008D2241">
        <w:rPr>
          <w:rFonts w:ascii="Times New Roman" w:hAnsi="Times New Roman"/>
          <w:sz w:val="20"/>
          <w:szCs w:val="20"/>
        </w:rPr>
        <w:t xml:space="preserve">. </w:t>
      </w:r>
    </w:p>
    <w:p w14:paraId="57EF164A" w14:textId="77777777" w:rsidR="001D6120" w:rsidRPr="00285735" w:rsidRDefault="001D6120" w:rsidP="00EF1CDC">
      <w:pPr>
        <w:pStyle w:val="NoSpacing"/>
        <w:rPr>
          <w:rFonts w:ascii="Times New Roman" w:hAnsi="Times New Roman"/>
          <w:sz w:val="20"/>
          <w:szCs w:val="20"/>
        </w:rPr>
      </w:pPr>
    </w:p>
    <w:p w14:paraId="0A36F552" w14:textId="7A71CB12" w:rsidR="00974A60" w:rsidRPr="00285735" w:rsidRDefault="00F1214B" w:rsidP="00AB5B9C">
      <w:pPr>
        <w:pStyle w:val="NoSpacing"/>
        <w:rPr>
          <w:rFonts w:ascii="Times New Roman" w:hAnsi="Times New Roman"/>
          <w:sz w:val="20"/>
          <w:szCs w:val="20"/>
        </w:rPr>
      </w:pPr>
      <w:r w:rsidRPr="00974A60">
        <w:rPr>
          <w:rFonts w:ascii="Times New Roman" w:hAnsi="Times New Roman"/>
          <w:noProof/>
          <w:sz w:val="20"/>
          <w:szCs w:val="20"/>
        </w:rPr>
        <w:drawing>
          <wp:inline distT="0" distB="0" distL="0" distR="0" wp14:anchorId="63B55D7D" wp14:editId="3F544C2B">
            <wp:extent cx="2638425" cy="1524000"/>
            <wp:effectExtent l="0" t="0" r="0" b="0"/>
            <wp:docPr id="5" name="Picture 19" descr="H:\Paper Prep\te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Paper Prep\test 1.jpg"/>
                    <pic:cNvPicPr>
                      <a:picLocks noChangeAspect="1" noChangeArrowheads="1"/>
                    </pic:cNvPicPr>
                  </pic:nvPicPr>
                  <pic:blipFill>
                    <a:blip r:embed="rId14" cstate="print">
                      <a:extLst>
                        <a:ext uri="{28A0092B-C50C-407E-A947-70E740481C1C}">
                          <a14:useLocalDpi xmlns:a14="http://schemas.microsoft.com/office/drawing/2010/main" val="0"/>
                        </a:ext>
                      </a:extLst>
                    </a:blip>
                    <a:srcRect l="2010" r="819" b="1215"/>
                    <a:stretch>
                      <a:fillRect/>
                    </a:stretch>
                  </pic:blipFill>
                  <pic:spPr bwMode="auto">
                    <a:xfrm>
                      <a:off x="0" y="0"/>
                      <a:ext cx="2638425" cy="1524000"/>
                    </a:xfrm>
                    <a:prstGeom prst="rect">
                      <a:avLst/>
                    </a:prstGeom>
                    <a:noFill/>
                    <a:ln>
                      <a:noFill/>
                    </a:ln>
                  </pic:spPr>
                </pic:pic>
              </a:graphicData>
            </a:graphic>
          </wp:inline>
        </w:drawing>
      </w:r>
    </w:p>
    <w:p w14:paraId="796DF57F" w14:textId="77777777" w:rsidR="00974A60" w:rsidRDefault="00974A60" w:rsidP="00974A60">
      <w:pPr>
        <w:pStyle w:val="NoSpacing"/>
        <w:jc w:val="center"/>
        <w:rPr>
          <w:rFonts w:ascii="Times New Roman" w:hAnsi="Times New Roman"/>
          <w:sz w:val="20"/>
          <w:szCs w:val="20"/>
        </w:rPr>
      </w:pPr>
      <w:r w:rsidRPr="00285735">
        <w:rPr>
          <w:rFonts w:ascii="Times New Roman" w:hAnsi="Times New Roman"/>
          <w:sz w:val="20"/>
          <w:szCs w:val="20"/>
        </w:rPr>
        <w:t>(a)</w:t>
      </w:r>
    </w:p>
    <w:p w14:paraId="0A6FF782" w14:textId="77777777" w:rsidR="00360558" w:rsidRPr="00285735" w:rsidRDefault="00360558" w:rsidP="00974A60">
      <w:pPr>
        <w:pStyle w:val="NoSpacing"/>
        <w:jc w:val="center"/>
        <w:rPr>
          <w:rFonts w:ascii="Times New Roman" w:hAnsi="Times New Roman"/>
          <w:sz w:val="20"/>
          <w:szCs w:val="20"/>
        </w:rPr>
      </w:pPr>
    </w:p>
    <w:tbl>
      <w:tblPr>
        <w:tblW w:w="0" w:type="auto"/>
        <w:tblLook w:val="04A0" w:firstRow="1" w:lastRow="0" w:firstColumn="1" w:lastColumn="0" w:noHBand="0" w:noVBand="1"/>
      </w:tblPr>
      <w:tblGrid>
        <w:gridCol w:w="4161"/>
        <w:gridCol w:w="332"/>
      </w:tblGrid>
      <w:tr w:rsidR="00360558" w:rsidRPr="00285735" w14:paraId="75A1222E" w14:textId="77777777" w:rsidTr="00360558">
        <w:trPr>
          <w:trHeight w:val="3493"/>
        </w:trPr>
        <w:tc>
          <w:tcPr>
            <w:tcW w:w="4002" w:type="dxa"/>
          </w:tcPr>
          <w:p w14:paraId="0476FF23" w14:textId="45DD8A06" w:rsidR="00360558" w:rsidRPr="00974A60" w:rsidRDefault="00F1214B" w:rsidP="00606142">
            <w:pPr>
              <w:pStyle w:val="NoSpacing"/>
              <w:jc w:val="center"/>
              <w:rPr>
                <w:rFonts w:ascii="Times New Roman" w:hAnsi="Times New Roman"/>
                <w:sz w:val="20"/>
                <w:szCs w:val="20"/>
              </w:rPr>
            </w:pPr>
            <w:r w:rsidRPr="00974A60">
              <w:rPr>
                <w:rFonts w:ascii="Times New Roman" w:hAnsi="Times New Roman"/>
                <w:noProof/>
                <w:sz w:val="20"/>
                <w:szCs w:val="20"/>
              </w:rPr>
              <w:drawing>
                <wp:inline distT="0" distB="0" distL="0" distR="0" wp14:anchorId="3FD07AA6" wp14:editId="6C319993">
                  <wp:extent cx="2438400" cy="1847850"/>
                  <wp:effectExtent l="0" t="0" r="0" b="0"/>
                  <wp:docPr id="6" name="Picture 3" descr="H:\Paper Prep\Paper 3\0 pct b4 t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aper Prep\Paper 3\0 pct b4 ta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1847850"/>
                          </a:xfrm>
                          <a:prstGeom prst="rect">
                            <a:avLst/>
                          </a:prstGeom>
                          <a:noFill/>
                          <a:ln>
                            <a:noFill/>
                          </a:ln>
                        </pic:spPr>
                      </pic:pic>
                    </a:graphicData>
                  </a:graphic>
                </wp:inline>
              </w:drawing>
            </w:r>
          </w:p>
          <w:p w14:paraId="64268B13" w14:textId="77777777" w:rsidR="00360558" w:rsidRPr="00974A60" w:rsidRDefault="00360558" w:rsidP="00974A60">
            <w:pPr>
              <w:pStyle w:val="NoSpacing"/>
              <w:jc w:val="center"/>
              <w:rPr>
                <w:rFonts w:ascii="Times New Roman" w:hAnsi="Times New Roman"/>
                <w:sz w:val="20"/>
                <w:szCs w:val="20"/>
              </w:rPr>
            </w:pPr>
            <w:r w:rsidRPr="00974A60">
              <w:rPr>
                <w:rFonts w:ascii="Times New Roman" w:hAnsi="Times New Roman"/>
                <w:sz w:val="20"/>
                <w:szCs w:val="20"/>
              </w:rPr>
              <w:t>(b)</w:t>
            </w:r>
          </w:p>
          <w:p w14:paraId="35B23BEF" w14:textId="77777777" w:rsidR="00360558" w:rsidRPr="00974A60" w:rsidRDefault="00360558" w:rsidP="00974A60">
            <w:pPr>
              <w:pStyle w:val="NoSpacing"/>
              <w:jc w:val="center"/>
              <w:rPr>
                <w:rFonts w:ascii="Times New Roman" w:hAnsi="Times New Roman"/>
                <w:sz w:val="20"/>
                <w:szCs w:val="20"/>
              </w:rPr>
            </w:pPr>
          </w:p>
        </w:tc>
        <w:tc>
          <w:tcPr>
            <w:tcW w:w="332" w:type="dxa"/>
          </w:tcPr>
          <w:p w14:paraId="11B2061C" w14:textId="77777777" w:rsidR="00360558" w:rsidRPr="00974A60" w:rsidRDefault="00360558" w:rsidP="00B401D6">
            <w:pPr>
              <w:pStyle w:val="NoSpacing"/>
              <w:jc w:val="right"/>
              <w:rPr>
                <w:rFonts w:ascii="Times New Roman" w:hAnsi="Times New Roman"/>
                <w:noProof/>
                <w:sz w:val="20"/>
                <w:szCs w:val="20"/>
              </w:rPr>
            </w:pPr>
          </w:p>
        </w:tc>
      </w:tr>
      <w:tr w:rsidR="00360558" w:rsidRPr="00285735" w14:paraId="7353152D" w14:textId="77777777" w:rsidTr="00360558">
        <w:trPr>
          <w:trHeight w:val="3058"/>
        </w:trPr>
        <w:tc>
          <w:tcPr>
            <w:tcW w:w="4002" w:type="dxa"/>
          </w:tcPr>
          <w:p w14:paraId="41A93FE3" w14:textId="2DA0FB09" w:rsidR="00360558" w:rsidRPr="00974A60" w:rsidRDefault="00F1214B" w:rsidP="00606142">
            <w:pPr>
              <w:pStyle w:val="NoSpacing"/>
              <w:jc w:val="center"/>
              <w:rPr>
                <w:rFonts w:ascii="Times New Roman" w:hAnsi="Times New Roman"/>
                <w:noProof/>
                <w:sz w:val="20"/>
                <w:szCs w:val="20"/>
              </w:rPr>
            </w:pPr>
            <w:r w:rsidRPr="00974A60">
              <w:rPr>
                <w:rFonts w:ascii="Times New Roman" w:hAnsi="Times New Roman"/>
                <w:noProof/>
                <w:sz w:val="20"/>
                <w:szCs w:val="20"/>
              </w:rPr>
              <w:drawing>
                <wp:inline distT="0" distB="0" distL="0" distR="0" wp14:anchorId="3BFDFDE8" wp14:editId="184BC3BD">
                  <wp:extent cx="2505075" cy="1895475"/>
                  <wp:effectExtent l="0" t="0" r="0" b="0"/>
                  <wp:docPr id="7" name="Picture 5" descr="H:\Paper Prep\Paper 3\12 pct mold bfr t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aper Prep\Paper 3\12 pct mold bfr ta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5075" cy="1895475"/>
                          </a:xfrm>
                          <a:prstGeom prst="rect">
                            <a:avLst/>
                          </a:prstGeom>
                          <a:noFill/>
                          <a:ln>
                            <a:noFill/>
                          </a:ln>
                        </pic:spPr>
                      </pic:pic>
                    </a:graphicData>
                  </a:graphic>
                </wp:inline>
              </w:drawing>
            </w:r>
          </w:p>
        </w:tc>
        <w:tc>
          <w:tcPr>
            <w:tcW w:w="332" w:type="dxa"/>
          </w:tcPr>
          <w:p w14:paraId="1504C700" w14:textId="77777777" w:rsidR="00360558" w:rsidRPr="00974A60" w:rsidRDefault="00360558" w:rsidP="00B401D6">
            <w:pPr>
              <w:pStyle w:val="NoSpacing"/>
              <w:jc w:val="right"/>
              <w:rPr>
                <w:rFonts w:ascii="Times New Roman" w:hAnsi="Times New Roman"/>
                <w:noProof/>
                <w:sz w:val="20"/>
                <w:szCs w:val="20"/>
              </w:rPr>
            </w:pPr>
          </w:p>
        </w:tc>
      </w:tr>
      <w:tr w:rsidR="00360558" w:rsidRPr="00285735" w14:paraId="4B7F514B" w14:textId="77777777" w:rsidTr="00360558">
        <w:trPr>
          <w:trHeight w:val="217"/>
        </w:trPr>
        <w:tc>
          <w:tcPr>
            <w:tcW w:w="4002" w:type="dxa"/>
          </w:tcPr>
          <w:p w14:paraId="556058CE" w14:textId="77777777" w:rsidR="00360558" w:rsidRPr="00974A60" w:rsidRDefault="00360558" w:rsidP="00974A60">
            <w:pPr>
              <w:pStyle w:val="NoSpacing"/>
              <w:jc w:val="center"/>
              <w:rPr>
                <w:rFonts w:ascii="Times New Roman" w:hAnsi="Times New Roman"/>
                <w:noProof/>
                <w:sz w:val="20"/>
                <w:szCs w:val="20"/>
              </w:rPr>
            </w:pPr>
            <w:r w:rsidRPr="00974A60">
              <w:rPr>
                <w:rFonts w:ascii="Times New Roman" w:hAnsi="Times New Roman"/>
                <w:sz w:val="20"/>
                <w:szCs w:val="20"/>
              </w:rPr>
              <w:t>(c)</w:t>
            </w:r>
          </w:p>
        </w:tc>
        <w:tc>
          <w:tcPr>
            <w:tcW w:w="332" w:type="dxa"/>
          </w:tcPr>
          <w:p w14:paraId="6C3BC19B" w14:textId="77777777" w:rsidR="00360558" w:rsidRPr="00974A60" w:rsidRDefault="00360558" w:rsidP="00974A60">
            <w:pPr>
              <w:pStyle w:val="NoSpacing"/>
              <w:jc w:val="center"/>
              <w:rPr>
                <w:rFonts w:ascii="Times New Roman" w:hAnsi="Times New Roman"/>
                <w:sz w:val="20"/>
                <w:szCs w:val="20"/>
              </w:rPr>
            </w:pPr>
          </w:p>
        </w:tc>
      </w:tr>
    </w:tbl>
    <w:p w14:paraId="6E5E78FE" w14:textId="77777777" w:rsidR="00974A60" w:rsidRPr="00974A60" w:rsidRDefault="00974A60" w:rsidP="009D1EA3">
      <w:pPr>
        <w:pStyle w:val="NoSpacing"/>
        <w:rPr>
          <w:rFonts w:ascii="Arial" w:hAnsi="Arial" w:cs="Arial"/>
          <w:b/>
          <w:i/>
          <w:sz w:val="18"/>
          <w:szCs w:val="18"/>
        </w:rPr>
      </w:pPr>
      <w:r w:rsidRPr="00974A60">
        <w:rPr>
          <w:rFonts w:ascii="Arial" w:hAnsi="Arial" w:cs="Arial"/>
          <w:b/>
          <w:i/>
          <w:sz w:val="18"/>
          <w:szCs w:val="18"/>
        </w:rPr>
        <w:t>Fig</w:t>
      </w:r>
      <w:r w:rsidR="00203551">
        <w:rPr>
          <w:rFonts w:ascii="Arial" w:hAnsi="Arial" w:cs="Arial"/>
          <w:b/>
          <w:i/>
          <w:sz w:val="18"/>
          <w:szCs w:val="18"/>
        </w:rPr>
        <w:t>ure</w:t>
      </w:r>
      <w:r w:rsidR="008D2241">
        <w:rPr>
          <w:rFonts w:ascii="Arial" w:hAnsi="Arial" w:cs="Arial"/>
          <w:b/>
          <w:i/>
          <w:sz w:val="18"/>
          <w:szCs w:val="18"/>
        </w:rPr>
        <w:t xml:space="preserve"> 5.</w:t>
      </w:r>
      <w:r w:rsidRPr="00974A60">
        <w:rPr>
          <w:rFonts w:ascii="Arial" w:hAnsi="Arial" w:cs="Arial"/>
          <w:b/>
          <w:i/>
          <w:sz w:val="18"/>
          <w:szCs w:val="18"/>
        </w:rPr>
        <w:t xml:space="preserve"> </w:t>
      </w:r>
      <w:r w:rsidR="00B401D6">
        <w:rPr>
          <w:rFonts w:ascii="Arial" w:hAnsi="Arial" w:cs="Arial"/>
          <w:b/>
          <w:i/>
          <w:sz w:val="18"/>
          <w:szCs w:val="18"/>
        </w:rPr>
        <w:t>These m</w:t>
      </w:r>
      <w:r w:rsidRPr="00974A60">
        <w:rPr>
          <w:rFonts w:ascii="Arial" w:hAnsi="Arial" w:cs="Arial"/>
          <w:b/>
          <w:i/>
          <w:sz w:val="18"/>
          <w:szCs w:val="18"/>
        </w:rPr>
        <w:t>old</w:t>
      </w:r>
      <w:r w:rsidR="00B401D6">
        <w:rPr>
          <w:rFonts w:ascii="Arial" w:hAnsi="Arial" w:cs="Arial"/>
          <w:b/>
          <w:i/>
          <w:sz w:val="18"/>
          <w:szCs w:val="18"/>
        </w:rPr>
        <w:t xml:space="preserve"> designs </w:t>
      </w:r>
      <w:r w:rsidR="004F2D6D">
        <w:rPr>
          <w:rFonts w:ascii="Arial" w:hAnsi="Arial" w:cs="Arial"/>
          <w:b/>
          <w:i/>
          <w:sz w:val="18"/>
          <w:szCs w:val="18"/>
        </w:rPr>
        <w:t xml:space="preserve">were </w:t>
      </w:r>
      <w:r w:rsidR="00B401D6">
        <w:rPr>
          <w:rFonts w:ascii="Arial" w:hAnsi="Arial" w:cs="Arial"/>
          <w:b/>
          <w:i/>
          <w:sz w:val="18"/>
          <w:szCs w:val="18"/>
        </w:rPr>
        <w:t xml:space="preserve">used in </w:t>
      </w:r>
      <w:r w:rsidR="008D2241">
        <w:rPr>
          <w:rFonts w:ascii="Arial" w:hAnsi="Arial" w:cs="Arial"/>
          <w:b/>
          <w:i/>
          <w:sz w:val="18"/>
          <w:szCs w:val="18"/>
        </w:rPr>
        <w:t>Ex</w:t>
      </w:r>
      <w:r w:rsidR="00B401D6">
        <w:rPr>
          <w:rFonts w:ascii="Arial" w:hAnsi="Arial" w:cs="Arial"/>
          <w:b/>
          <w:i/>
          <w:sz w:val="18"/>
          <w:szCs w:val="18"/>
        </w:rPr>
        <w:t>periment 1:</w:t>
      </w:r>
      <w:r w:rsidR="004F2D6D">
        <w:rPr>
          <w:rFonts w:ascii="Arial" w:hAnsi="Arial" w:cs="Arial"/>
          <w:b/>
          <w:i/>
          <w:sz w:val="18"/>
          <w:szCs w:val="18"/>
        </w:rPr>
        <w:t xml:space="preserve"> View</w:t>
      </w:r>
      <w:r w:rsidR="00B401D6">
        <w:rPr>
          <w:rFonts w:ascii="Arial" w:hAnsi="Arial" w:cs="Arial"/>
          <w:b/>
          <w:i/>
          <w:sz w:val="18"/>
          <w:szCs w:val="18"/>
        </w:rPr>
        <w:t xml:space="preserve"> (a)schematic design of the mold; (b) m</w:t>
      </w:r>
      <w:r w:rsidRPr="00974A60">
        <w:rPr>
          <w:rFonts w:ascii="Arial" w:hAnsi="Arial" w:cs="Arial"/>
          <w:b/>
          <w:i/>
          <w:sz w:val="18"/>
          <w:szCs w:val="18"/>
        </w:rPr>
        <w:t>old insert pre</w:t>
      </w:r>
      <w:r w:rsidR="00B401D6">
        <w:rPr>
          <w:rFonts w:ascii="Arial" w:hAnsi="Arial" w:cs="Arial"/>
          <w:b/>
          <w:i/>
          <w:sz w:val="18"/>
          <w:szCs w:val="18"/>
        </w:rPr>
        <w:t>pared from silica sand</w:t>
      </w:r>
      <w:r w:rsidR="004F2D6D">
        <w:rPr>
          <w:rFonts w:ascii="Arial" w:hAnsi="Arial" w:cs="Arial"/>
          <w:b/>
          <w:i/>
          <w:sz w:val="18"/>
          <w:szCs w:val="18"/>
        </w:rPr>
        <w:t>;</w:t>
      </w:r>
      <w:r w:rsidR="00B401D6">
        <w:rPr>
          <w:rFonts w:ascii="Arial" w:hAnsi="Arial" w:cs="Arial"/>
          <w:b/>
          <w:i/>
          <w:sz w:val="18"/>
          <w:szCs w:val="18"/>
        </w:rPr>
        <w:t xml:space="preserve"> and (c) m</w:t>
      </w:r>
      <w:r w:rsidRPr="00974A60">
        <w:rPr>
          <w:rFonts w:ascii="Arial" w:hAnsi="Arial" w:cs="Arial"/>
          <w:b/>
          <w:i/>
          <w:sz w:val="18"/>
          <w:szCs w:val="18"/>
        </w:rPr>
        <w:t>old insert prepared fr</w:t>
      </w:r>
      <w:r w:rsidR="00B401D6">
        <w:rPr>
          <w:rFonts w:ascii="Arial" w:hAnsi="Arial" w:cs="Arial"/>
          <w:b/>
          <w:i/>
          <w:sz w:val="18"/>
          <w:szCs w:val="18"/>
        </w:rPr>
        <w:t xml:space="preserve">om silica sand containing12 </w:t>
      </w:r>
      <w:proofErr w:type="spellStart"/>
      <w:r w:rsidR="00B401D6">
        <w:rPr>
          <w:rFonts w:ascii="Arial" w:hAnsi="Arial" w:cs="Arial"/>
          <w:b/>
          <w:i/>
          <w:sz w:val="18"/>
          <w:szCs w:val="18"/>
        </w:rPr>
        <w:t>wt</w:t>
      </w:r>
      <w:proofErr w:type="spellEnd"/>
      <w:r w:rsidR="00B401D6">
        <w:rPr>
          <w:rFonts w:ascii="Arial" w:hAnsi="Arial" w:cs="Arial"/>
          <w:b/>
          <w:i/>
          <w:sz w:val="18"/>
          <w:szCs w:val="18"/>
        </w:rPr>
        <w:t>% (30 vol</w:t>
      </w:r>
      <w:r w:rsidRPr="00974A60">
        <w:rPr>
          <w:rFonts w:ascii="Arial" w:hAnsi="Arial" w:cs="Arial"/>
          <w:b/>
          <w:i/>
          <w:sz w:val="18"/>
          <w:szCs w:val="18"/>
        </w:rPr>
        <w:t xml:space="preserve">%) </w:t>
      </w:r>
      <w:proofErr w:type="spellStart"/>
      <w:r w:rsidRPr="00974A60">
        <w:rPr>
          <w:rFonts w:ascii="Arial" w:hAnsi="Arial" w:cs="Arial"/>
          <w:b/>
          <w:i/>
          <w:sz w:val="18"/>
          <w:szCs w:val="18"/>
        </w:rPr>
        <w:t>cenospheres</w:t>
      </w:r>
      <w:proofErr w:type="spellEnd"/>
      <w:r w:rsidRPr="00974A60">
        <w:rPr>
          <w:rFonts w:ascii="Arial" w:hAnsi="Arial" w:cs="Arial"/>
          <w:b/>
          <w:i/>
          <w:sz w:val="18"/>
          <w:szCs w:val="18"/>
        </w:rPr>
        <w:t>.</w:t>
      </w:r>
      <w:r w:rsidR="009D2F45">
        <w:rPr>
          <w:rFonts w:ascii="Arial" w:hAnsi="Arial" w:cs="Arial"/>
          <w:b/>
          <w:i/>
          <w:sz w:val="18"/>
          <w:szCs w:val="18"/>
        </w:rPr>
        <w:t xml:space="preserve"> (Artwork courtesy of </w:t>
      </w:r>
      <w:r w:rsidR="0064229C">
        <w:rPr>
          <w:rFonts w:ascii="Arial" w:hAnsi="Arial" w:cs="Arial"/>
          <w:b/>
          <w:i/>
          <w:sz w:val="18"/>
          <w:szCs w:val="18"/>
        </w:rPr>
        <w:t xml:space="preserve">ST </w:t>
      </w:r>
      <w:r w:rsidR="00FE1525">
        <w:rPr>
          <w:rFonts w:ascii="Arial" w:hAnsi="Arial" w:cs="Arial"/>
          <w:b/>
          <w:i/>
          <w:sz w:val="18"/>
          <w:szCs w:val="18"/>
        </w:rPr>
        <w:t>Foundry,</w:t>
      </w:r>
      <w:r w:rsidR="009D2F45">
        <w:rPr>
          <w:rFonts w:ascii="Arial" w:hAnsi="Arial" w:cs="Arial"/>
          <w:b/>
          <w:i/>
          <w:sz w:val="18"/>
          <w:szCs w:val="18"/>
        </w:rPr>
        <w:t xml:space="preserve"> Inc.)</w:t>
      </w:r>
    </w:p>
    <w:p w14:paraId="3954A4CE" w14:textId="77777777" w:rsidR="002F0A57" w:rsidRDefault="002F0A57" w:rsidP="00B401D6">
      <w:pPr>
        <w:pStyle w:val="NoSpacing"/>
        <w:rPr>
          <w:rFonts w:ascii="Arial" w:hAnsi="Arial" w:cs="Arial"/>
          <w:sz w:val="20"/>
          <w:szCs w:val="20"/>
        </w:rPr>
      </w:pPr>
    </w:p>
    <w:p w14:paraId="7F43487A" w14:textId="77777777" w:rsidR="00B401D6" w:rsidRPr="009D322E" w:rsidRDefault="00B401D6" w:rsidP="00B401D6">
      <w:pPr>
        <w:pStyle w:val="NoSpacing"/>
        <w:rPr>
          <w:rFonts w:ascii="Arial" w:hAnsi="Arial" w:cs="Arial"/>
          <w:sz w:val="20"/>
          <w:szCs w:val="20"/>
        </w:rPr>
      </w:pPr>
      <w:r w:rsidRPr="009D322E">
        <w:rPr>
          <w:rFonts w:ascii="Arial" w:hAnsi="Arial" w:cs="Arial"/>
          <w:sz w:val="20"/>
          <w:szCs w:val="20"/>
        </w:rPr>
        <w:t>EXPERIMENTAL TRIALS</w:t>
      </w:r>
    </w:p>
    <w:p w14:paraId="534061C3" w14:textId="77777777" w:rsidR="00B401D6" w:rsidRPr="00285735" w:rsidRDefault="00B401D6" w:rsidP="00B401D6">
      <w:pPr>
        <w:pStyle w:val="NoSpacing"/>
        <w:rPr>
          <w:rFonts w:ascii="Times New Roman" w:hAnsi="Times New Roman"/>
          <w:sz w:val="20"/>
          <w:szCs w:val="20"/>
        </w:rPr>
      </w:pPr>
      <w:r w:rsidRPr="00285735">
        <w:rPr>
          <w:rFonts w:ascii="Times New Roman" w:hAnsi="Times New Roman"/>
          <w:sz w:val="20"/>
          <w:szCs w:val="20"/>
        </w:rPr>
        <w:t>Two experiments with liquid iron were performed for comparison of the heat flux from the melt to surrounding lining</w:t>
      </w:r>
      <w:r w:rsidR="008D2241">
        <w:rPr>
          <w:rFonts w:ascii="Times New Roman" w:hAnsi="Times New Roman"/>
          <w:sz w:val="20"/>
          <w:szCs w:val="20"/>
        </w:rPr>
        <w:t xml:space="preserve">. </w:t>
      </w:r>
      <w:r w:rsidRPr="00285735">
        <w:rPr>
          <w:rFonts w:ascii="Times New Roman" w:hAnsi="Times New Roman"/>
          <w:sz w:val="20"/>
          <w:szCs w:val="20"/>
        </w:rPr>
        <w:t xml:space="preserve">In both experiments, </w:t>
      </w:r>
      <w:proofErr w:type="gramStart"/>
      <w:r w:rsidRPr="00285735">
        <w:rPr>
          <w:rFonts w:ascii="Times New Roman" w:hAnsi="Times New Roman"/>
          <w:sz w:val="20"/>
          <w:szCs w:val="20"/>
        </w:rPr>
        <w:t>a cast</w:t>
      </w:r>
      <w:proofErr w:type="gramEnd"/>
      <w:r w:rsidRPr="00285735">
        <w:rPr>
          <w:rFonts w:ascii="Times New Roman" w:hAnsi="Times New Roman"/>
          <w:sz w:val="20"/>
          <w:szCs w:val="20"/>
        </w:rPr>
        <w:t xml:space="preserve"> iron melt was used instead of liquid steel to increase the time of the lining-melt contact before freezing, due </w:t>
      </w:r>
      <w:r>
        <w:rPr>
          <w:rFonts w:ascii="Times New Roman" w:hAnsi="Times New Roman"/>
          <w:sz w:val="20"/>
          <w:szCs w:val="20"/>
        </w:rPr>
        <w:t>to a lower melting temperature.</w:t>
      </w:r>
    </w:p>
    <w:p w14:paraId="67F34FFA" w14:textId="77777777" w:rsidR="00B401D6" w:rsidRDefault="00B401D6" w:rsidP="00067ED7">
      <w:pPr>
        <w:pStyle w:val="Head1"/>
      </w:pPr>
    </w:p>
    <w:p w14:paraId="7C50175D" w14:textId="77777777" w:rsidR="00B401D6" w:rsidRPr="0016328E" w:rsidRDefault="00B401D6" w:rsidP="00B401D6">
      <w:pPr>
        <w:pStyle w:val="NoSpacing"/>
        <w:rPr>
          <w:rFonts w:ascii="Arial" w:hAnsi="Arial" w:cs="Arial"/>
          <w:sz w:val="20"/>
          <w:szCs w:val="20"/>
          <w:u w:val="single"/>
        </w:rPr>
      </w:pPr>
      <w:r w:rsidRPr="0016328E">
        <w:rPr>
          <w:rFonts w:ascii="Arial" w:hAnsi="Arial" w:cs="Arial"/>
          <w:sz w:val="20"/>
          <w:szCs w:val="20"/>
          <w:u w:val="single"/>
        </w:rPr>
        <w:t>Experiment 1</w:t>
      </w:r>
    </w:p>
    <w:p w14:paraId="279D3A0E" w14:textId="77777777" w:rsidR="00B401D6" w:rsidRPr="00285735" w:rsidRDefault="00B401D6" w:rsidP="00B401D6">
      <w:pPr>
        <w:pStyle w:val="NoSpacing"/>
        <w:rPr>
          <w:rFonts w:ascii="Times New Roman" w:hAnsi="Times New Roman"/>
          <w:sz w:val="20"/>
          <w:szCs w:val="20"/>
        </w:rPr>
      </w:pPr>
      <w:r w:rsidRPr="00285735">
        <w:rPr>
          <w:rFonts w:ascii="Times New Roman" w:hAnsi="Times New Roman"/>
          <w:sz w:val="20"/>
          <w:szCs w:val="20"/>
        </w:rPr>
        <w:t xml:space="preserve">The goal of this experiment was to compare the melt cooling rate in the mold with a regular silica lining to a silica lining containing a </w:t>
      </w:r>
      <w:r>
        <w:rPr>
          <w:rFonts w:ascii="Times New Roman" w:hAnsi="Times New Roman"/>
          <w:sz w:val="20"/>
          <w:szCs w:val="20"/>
        </w:rPr>
        <w:t xml:space="preserve">12 </w:t>
      </w:r>
      <w:proofErr w:type="spellStart"/>
      <w:r>
        <w:rPr>
          <w:rFonts w:ascii="Times New Roman" w:hAnsi="Times New Roman"/>
          <w:sz w:val="20"/>
          <w:szCs w:val="20"/>
        </w:rPr>
        <w:t>wt</w:t>
      </w:r>
      <w:proofErr w:type="spellEnd"/>
      <w:r>
        <w:rPr>
          <w:rFonts w:ascii="Times New Roman" w:hAnsi="Times New Roman"/>
          <w:sz w:val="20"/>
          <w:szCs w:val="20"/>
        </w:rPr>
        <w:t>% (30 vol</w:t>
      </w:r>
      <w:r w:rsidR="00E02620">
        <w:rPr>
          <w:rFonts w:ascii="Times New Roman" w:hAnsi="Times New Roman"/>
          <w:sz w:val="20"/>
          <w:szCs w:val="20"/>
        </w:rPr>
        <w:t>.</w:t>
      </w:r>
      <w:r w:rsidRPr="00285735">
        <w:rPr>
          <w:rFonts w:ascii="Times New Roman" w:hAnsi="Times New Roman"/>
          <w:sz w:val="20"/>
          <w:szCs w:val="20"/>
        </w:rPr>
        <w:t>%) cenosphere addition</w:t>
      </w:r>
      <w:r w:rsidR="00E02620">
        <w:rPr>
          <w:rFonts w:ascii="Times New Roman" w:hAnsi="Times New Roman"/>
          <w:sz w:val="20"/>
          <w:szCs w:val="20"/>
        </w:rPr>
        <w:t>.</w:t>
      </w:r>
      <w:r>
        <w:rPr>
          <w:rFonts w:ascii="Times New Roman" w:hAnsi="Times New Roman"/>
          <w:sz w:val="20"/>
          <w:szCs w:val="20"/>
        </w:rPr>
        <w:t xml:space="preserve"> </w:t>
      </w:r>
      <w:r w:rsidRPr="00285735">
        <w:rPr>
          <w:rFonts w:ascii="Times New Roman" w:hAnsi="Times New Roman"/>
          <w:sz w:val="20"/>
          <w:szCs w:val="20"/>
        </w:rPr>
        <w:t xml:space="preserve">The mold design is shown in </w:t>
      </w:r>
      <w:r>
        <w:rPr>
          <w:rFonts w:ascii="Times New Roman" w:hAnsi="Times New Roman"/>
          <w:sz w:val="20"/>
          <w:szCs w:val="20"/>
        </w:rPr>
        <w:t>Fig.</w:t>
      </w:r>
      <w:r w:rsidRPr="00285735">
        <w:rPr>
          <w:rFonts w:ascii="Times New Roman" w:hAnsi="Times New Roman"/>
          <w:sz w:val="20"/>
          <w:szCs w:val="20"/>
        </w:rPr>
        <w:t xml:space="preserve"> 5</w:t>
      </w:r>
      <w:r w:rsidR="00E02620">
        <w:rPr>
          <w:rFonts w:ascii="Times New Roman" w:hAnsi="Times New Roman"/>
          <w:sz w:val="20"/>
          <w:szCs w:val="20"/>
        </w:rPr>
        <w:t xml:space="preserve">. </w:t>
      </w:r>
      <w:r w:rsidRPr="00285735">
        <w:rPr>
          <w:rFonts w:ascii="Times New Roman" w:hAnsi="Times New Roman"/>
          <w:sz w:val="20"/>
          <w:szCs w:val="20"/>
        </w:rPr>
        <w:t>After pouring the open top molds, the tops of the molds were immediately covered (within 5 seconds) with a glass fiber blanket (</w:t>
      </w:r>
      <w:proofErr w:type="spellStart"/>
      <w:r w:rsidR="00274B7F">
        <w:rPr>
          <w:rFonts w:ascii="Times New Roman" w:hAnsi="Times New Roman"/>
          <w:sz w:val="20"/>
          <w:szCs w:val="20"/>
        </w:rPr>
        <w:t>K</w:t>
      </w:r>
      <w:r w:rsidRPr="00285735">
        <w:rPr>
          <w:rFonts w:ascii="Times New Roman" w:hAnsi="Times New Roman"/>
          <w:sz w:val="20"/>
          <w:szCs w:val="20"/>
        </w:rPr>
        <w:t>aowool</w:t>
      </w:r>
      <w:proofErr w:type="spellEnd"/>
      <w:r w:rsidRPr="00285735">
        <w:rPr>
          <w:rFonts w:ascii="Times New Roman" w:hAnsi="Times New Roman"/>
          <w:sz w:val="20"/>
          <w:szCs w:val="20"/>
        </w:rPr>
        <w:t>) for thermal insulation</w:t>
      </w:r>
      <w:r w:rsidR="00E02620">
        <w:rPr>
          <w:rFonts w:ascii="Times New Roman" w:hAnsi="Times New Roman"/>
          <w:sz w:val="20"/>
          <w:szCs w:val="20"/>
        </w:rPr>
        <w:t>.</w:t>
      </w:r>
      <w:r>
        <w:rPr>
          <w:rFonts w:ascii="Times New Roman" w:hAnsi="Times New Roman"/>
          <w:sz w:val="20"/>
          <w:szCs w:val="20"/>
        </w:rPr>
        <w:t xml:space="preserve"> </w:t>
      </w:r>
      <w:r w:rsidRPr="00285735">
        <w:rPr>
          <w:rFonts w:ascii="Times New Roman" w:hAnsi="Times New Roman"/>
          <w:sz w:val="20"/>
          <w:szCs w:val="20"/>
        </w:rPr>
        <w:t>K-type thermocouples (TC) were inserted from the side wall to monitor the melt temperature</w:t>
      </w:r>
      <w:r w:rsidR="00E02620">
        <w:rPr>
          <w:rFonts w:ascii="Times New Roman" w:hAnsi="Times New Roman"/>
          <w:sz w:val="20"/>
          <w:szCs w:val="20"/>
        </w:rPr>
        <w:t xml:space="preserve">. </w:t>
      </w:r>
      <w:r w:rsidRPr="00285735">
        <w:rPr>
          <w:rFonts w:ascii="Times New Roman" w:hAnsi="Times New Roman"/>
          <w:sz w:val="20"/>
          <w:szCs w:val="20"/>
        </w:rPr>
        <w:t>The liquid metal was poured into the molds at 2422F</w:t>
      </w:r>
      <w:r w:rsidR="00360558">
        <w:rPr>
          <w:rFonts w:ascii="Times New Roman" w:hAnsi="Times New Roman"/>
          <w:sz w:val="20"/>
          <w:szCs w:val="20"/>
        </w:rPr>
        <w:t xml:space="preserve"> (1327C)</w:t>
      </w:r>
      <w:r w:rsidRPr="00285735">
        <w:rPr>
          <w:rFonts w:ascii="Times New Roman" w:hAnsi="Times New Roman"/>
          <w:sz w:val="20"/>
          <w:szCs w:val="20"/>
        </w:rPr>
        <w:t>.</w:t>
      </w:r>
    </w:p>
    <w:p w14:paraId="55C8FAE2" w14:textId="77777777" w:rsidR="00B401D6" w:rsidRDefault="00B401D6" w:rsidP="00067ED7">
      <w:pPr>
        <w:pStyle w:val="Head1"/>
      </w:pPr>
    </w:p>
    <w:p w14:paraId="1A4D9B1A" w14:textId="77777777" w:rsidR="0016328E" w:rsidRPr="0016328E" w:rsidRDefault="0016328E" w:rsidP="00974A60">
      <w:pPr>
        <w:pStyle w:val="NoSpacing"/>
        <w:rPr>
          <w:rFonts w:ascii="Arial" w:hAnsi="Arial" w:cs="Arial"/>
          <w:sz w:val="20"/>
          <w:szCs w:val="20"/>
          <w:u w:val="single"/>
        </w:rPr>
      </w:pPr>
      <w:r>
        <w:rPr>
          <w:rFonts w:ascii="Arial" w:hAnsi="Arial" w:cs="Arial"/>
          <w:sz w:val="20"/>
          <w:szCs w:val="20"/>
          <w:u w:val="single"/>
        </w:rPr>
        <w:t>Experiment 2</w:t>
      </w:r>
    </w:p>
    <w:p w14:paraId="2E43F69C" w14:textId="77777777" w:rsidR="00974A60" w:rsidRPr="00285735" w:rsidRDefault="00974A60" w:rsidP="00974A60">
      <w:pPr>
        <w:pStyle w:val="NoSpacing"/>
        <w:rPr>
          <w:rFonts w:ascii="Times New Roman" w:hAnsi="Times New Roman"/>
          <w:sz w:val="20"/>
          <w:szCs w:val="20"/>
        </w:rPr>
      </w:pPr>
      <w:r w:rsidRPr="00285735">
        <w:rPr>
          <w:rFonts w:ascii="Times New Roman" w:hAnsi="Times New Roman"/>
          <w:sz w:val="20"/>
          <w:szCs w:val="20"/>
        </w:rPr>
        <w:t>This experiment was performed to compare the heat losses from an experimental la</w:t>
      </w:r>
      <w:r w:rsidR="001D74C0">
        <w:rPr>
          <w:rFonts w:ascii="Times New Roman" w:hAnsi="Times New Roman"/>
          <w:sz w:val="20"/>
          <w:szCs w:val="20"/>
        </w:rPr>
        <w:t xml:space="preserve">dle lining (silica sand +12 </w:t>
      </w:r>
      <w:proofErr w:type="spellStart"/>
      <w:r w:rsidR="001D74C0">
        <w:rPr>
          <w:rFonts w:ascii="Times New Roman" w:hAnsi="Times New Roman"/>
          <w:sz w:val="20"/>
          <w:szCs w:val="20"/>
        </w:rPr>
        <w:t>wt</w:t>
      </w:r>
      <w:proofErr w:type="spellEnd"/>
      <w:r w:rsidR="00A372BE">
        <w:rPr>
          <w:rFonts w:ascii="Times New Roman" w:hAnsi="Times New Roman"/>
          <w:sz w:val="20"/>
          <w:szCs w:val="20"/>
        </w:rPr>
        <w:t xml:space="preserve"> </w:t>
      </w:r>
      <w:r w:rsidRPr="00285735">
        <w:rPr>
          <w:rFonts w:ascii="Times New Roman" w:hAnsi="Times New Roman"/>
          <w:sz w:val="20"/>
          <w:szCs w:val="20"/>
        </w:rPr>
        <w:t xml:space="preserve">% </w:t>
      </w:r>
      <w:proofErr w:type="spellStart"/>
      <w:r w:rsidRPr="00285735">
        <w:rPr>
          <w:rFonts w:ascii="Times New Roman" w:hAnsi="Times New Roman"/>
          <w:sz w:val="20"/>
          <w:szCs w:val="20"/>
        </w:rPr>
        <w:t>cenospheres</w:t>
      </w:r>
      <w:proofErr w:type="spellEnd"/>
      <w:r w:rsidRPr="00285735">
        <w:rPr>
          <w:rFonts w:ascii="Times New Roman" w:hAnsi="Times New Roman"/>
          <w:sz w:val="20"/>
          <w:szCs w:val="20"/>
        </w:rPr>
        <w:t>) with other typical ladle refractory materials studied previously.</w:t>
      </w:r>
      <w:r w:rsidR="006608B5" w:rsidRPr="006608B5">
        <w:rPr>
          <w:rFonts w:ascii="Times New Roman" w:hAnsi="Times New Roman"/>
          <w:sz w:val="20"/>
          <w:szCs w:val="20"/>
          <w:vertAlign w:val="superscript"/>
        </w:rPr>
        <w:t>3</w:t>
      </w:r>
      <w:r w:rsidRPr="00285735">
        <w:rPr>
          <w:rFonts w:ascii="Times New Roman" w:hAnsi="Times New Roman"/>
          <w:sz w:val="20"/>
          <w:szCs w:val="20"/>
        </w:rPr>
        <w:t xml:space="preserve"> In the previous work, </w:t>
      </w:r>
      <w:r w:rsidR="001D74C0">
        <w:rPr>
          <w:rFonts w:ascii="Times New Roman" w:hAnsi="Times New Roman"/>
          <w:sz w:val="20"/>
          <w:szCs w:val="20"/>
        </w:rPr>
        <w:br/>
        <w:t xml:space="preserve">100 </w:t>
      </w:r>
      <w:proofErr w:type="spellStart"/>
      <w:r w:rsidR="001D74C0">
        <w:rPr>
          <w:rFonts w:ascii="Times New Roman" w:hAnsi="Times New Roman"/>
          <w:sz w:val="20"/>
          <w:szCs w:val="20"/>
        </w:rPr>
        <w:t>lb</w:t>
      </w:r>
      <w:proofErr w:type="spellEnd"/>
      <w:r w:rsidR="00360558">
        <w:rPr>
          <w:rFonts w:ascii="Times New Roman" w:hAnsi="Times New Roman"/>
          <w:sz w:val="20"/>
          <w:szCs w:val="20"/>
        </w:rPr>
        <w:t xml:space="preserve"> (45 kg</w:t>
      </w:r>
      <w:r w:rsidRPr="00285735">
        <w:rPr>
          <w:rFonts w:ascii="Times New Roman" w:hAnsi="Times New Roman"/>
          <w:sz w:val="20"/>
          <w:szCs w:val="20"/>
        </w:rPr>
        <w:t>) steel capacity ladle linings were fabricated in steel ladle shell (</w:t>
      </w:r>
      <w:r w:rsidR="003A6821">
        <w:rPr>
          <w:rFonts w:ascii="Times New Roman" w:hAnsi="Times New Roman"/>
          <w:sz w:val="20"/>
          <w:szCs w:val="20"/>
        </w:rPr>
        <w:t>Fig.</w:t>
      </w:r>
      <w:r w:rsidRPr="00285735">
        <w:rPr>
          <w:rFonts w:ascii="Times New Roman" w:hAnsi="Times New Roman"/>
          <w:sz w:val="20"/>
          <w:szCs w:val="20"/>
        </w:rPr>
        <w:t xml:space="preserve"> 6)</w:t>
      </w:r>
      <w:r w:rsidR="00E02620">
        <w:rPr>
          <w:rFonts w:ascii="Times New Roman" w:hAnsi="Times New Roman"/>
          <w:sz w:val="20"/>
          <w:szCs w:val="20"/>
        </w:rPr>
        <w:t xml:space="preserve">. </w:t>
      </w:r>
      <w:r w:rsidRPr="00285735">
        <w:rPr>
          <w:rFonts w:ascii="Times New Roman" w:hAnsi="Times New Roman"/>
          <w:sz w:val="20"/>
          <w:szCs w:val="20"/>
        </w:rPr>
        <w:t>Two K-type thermocouples (TC2 and TC3) were embedded into the refrac</w:t>
      </w:r>
      <w:r w:rsidR="001D74C0">
        <w:rPr>
          <w:rFonts w:ascii="Times New Roman" w:hAnsi="Times New Roman"/>
          <w:sz w:val="20"/>
          <w:szCs w:val="20"/>
        </w:rPr>
        <w:t xml:space="preserve">tory at </w:t>
      </w:r>
      <w:r w:rsidR="00242A97">
        <w:rPr>
          <w:rFonts w:ascii="Times New Roman" w:hAnsi="Times New Roman"/>
          <w:sz w:val="20"/>
          <w:szCs w:val="20"/>
        </w:rPr>
        <w:t>1</w:t>
      </w:r>
      <w:r w:rsidR="001D74C0">
        <w:rPr>
          <w:rFonts w:ascii="Times New Roman" w:hAnsi="Times New Roman"/>
          <w:sz w:val="20"/>
          <w:szCs w:val="20"/>
        </w:rPr>
        <w:t xml:space="preserve"> in. (2.5 cm)</w:t>
      </w:r>
      <w:r w:rsidR="00AE7402">
        <w:rPr>
          <w:rFonts w:ascii="Times New Roman" w:hAnsi="Times New Roman"/>
          <w:sz w:val="20"/>
          <w:szCs w:val="20"/>
        </w:rPr>
        <w:t xml:space="preserve"> </w:t>
      </w:r>
      <w:r w:rsidR="001D74C0">
        <w:rPr>
          <w:rFonts w:ascii="Times New Roman" w:hAnsi="Times New Roman"/>
          <w:sz w:val="20"/>
          <w:szCs w:val="20"/>
        </w:rPr>
        <w:t>and 2 in. (5.1 cm),</w:t>
      </w:r>
      <w:r w:rsidRPr="00285735">
        <w:rPr>
          <w:rFonts w:ascii="Times New Roman" w:hAnsi="Times New Roman"/>
          <w:sz w:val="20"/>
          <w:szCs w:val="20"/>
        </w:rPr>
        <w:t xml:space="preserve"> respectively, from the inside surface of the ladle.</w:t>
      </w:r>
    </w:p>
    <w:p w14:paraId="00588110" w14:textId="77777777" w:rsidR="00974A60" w:rsidRDefault="00974A60" w:rsidP="00974A60">
      <w:pPr>
        <w:pStyle w:val="NoSpacing"/>
        <w:rPr>
          <w:rFonts w:ascii="Times New Roman" w:hAnsi="Times New Roman"/>
          <w:sz w:val="20"/>
          <w:szCs w:val="20"/>
        </w:rPr>
      </w:pPr>
    </w:p>
    <w:p w14:paraId="5E5BF3BD" w14:textId="77777777" w:rsidR="00BC58E1" w:rsidRDefault="00BC58E1" w:rsidP="00BC58E1">
      <w:pPr>
        <w:pStyle w:val="NoSpacing"/>
        <w:rPr>
          <w:rFonts w:ascii="Times New Roman" w:hAnsi="Times New Roman"/>
          <w:sz w:val="20"/>
          <w:szCs w:val="20"/>
        </w:rPr>
      </w:pPr>
      <w:r w:rsidRPr="00285735">
        <w:rPr>
          <w:rFonts w:ascii="Times New Roman" w:hAnsi="Times New Roman"/>
          <w:sz w:val="20"/>
          <w:szCs w:val="20"/>
        </w:rPr>
        <w:t>The liquid metal temperature was measured every minute by a submerged S-type thermocouple (TC1)</w:t>
      </w:r>
      <w:r w:rsidR="008D2241">
        <w:rPr>
          <w:rFonts w:ascii="Times New Roman" w:hAnsi="Times New Roman"/>
          <w:sz w:val="20"/>
          <w:szCs w:val="20"/>
        </w:rPr>
        <w:t xml:space="preserve">. </w:t>
      </w:r>
      <w:r w:rsidRPr="00285735">
        <w:rPr>
          <w:rFonts w:ascii="Times New Roman" w:hAnsi="Times New Roman"/>
          <w:sz w:val="20"/>
          <w:szCs w:val="20"/>
        </w:rPr>
        <w:t>The temperature measurements were used for inverse modeling to calculate the thermal conductivity of the lining</w:t>
      </w:r>
      <w:r w:rsidR="008D2241">
        <w:rPr>
          <w:rFonts w:ascii="Times New Roman" w:hAnsi="Times New Roman"/>
          <w:sz w:val="20"/>
          <w:szCs w:val="20"/>
        </w:rPr>
        <w:t xml:space="preserve">. </w:t>
      </w:r>
      <w:r w:rsidRPr="00285735">
        <w:rPr>
          <w:rFonts w:ascii="Times New Roman" w:hAnsi="Times New Roman"/>
          <w:sz w:val="20"/>
          <w:szCs w:val="20"/>
        </w:rPr>
        <w:t xml:space="preserve">In the work for this thesis, the experimental refractory, 12 </w:t>
      </w:r>
      <w:proofErr w:type="spellStart"/>
      <w:r w:rsidRPr="00285735">
        <w:rPr>
          <w:rFonts w:ascii="Times New Roman" w:hAnsi="Times New Roman"/>
          <w:sz w:val="20"/>
          <w:szCs w:val="20"/>
        </w:rPr>
        <w:t>wt</w:t>
      </w:r>
      <w:proofErr w:type="spellEnd"/>
      <w:r w:rsidRPr="00285735">
        <w:rPr>
          <w:rFonts w:ascii="Times New Roman" w:hAnsi="Times New Roman"/>
          <w:sz w:val="20"/>
          <w:szCs w:val="20"/>
        </w:rPr>
        <w:t xml:space="preserve">% </w:t>
      </w:r>
      <w:proofErr w:type="spellStart"/>
      <w:r w:rsidRPr="00285735">
        <w:rPr>
          <w:rFonts w:ascii="Times New Roman" w:hAnsi="Times New Roman"/>
          <w:sz w:val="20"/>
          <w:szCs w:val="20"/>
        </w:rPr>
        <w:t>cenospheres</w:t>
      </w:r>
      <w:proofErr w:type="spellEnd"/>
      <w:r w:rsidRPr="00285735">
        <w:rPr>
          <w:rFonts w:ascii="Times New Roman" w:hAnsi="Times New Roman"/>
          <w:sz w:val="20"/>
          <w:szCs w:val="20"/>
        </w:rPr>
        <w:t xml:space="preserve"> mix with silica sand, was fabrica</w:t>
      </w:r>
      <w:r w:rsidR="001D74C0">
        <w:rPr>
          <w:rFonts w:ascii="Times New Roman" w:hAnsi="Times New Roman"/>
          <w:sz w:val="20"/>
          <w:szCs w:val="20"/>
        </w:rPr>
        <w:t xml:space="preserve">ted into the same </w:t>
      </w:r>
      <w:r w:rsidR="00360558">
        <w:rPr>
          <w:rFonts w:ascii="Times New Roman" w:hAnsi="Times New Roman"/>
          <w:sz w:val="20"/>
          <w:szCs w:val="20"/>
        </w:rPr>
        <w:t xml:space="preserve">100 </w:t>
      </w:r>
      <w:proofErr w:type="spellStart"/>
      <w:r w:rsidR="00360558">
        <w:rPr>
          <w:rFonts w:ascii="Times New Roman" w:hAnsi="Times New Roman"/>
          <w:sz w:val="20"/>
          <w:szCs w:val="20"/>
        </w:rPr>
        <w:t>lb</w:t>
      </w:r>
      <w:proofErr w:type="spellEnd"/>
      <w:r w:rsidR="00360558">
        <w:rPr>
          <w:rFonts w:ascii="Times New Roman" w:hAnsi="Times New Roman"/>
          <w:sz w:val="20"/>
          <w:szCs w:val="20"/>
        </w:rPr>
        <w:t xml:space="preserve"> (</w:t>
      </w:r>
      <w:r w:rsidR="001D74C0">
        <w:rPr>
          <w:rFonts w:ascii="Times New Roman" w:hAnsi="Times New Roman"/>
          <w:sz w:val="20"/>
          <w:szCs w:val="20"/>
        </w:rPr>
        <w:t xml:space="preserve">45 </w:t>
      </w:r>
      <w:r w:rsidR="00360558">
        <w:rPr>
          <w:rFonts w:ascii="Times New Roman" w:hAnsi="Times New Roman"/>
          <w:sz w:val="20"/>
          <w:szCs w:val="20"/>
        </w:rPr>
        <w:t>k</w:t>
      </w:r>
      <w:r w:rsidR="001D74C0">
        <w:rPr>
          <w:rFonts w:ascii="Times New Roman" w:hAnsi="Times New Roman"/>
          <w:sz w:val="20"/>
          <w:szCs w:val="20"/>
        </w:rPr>
        <w:t>g</w:t>
      </w:r>
      <w:r w:rsidRPr="00285735">
        <w:rPr>
          <w:rFonts w:ascii="Times New Roman" w:hAnsi="Times New Roman"/>
          <w:sz w:val="20"/>
          <w:szCs w:val="20"/>
        </w:rPr>
        <w:t>) capacity ladle</w:t>
      </w:r>
      <w:r w:rsidR="008D2241">
        <w:rPr>
          <w:rFonts w:ascii="Times New Roman" w:hAnsi="Times New Roman"/>
          <w:sz w:val="20"/>
          <w:szCs w:val="20"/>
        </w:rPr>
        <w:t xml:space="preserve">. </w:t>
      </w:r>
      <w:r w:rsidRPr="00285735">
        <w:rPr>
          <w:rFonts w:ascii="Times New Roman" w:hAnsi="Times New Roman"/>
          <w:sz w:val="20"/>
          <w:szCs w:val="20"/>
        </w:rPr>
        <w:t>Liquid iron was superheated in an induction furnace to 2912F</w:t>
      </w:r>
      <w:r w:rsidR="00360558">
        <w:rPr>
          <w:rFonts w:ascii="Times New Roman" w:hAnsi="Times New Roman"/>
          <w:sz w:val="20"/>
          <w:szCs w:val="20"/>
        </w:rPr>
        <w:t xml:space="preserve"> (1600C</w:t>
      </w:r>
      <w:r w:rsidRPr="00285735">
        <w:rPr>
          <w:rFonts w:ascii="Times New Roman" w:hAnsi="Times New Roman"/>
          <w:sz w:val="20"/>
          <w:szCs w:val="20"/>
        </w:rPr>
        <w:t>) and tapped into the specially designed ladle.</w:t>
      </w:r>
    </w:p>
    <w:p w14:paraId="08A28AF5" w14:textId="77777777" w:rsidR="00360558" w:rsidRDefault="00360558" w:rsidP="00BC58E1">
      <w:pPr>
        <w:pStyle w:val="NoSpacing"/>
        <w:rPr>
          <w:rFonts w:ascii="Times New Roman" w:hAnsi="Times New Roman"/>
          <w:sz w:val="20"/>
          <w:szCs w:val="20"/>
        </w:rPr>
      </w:pPr>
    </w:p>
    <w:p w14:paraId="5EB98D14" w14:textId="2FA80855" w:rsidR="00974A60" w:rsidRPr="00285735" w:rsidRDefault="00F1214B" w:rsidP="00974A60">
      <w:pPr>
        <w:pStyle w:val="NoSpacing"/>
        <w:jc w:val="center"/>
        <w:rPr>
          <w:rFonts w:ascii="Times New Roman" w:hAnsi="Times New Roman"/>
          <w:b/>
          <w:sz w:val="20"/>
          <w:szCs w:val="20"/>
        </w:rPr>
      </w:pPr>
      <w:r w:rsidRPr="00974A60">
        <w:rPr>
          <w:rFonts w:ascii="Times New Roman" w:hAnsi="Times New Roman"/>
          <w:b/>
          <w:noProof/>
          <w:sz w:val="20"/>
          <w:szCs w:val="20"/>
        </w:rPr>
        <w:drawing>
          <wp:inline distT="0" distB="0" distL="0" distR="0" wp14:anchorId="1A0291B0" wp14:editId="247DFC61">
            <wp:extent cx="2505075" cy="1981200"/>
            <wp:effectExtent l="0" t="0" r="0" b="0"/>
            <wp:docPr id="8" name="Picture 1" descr="C:\Users\SBT65\Desktop\ex2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BT65\Desktop\ex2 schematic.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05075" cy="1981200"/>
                    </a:xfrm>
                    <a:prstGeom prst="rect">
                      <a:avLst/>
                    </a:prstGeom>
                    <a:noFill/>
                    <a:ln>
                      <a:noFill/>
                    </a:ln>
                  </pic:spPr>
                </pic:pic>
              </a:graphicData>
            </a:graphic>
          </wp:inline>
        </w:drawing>
      </w:r>
    </w:p>
    <w:p w14:paraId="0F661B53" w14:textId="77777777" w:rsidR="00974A60" w:rsidRPr="00FE1525" w:rsidRDefault="00974A60" w:rsidP="009D1EA3">
      <w:pPr>
        <w:pStyle w:val="NoSpacing"/>
        <w:rPr>
          <w:rFonts w:ascii="Arial" w:hAnsi="Arial" w:cs="Arial"/>
          <w:b/>
          <w:i/>
          <w:sz w:val="18"/>
          <w:szCs w:val="18"/>
          <w:vertAlign w:val="superscript"/>
        </w:rPr>
      </w:pPr>
      <w:r w:rsidRPr="00974A60">
        <w:rPr>
          <w:rFonts w:ascii="Arial" w:hAnsi="Arial" w:cs="Arial"/>
          <w:b/>
          <w:i/>
          <w:sz w:val="18"/>
          <w:szCs w:val="18"/>
        </w:rPr>
        <w:t>Fig</w:t>
      </w:r>
      <w:r w:rsidR="00203551">
        <w:rPr>
          <w:rFonts w:ascii="Arial" w:hAnsi="Arial" w:cs="Arial"/>
          <w:b/>
          <w:i/>
          <w:sz w:val="18"/>
          <w:szCs w:val="18"/>
        </w:rPr>
        <w:t>ure</w:t>
      </w:r>
      <w:r w:rsidRPr="00974A60">
        <w:rPr>
          <w:rFonts w:ascii="Arial" w:hAnsi="Arial" w:cs="Arial"/>
          <w:b/>
          <w:i/>
          <w:sz w:val="18"/>
          <w:szCs w:val="18"/>
        </w:rPr>
        <w:t xml:space="preserve"> 6. </w:t>
      </w:r>
      <w:r w:rsidR="001D74C0">
        <w:rPr>
          <w:rFonts w:ascii="Arial" w:hAnsi="Arial" w:cs="Arial"/>
          <w:b/>
          <w:i/>
          <w:sz w:val="18"/>
          <w:szCs w:val="18"/>
        </w:rPr>
        <w:t>This is a schematic of</w:t>
      </w:r>
      <w:r w:rsidR="00242A97">
        <w:rPr>
          <w:rFonts w:ascii="Arial" w:hAnsi="Arial" w:cs="Arial"/>
          <w:b/>
          <w:i/>
          <w:sz w:val="18"/>
          <w:szCs w:val="18"/>
        </w:rPr>
        <w:t xml:space="preserve"> the</w:t>
      </w:r>
      <w:r w:rsidR="001D74C0">
        <w:rPr>
          <w:rFonts w:ascii="Arial" w:hAnsi="Arial" w:cs="Arial"/>
          <w:b/>
          <w:i/>
          <w:sz w:val="18"/>
          <w:szCs w:val="18"/>
        </w:rPr>
        <w:t xml:space="preserve"> laboratory </w:t>
      </w:r>
      <w:r w:rsidRPr="00974A60">
        <w:rPr>
          <w:rFonts w:ascii="Arial" w:hAnsi="Arial" w:cs="Arial"/>
          <w:b/>
          <w:i/>
          <w:sz w:val="18"/>
          <w:szCs w:val="18"/>
        </w:rPr>
        <w:t xml:space="preserve">ladle </w:t>
      </w:r>
      <w:r w:rsidR="00FE1525">
        <w:rPr>
          <w:rFonts w:ascii="Arial" w:hAnsi="Arial" w:cs="Arial"/>
          <w:b/>
          <w:i/>
          <w:sz w:val="18"/>
          <w:szCs w:val="18"/>
        </w:rPr>
        <w:t xml:space="preserve">100 </w:t>
      </w:r>
      <w:proofErr w:type="spellStart"/>
      <w:r w:rsidR="00FE1525">
        <w:rPr>
          <w:rFonts w:ascii="Arial" w:hAnsi="Arial" w:cs="Arial"/>
          <w:b/>
          <w:i/>
          <w:sz w:val="18"/>
          <w:szCs w:val="18"/>
        </w:rPr>
        <w:t>lb</w:t>
      </w:r>
      <w:proofErr w:type="spellEnd"/>
      <w:r w:rsidR="00FE1525">
        <w:rPr>
          <w:rFonts w:ascii="Arial" w:hAnsi="Arial" w:cs="Arial"/>
          <w:b/>
          <w:i/>
          <w:sz w:val="18"/>
          <w:szCs w:val="18"/>
        </w:rPr>
        <w:t xml:space="preserve"> (45 kg) </w:t>
      </w:r>
      <w:r w:rsidRPr="00974A60">
        <w:rPr>
          <w:rFonts w:ascii="Arial" w:hAnsi="Arial" w:cs="Arial"/>
          <w:b/>
          <w:i/>
          <w:sz w:val="18"/>
          <w:szCs w:val="18"/>
        </w:rPr>
        <w:t xml:space="preserve">prepared for </w:t>
      </w:r>
      <w:r w:rsidR="008D2241">
        <w:rPr>
          <w:rFonts w:ascii="Arial" w:hAnsi="Arial" w:cs="Arial"/>
          <w:b/>
          <w:i/>
          <w:sz w:val="18"/>
          <w:szCs w:val="18"/>
        </w:rPr>
        <w:t>E</w:t>
      </w:r>
      <w:r w:rsidRPr="00974A60">
        <w:rPr>
          <w:rFonts w:ascii="Arial" w:hAnsi="Arial" w:cs="Arial"/>
          <w:b/>
          <w:i/>
          <w:sz w:val="18"/>
          <w:szCs w:val="18"/>
        </w:rPr>
        <w:t>xperiment 2</w:t>
      </w:r>
      <w:r w:rsidR="001D74C0">
        <w:rPr>
          <w:rFonts w:ascii="Arial" w:hAnsi="Arial" w:cs="Arial"/>
          <w:b/>
          <w:i/>
          <w:sz w:val="18"/>
          <w:szCs w:val="18"/>
        </w:rPr>
        <w:t>.</w:t>
      </w:r>
      <w:r w:rsidR="00FE1525">
        <w:rPr>
          <w:rFonts w:ascii="Arial" w:hAnsi="Arial" w:cs="Arial"/>
          <w:b/>
          <w:i/>
          <w:sz w:val="18"/>
          <w:szCs w:val="18"/>
          <w:vertAlign w:val="superscript"/>
        </w:rPr>
        <w:t>3</w:t>
      </w:r>
    </w:p>
    <w:p w14:paraId="5B32F792" w14:textId="77777777" w:rsidR="00E02620" w:rsidRDefault="00E02620" w:rsidP="00BB258B">
      <w:pPr>
        <w:pStyle w:val="NoSpacing"/>
        <w:rPr>
          <w:rFonts w:ascii="Arial" w:hAnsi="Arial" w:cs="Arial"/>
          <w:b/>
          <w:sz w:val="20"/>
          <w:szCs w:val="20"/>
        </w:rPr>
      </w:pPr>
    </w:p>
    <w:p w14:paraId="4D5093A0" w14:textId="77777777" w:rsidR="00606142" w:rsidRDefault="00606142" w:rsidP="00BB258B">
      <w:pPr>
        <w:pStyle w:val="NoSpacing"/>
        <w:rPr>
          <w:rFonts w:ascii="Arial" w:hAnsi="Arial" w:cs="Arial"/>
          <w:b/>
          <w:sz w:val="20"/>
          <w:szCs w:val="20"/>
        </w:rPr>
      </w:pPr>
    </w:p>
    <w:p w14:paraId="273C3712" w14:textId="77777777" w:rsidR="00BB258B" w:rsidRPr="00C0448A" w:rsidRDefault="00BB258B" w:rsidP="00BB258B">
      <w:pPr>
        <w:pStyle w:val="NoSpacing"/>
        <w:rPr>
          <w:rFonts w:ascii="Arial" w:hAnsi="Arial" w:cs="Arial"/>
          <w:b/>
          <w:sz w:val="20"/>
          <w:szCs w:val="20"/>
        </w:rPr>
      </w:pPr>
      <w:r w:rsidRPr="00C0448A">
        <w:rPr>
          <w:rFonts w:ascii="Arial" w:hAnsi="Arial" w:cs="Arial"/>
          <w:b/>
          <w:sz w:val="20"/>
          <w:szCs w:val="20"/>
        </w:rPr>
        <w:t>EXPERIMENTAL RESULTS</w:t>
      </w:r>
    </w:p>
    <w:p w14:paraId="4C196E20" w14:textId="77777777" w:rsidR="00BB258B" w:rsidRPr="00285735" w:rsidRDefault="00BB258B" w:rsidP="00BB258B">
      <w:pPr>
        <w:pStyle w:val="NoSpacing"/>
        <w:rPr>
          <w:rFonts w:ascii="Times New Roman" w:hAnsi="Times New Roman"/>
          <w:b/>
          <w:sz w:val="20"/>
          <w:szCs w:val="20"/>
        </w:rPr>
      </w:pPr>
    </w:p>
    <w:p w14:paraId="06A2B17F" w14:textId="77777777" w:rsidR="00BB258B" w:rsidRDefault="00BB258B" w:rsidP="00BB258B">
      <w:pPr>
        <w:pStyle w:val="NoSpacing"/>
        <w:rPr>
          <w:rFonts w:ascii="Arial" w:hAnsi="Arial" w:cs="Arial"/>
          <w:sz w:val="20"/>
          <w:szCs w:val="20"/>
        </w:rPr>
      </w:pPr>
      <w:r w:rsidRPr="009D322E">
        <w:rPr>
          <w:rFonts w:ascii="Arial" w:hAnsi="Arial" w:cs="Arial"/>
          <w:sz w:val="20"/>
          <w:szCs w:val="20"/>
        </w:rPr>
        <w:t>BULK PROPERTIES</w:t>
      </w:r>
    </w:p>
    <w:p w14:paraId="2A800FE2" w14:textId="77777777" w:rsidR="00BB258B" w:rsidRDefault="00BB258B" w:rsidP="00C0448A">
      <w:pPr>
        <w:pStyle w:val="NoSpacing"/>
        <w:rPr>
          <w:rFonts w:ascii="Times New Roman" w:hAnsi="Times New Roman"/>
          <w:sz w:val="20"/>
          <w:szCs w:val="20"/>
        </w:rPr>
      </w:pPr>
      <w:r w:rsidRPr="00285735">
        <w:rPr>
          <w:rFonts w:ascii="Times New Roman" w:hAnsi="Times New Roman"/>
          <w:sz w:val="20"/>
          <w:szCs w:val="20"/>
        </w:rPr>
        <w:t>The physical properties of bulk silica sand and cenospheres as measured are provided in Table 4</w:t>
      </w:r>
      <w:r w:rsidR="00E02620">
        <w:rPr>
          <w:rFonts w:ascii="Times New Roman" w:hAnsi="Times New Roman"/>
          <w:sz w:val="20"/>
          <w:szCs w:val="20"/>
        </w:rPr>
        <w:t>.</w:t>
      </w:r>
      <w:r w:rsidR="00F06BC0">
        <w:rPr>
          <w:rFonts w:ascii="Times New Roman" w:hAnsi="Times New Roman"/>
          <w:sz w:val="20"/>
          <w:szCs w:val="20"/>
        </w:rPr>
        <w:t xml:space="preserve"> </w:t>
      </w:r>
      <w:r w:rsidRPr="00285735">
        <w:rPr>
          <w:rFonts w:ascii="Times New Roman" w:hAnsi="Times New Roman"/>
          <w:sz w:val="20"/>
          <w:szCs w:val="20"/>
        </w:rPr>
        <w:t>The cenospheres are smaller (75</w:t>
      </w:r>
      <w:r w:rsidR="00BB418F">
        <w:rPr>
          <w:rFonts w:ascii="Times New Roman" w:hAnsi="Times New Roman"/>
          <w:sz w:val="20"/>
          <w:szCs w:val="20"/>
        </w:rPr>
        <w:t>–</w:t>
      </w:r>
      <w:r w:rsidRPr="00285735">
        <w:rPr>
          <w:rFonts w:ascii="Times New Roman" w:hAnsi="Times New Roman"/>
          <w:sz w:val="20"/>
          <w:szCs w:val="20"/>
        </w:rPr>
        <w:t xml:space="preserve">100 </w:t>
      </w:r>
      <w:proofErr w:type="spellStart"/>
      <w:r w:rsidRPr="00285735">
        <w:rPr>
          <w:rFonts w:ascii="Times New Roman" w:hAnsi="Times New Roman"/>
          <w:sz w:val="20"/>
          <w:szCs w:val="20"/>
        </w:rPr>
        <w:t>μm</w:t>
      </w:r>
      <w:proofErr w:type="spellEnd"/>
      <w:r w:rsidRPr="00285735">
        <w:rPr>
          <w:rFonts w:ascii="Times New Roman" w:hAnsi="Times New Roman"/>
          <w:sz w:val="20"/>
          <w:szCs w:val="20"/>
        </w:rPr>
        <w:t>) compared to the base silica sand particles (200</w:t>
      </w:r>
      <w:r w:rsidR="00BB418F">
        <w:rPr>
          <w:rFonts w:ascii="Times New Roman" w:hAnsi="Times New Roman"/>
          <w:sz w:val="20"/>
          <w:szCs w:val="20"/>
        </w:rPr>
        <w:t>–</w:t>
      </w:r>
      <w:r w:rsidRPr="00285735">
        <w:rPr>
          <w:rFonts w:ascii="Times New Roman" w:hAnsi="Times New Roman"/>
          <w:sz w:val="20"/>
          <w:szCs w:val="20"/>
        </w:rPr>
        <w:t xml:space="preserve">300 </w:t>
      </w:r>
      <w:proofErr w:type="spellStart"/>
      <w:r w:rsidRPr="00285735">
        <w:rPr>
          <w:rFonts w:ascii="Times New Roman" w:hAnsi="Times New Roman"/>
          <w:sz w:val="20"/>
          <w:szCs w:val="20"/>
        </w:rPr>
        <w:t>μm</w:t>
      </w:r>
      <w:proofErr w:type="spellEnd"/>
      <w:r w:rsidRPr="00285735">
        <w:rPr>
          <w:rFonts w:ascii="Times New Roman" w:hAnsi="Times New Roman"/>
          <w:sz w:val="20"/>
          <w:szCs w:val="20"/>
        </w:rPr>
        <w:t>)</w:t>
      </w:r>
      <w:r w:rsidR="00E02620">
        <w:rPr>
          <w:rFonts w:ascii="Times New Roman" w:hAnsi="Times New Roman"/>
          <w:sz w:val="20"/>
          <w:szCs w:val="20"/>
        </w:rPr>
        <w:t xml:space="preserve">. </w:t>
      </w:r>
      <w:r w:rsidRPr="00285735">
        <w:rPr>
          <w:rFonts w:ascii="Times New Roman" w:hAnsi="Times New Roman"/>
          <w:sz w:val="20"/>
          <w:szCs w:val="20"/>
        </w:rPr>
        <w:t>The bulk density of the mix decreases with increasing cenospheres addition</w:t>
      </w:r>
      <w:r w:rsidR="00E02620">
        <w:rPr>
          <w:rFonts w:ascii="Times New Roman" w:hAnsi="Times New Roman"/>
          <w:sz w:val="20"/>
          <w:szCs w:val="20"/>
        </w:rPr>
        <w:t>.</w:t>
      </w:r>
      <w:r w:rsidR="00F06BC0">
        <w:rPr>
          <w:rFonts w:ascii="Times New Roman" w:hAnsi="Times New Roman"/>
          <w:sz w:val="20"/>
          <w:szCs w:val="20"/>
        </w:rPr>
        <w:t xml:space="preserve"> </w:t>
      </w:r>
      <w:r w:rsidRPr="00285735">
        <w:rPr>
          <w:rFonts w:ascii="Times New Roman" w:hAnsi="Times New Roman"/>
          <w:sz w:val="20"/>
          <w:szCs w:val="20"/>
        </w:rPr>
        <w:t>Bulk density was reduced from 1.7 g/cm</w:t>
      </w:r>
      <w:r w:rsidRPr="00285735">
        <w:rPr>
          <w:rFonts w:ascii="Times New Roman" w:hAnsi="Times New Roman"/>
          <w:sz w:val="20"/>
          <w:szCs w:val="20"/>
          <w:vertAlign w:val="superscript"/>
        </w:rPr>
        <w:t xml:space="preserve">3 </w:t>
      </w:r>
      <w:r w:rsidRPr="00285735">
        <w:rPr>
          <w:rFonts w:ascii="Times New Roman" w:hAnsi="Times New Roman"/>
          <w:sz w:val="20"/>
          <w:szCs w:val="20"/>
        </w:rPr>
        <w:t>to</w:t>
      </w:r>
      <w:r w:rsidRPr="00285735">
        <w:rPr>
          <w:rFonts w:ascii="Times New Roman" w:hAnsi="Times New Roman"/>
          <w:sz w:val="20"/>
          <w:szCs w:val="20"/>
          <w:vertAlign w:val="superscript"/>
        </w:rPr>
        <w:t xml:space="preserve"> </w:t>
      </w:r>
      <w:r w:rsidRPr="00285735">
        <w:rPr>
          <w:rFonts w:ascii="Times New Roman" w:hAnsi="Times New Roman"/>
          <w:sz w:val="20"/>
          <w:szCs w:val="20"/>
        </w:rPr>
        <w:t>1.28 g/cm</w:t>
      </w:r>
      <w:r w:rsidRPr="00285735">
        <w:rPr>
          <w:rFonts w:ascii="Times New Roman" w:hAnsi="Times New Roman"/>
          <w:sz w:val="20"/>
          <w:szCs w:val="20"/>
          <w:vertAlign w:val="superscript"/>
        </w:rPr>
        <w:t xml:space="preserve">3 </w:t>
      </w:r>
      <w:r w:rsidR="001D74C0">
        <w:rPr>
          <w:rFonts w:ascii="Times New Roman" w:hAnsi="Times New Roman"/>
          <w:sz w:val="20"/>
          <w:szCs w:val="20"/>
        </w:rPr>
        <w:t xml:space="preserve">(25 % reduction) when 12 </w:t>
      </w:r>
      <w:proofErr w:type="spellStart"/>
      <w:r w:rsidR="001D74C0">
        <w:rPr>
          <w:rFonts w:ascii="Times New Roman" w:hAnsi="Times New Roman"/>
          <w:sz w:val="20"/>
          <w:szCs w:val="20"/>
        </w:rPr>
        <w:t>wt</w:t>
      </w:r>
      <w:proofErr w:type="spellEnd"/>
      <w:r w:rsidRPr="00285735">
        <w:rPr>
          <w:rFonts w:ascii="Times New Roman" w:hAnsi="Times New Roman"/>
          <w:sz w:val="20"/>
          <w:szCs w:val="20"/>
        </w:rPr>
        <w:t xml:space="preserve">% </w:t>
      </w:r>
      <w:proofErr w:type="spellStart"/>
      <w:r w:rsidRPr="00285735">
        <w:rPr>
          <w:rFonts w:ascii="Times New Roman" w:hAnsi="Times New Roman"/>
          <w:sz w:val="20"/>
          <w:szCs w:val="20"/>
        </w:rPr>
        <w:t>cenospheres</w:t>
      </w:r>
      <w:proofErr w:type="spellEnd"/>
      <w:r w:rsidRPr="00285735">
        <w:rPr>
          <w:rFonts w:ascii="Times New Roman" w:hAnsi="Times New Roman"/>
          <w:sz w:val="20"/>
          <w:szCs w:val="20"/>
        </w:rPr>
        <w:t xml:space="preserve"> were added to silica sand without changing the porosity in the bulk mixture (Table 4).</w:t>
      </w:r>
    </w:p>
    <w:p w14:paraId="0DEE142A" w14:textId="77777777" w:rsidR="001D74C0" w:rsidRPr="00285735" w:rsidRDefault="001D74C0" w:rsidP="00C0448A">
      <w:pPr>
        <w:pStyle w:val="NoSpacing"/>
        <w:rPr>
          <w:rFonts w:ascii="Times New Roman" w:hAnsi="Times New Roman"/>
          <w:sz w:val="20"/>
          <w:szCs w:val="20"/>
        </w:rPr>
      </w:pPr>
    </w:p>
    <w:p w14:paraId="0188588B" w14:textId="77777777" w:rsidR="00BB258B" w:rsidRPr="00285735" w:rsidRDefault="00BB258B" w:rsidP="00C0448A">
      <w:pPr>
        <w:pStyle w:val="NoSpacing"/>
        <w:rPr>
          <w:rFonts w:ascii="Times New Roman" w:hAnsi="Times New Roman"/>
          <w:sz w:val="20"/>
          <w:szCs w:val="20"/>
        </w:rPr>
      </w:pPr>
      <w:r w:rsidRPr="00285735">
        <w:rPr>
          <w:rFonts w:ascii="Times New Roman" w:hAnsi="Times New Roman"/>
          <w:sz w:val="20"/>
          <w:szCs w:val="20"/>
        </w:rPr>
        <w:t xml:space="preserve">The thermal conductivity of bulk silica sand and cenospheres was found to be 0.23 and 0.08 W/m-K by </w:t>
      </w:r>
      <w:r w:rsidR="00242A97">
        <w:rPr>
          <w:rFonts w:ascii="Times New Roman" w:hAnsi="Times New Roman"/>
          <w:sz w:val="20"/>
          <w:szCs w:val="20"/>
        </w:rPr>
        <w:t xml:space="preserve">the </w:t>
      </w:r>
      <w:r w:rsidRPr="00285735">
        <w:rPr>
          <w:rFonts w:ascii="Times New Roman" w:hAnsi="Times New Roman"/>
          <w:sz w:val="20"/>
          <w:szCs w:val="20"/>
        </w:rPr>
        <w:t>hot wire method at room temperature</w:t>
      </w:r>
      <w:r w:rsidR="00E02620">
        <w:rPr>
          <w:rFonts w:ascii="Times New Roman" w:hAnsi="Times New Roman"/>
          <w:sz w:val="20"/>
          <w:szCs w:val="20"/>
        </w:rPr>
        <w:t xml:space="preserve">. </w:t>
      </w:r>
      <w:r w:rsidRPr="00285735">
        <w:rPr>
          <w:rFonts w:ascii="Times New Roman" w:hAnsi="Times New Roman"/>
          <w:sz w:val="20"/>
          <w:szCs w:val="20"/>
        </w:rPr>
        <w:t xml:space="preserve">A 12 </w:t>
      </w:r>
      <w:proofErr w:type="spellStart"/>
      <w:r w:rsidRPr="00285735">
        <w:rPr>
          <w:rFonts w:ascii="Times New Roman" w:hAnsi="Times New Roman"/>
          <w:sz w:val="20"/>
          <w:szCs w:val="20"/>
        </w:rPr>
        <w:t>wt</w:t>
      </w:r>
      <w:proofErr w:type="spellEnd"/>
      <w:r w:rsidRPr="00285735">
        <w:rPr>
          <w:rFonts w:ascii="Times New Roman" w:hAnsi="Times New Roman"/>
          <w:sz w:val="20"/>
          <w:szCs w:val="20"/>
        </w:rPr>
        <w:t xml:space="preserve">% addition of </w:t>
      </w:r>
      <w:proofErr w:type="spellStart"/>
      <w:r w:rsidRPr="00285735">
        <w:rPr>
          <w:rFonts w:ascii="Times New Roman" w:hAnsi="Times New Roman"/>
          <w:sz w:val="20"/>
          <w:szCs w:val="20"/>
        </w:rPr>
        <w:t>cenospheres</w:t>
      </w:r>
      <w:proofErr w:type="spellEnd"/>
      <w:r w:rsidRPr="00285735">
        <w:rPr>
          <w:rFonts w:ascii="Times New Roman" w:hAnsi="Times New Roman"/>
          <w:sz w:val="20"/>
          <w:szCs w:val="20"/>
        </w:rPr>
        <w:t xml:space="preserve"> resulted in a 35% reduction in thermal conductivity</w:t>
      </w:r>
      <w:r w:rsidR="00E02620">
        <w:rPr>
          <w:rFonts w:ascii="Times New Roman" w:hAnsi="Times New Roman"/>
          <w:sz w:val="20"/>
          <w:szCs w:val="20"/>
        </w:rPr>
        <w:t xml:space="preserve">. </w:t>
      </w:r>
      <w:r w:rsidRPr="00285735">
        <w:rPr>
          <w:rFonts w:ascii="Times New Roman" w:hAnsi="Times New Roman"/>
          <w:sz w:val="20"/>
          <w:szCs w:val="20"/>
        </w:rPr>
        <w:t>The thermal conductivity of the aggregate/mix was measured as 0.15 W/m-K</w:t>
      </w:r>
      <w:r w:rsidR="00E02620">
        <w:rPr>
          <w:rFonts w:ascii="Times New Roman" w:hAnsi="Times New Roman"/>
          <w:sz w:val="20"/>
          <w:szCs w:val="20"/>
        </w:rPr>
        <w:t>.</w:t>
      </w:r>
      <w:r w:rsidR="00F06BC0">
        <w:rPr>
          <w:rFonts w:ascii="Times New Roman" w:hAnsi="Times New Roman"/>
          <w:sz w:val="20"/>
          <w:szCs w:val="20"/>
        </w:rPr>
        <w:t xml:space="preserve"> </w:t>
      </w:r>
      <w:r w:rsidRPr="00285735">
        <w:rPr>
          <w:rFonts w:ascii="Times New Roman" w:hAnsi="Times New Roman"/>
          <w:sz w:val="20"/>
          <w:szCs w:val="20"/>
        </w:rPr>
        <w:t>Thermal diffusivity of the mix was reduced by 13%.</w:t>
      </w:r>
    </w:p>
    <w:p w14:paraId="66B97255" w14:textId="77777777" w:rsidR="00BB258B" w:rsidRPr="00285735" w:rsidRDefault="00BB258B" w:rsidP="000C364D">
      <w:pPr>
        <w:pStyle w:val="NoSpacing"/>
        <w:rPr>
          <w:rFonts w:ascii="Times New Roman" w:hAnsi="Times New Roman"/>
          <w:sz w:val="20"/>
          <w:szCs w:val="20"/>
        </w:rPr>
      </w:pPr>
    </w:p>
    <w:p w14:paraId="73641CAA" w14:textId="77777777" w:rsidR="004D5391" w:rsidRPr="009D322E" w:rsidRDefault="004D5391" w:rsidP="004D5391">
      <w:pPr>
        <w:pStyle w:val="NoSpacing"/>
        <w:rPr>
          <w:rFonts w:ascii="Arial" w:hAnsi="Arial" w:cs="Arial"/>
          <w:sz w:val="20"/>
          <w:szCs w:val="20"/>
        </w:rPr>
      </w:pPr>
      <w:r w:rsidRPr="009D322E">
        <w:rPr>
          <w:rFonts w:ascii="Arial" w:hAnsi="Arial" w:cs="Arial"/>
          <w:sz w:val="20"/>
          <w:szCs w:val="20"/>
        </w:rPr>
        <w:t>SIMULATION OF EXPERIMENT 1</w:t>
      </w:r>
    </w:p>
    <w:p w14:paraId="62AC9FBD" w14:textId="77777777" w:rsidR="004D5391" w:rsidRPr="00285735" w:rsidRDefault="004D5391" w:rsidP="00C0448A">
      <w:pPr>
        <w:pStyle w:val="NoSpacing"/>
        <w:rPr>
          <w:rFonts w:ascii="Times New Roman" w:hAnsi="Times New Roman"/>
          <w:sz w:val="20"/>
          <w:szCs w:val="20"/>
        </w:rPr>
      </w:pPr>
      <w:r w:rsidRPr="00285735">
        <w:rPr>
          <w:rFonts w:ascii="Times New Roman" w:hAnsi="Times New Roman"/>
          <w:sz w:val="20"/>
          <w:szCs w:val="20"/>
        </w:rPr>
        <w:t xml:space="preserve">For heat transfer calculations, the heat transfer approximation for a thick-walled mold suggested by </w:t>
      </w:r>
      <w:r w:rsidRPr="000E4D70">
        <w:rPr>
          <w:rFonts w:ascii="Times New Roman" w:hAnsi="Times New Roman"/>
          <w:sz w:val="20"/>
          <w:szCs w:val="20"/>
        </w:rPr>
        <w:t>Poirier was used</w:t>
      </w:r>
      <w:r w:rsidR="00E02620">
        <w:rPr>
          <w:rFonts w:ascii="Times New Roman" w:hAnsi="Times New Roman"/>
          <w:sz w:val="20"/>
          <w:szCs w:val="20"/>
        </w:rPr>
        <w:t xml:space="preserve">. </w:t>
      </w:r>
      <w:r w:rsidRPr="00285735">
        <w:rPr>
          <w:rFonts w:ascii="Times New Roman" w:hAnsi="Times New Roman"/>
          <w:sz w:val="20"/>
          <w:szCs w:val="20"/>
        </w:rPr>
        <w:t>It was assumed that all the resistance to heat flo</w:t>
      </w:r>
      <w:r w:rsidR="008156DB">
        <w:rPr>
          <w:rFonts w:ascii="Times New Roman" w:hAnsi="Times New Roman"/>
          <w:sz w:val="20"/>
          <w:szCs w:val="20"/>
        </w:rPr>
        <w:t>w was due to the mold walls</w:t>
      </w:r>
      <w:r w:rsidR="00837374">
        <w:rPr>
          <w:rFonts w:ascii="Times New Roman" w:hAnsi="Times New Roman"/>
          <w:sz w:val="20"/>
          <w:szCs w:val="20"/>
        </w:rPr>
        <w:t xml:space="preserve"> </w:t>
      </w:r>
      <w:r w:rsidR="008156DB">
        <w:rPr>
          <w:rFonts w:ascii="Times New Roman" w:hAnsi="Times New Roman"/>
          <w:sz w:val="20"/>
          <w:szCs w:val="20"/>
        </w:rPr>
        <w:t>(Eqn</w:t>
      </w:r>
      <w:r w:rsidR="00BB30CE">
        <w:rPr>
          <w:rFonts w:ascii="Times New Roman" w:hAnsi="Times New Roman"/>
          <w:sz w:val="20"/>
          <w:szCs w:val="20"/>
        </w:rPr>
        <w:t>.</w:t>
      </w:r>
      <w:r w:rsidR="008156DB">
        <w:rPr>
          <w:rFonts w:ascii="Times New Roman" w:hAnsi="Times New Roman"/>
          <w:sz w:val="20"/>
          <w:szCs w:val="20"/>
        </w:rPr>
        <w:t xml:space="preserve"> </w:t>
      </w:r>
      <w:r w:rsidRPr="00285735">
        <w:rPr>
          <w:rFonts w:ascii="Times New Roman" w:hAnsi="Times New Roman"/>
          <w:sz w:val="20"/>
          <w:szCs w:val="20"/>
        </w:rPr>
        <w:t xml:space="preserve">3): </w:t>
      </w:r>
    </w:p>
    <w:p w14:paraId="13790AC7" w14:textId="77777777" w:rsidR="004D5391" w:rsidRPr="00285735" w:rsidRDefault="004D5391" w:rsidP="00AB5B9C">
      <w:pPr>
        <w:pStyle w:val="NoSpacing"/>
        <w:rPr>
          <w:rFonts w:ascii="Times New Roman" w:hAnsi="Times New Roman"/>
          <w:sz w:val="20"/>
          <w:szCs w:val="20"/>
        </w:rPr>
      </w:pPr>
    </w:p>
    <w:p w14:paraId="259F2419" w14:textId="2E821D35" w:rsidR="004D5391" w:rsidRPr="008B2A8A" w:rsidRDefault="005308E5" w:rsidP="00AB5B9C">
      <w:pPr>
        <w:pStyle w:val="NoSpacing"/>
        <w:ind w:left="180"/>
        <w:rPr>
          <w:rFonts w:ascii="Times New Roman" w:hAnsi="Times New Roman"/>
          <w:sz w:val="20"/>
          <w:szCs w:val="20"/>
        </w:rPr>
      </w:pPr>
      <w:r w:rsidRPr="005308E5">
        <w:rPr>
          <w:rFonts w:ascii="Times New Roman" w:hAnsi="Times New Roman"/>
          <w:sz w:val="20"/>
          <w:szCs w:val="20"/>
        </w:rPr>
        <w:fldChar w:fldCharType="begin"/>
      </w:r>
      <w:r w:rsidRPr="005308E5">
        <w:rPr>
          <w:rFonts w:ascii="Times New Roman" w:hAnsi="Times New Roman"/>
          <w:sz w:val="20"/>
          <w:szCs w:val="20"/>
        </w:rPr>
        <w:instrText xml:space="preserve"> QUOTE </w:instrText>
      </w:r>
      <m:oMath>
        <m:sSub>
          <m:sSubPr>
            <m:ctrlPr>
              <w:rPr>
                <w:rFonts w:ascii="Cambria Math" w:hAnsi="Times New Roman"/>
              </w:rPr>
            </m:ctrlPr>
          </m:sSubPr>
          <m:e>
            <m:r>
              <m:rPr>
                <m:sty m:val="p"/>
              </m:rPr>
              <w:rPr>
                <w:rFonts w:ascii="Cambria Math" w:hAnsi="Times New Roman"/>
              </w:rPr>
              <m:t>q</m:t>
            </m:r>
          </m:e>
          <m:sub>
            <m:r>
              <m:rPr>
                <m:sty m:val="p"/>
              </m:rPr>
              <w:rPr>
                <w:rFonts w:ascii="Cambria Math" w:hAnsi="Times New Roman"/>
              </w:rPr>
              <m:t>x=0</m:t>
            </m:r>
          </m:sub>
        </m:sSub>
        <m:r>
          <m:rPr>
            <m:sty m:val="p"/>
          </m:rPr>
          <w:rPr>
            <w:rFonts w:ascii="Cambria Math" w:eastAsia="Cambria Math" w:hAnsi="Times New Roman"/>
          </w:rPr>
          <m:t>=</m:t>
        </m:r>
        <m:f>
          <m:fPr>
            <m:ctrlPr>
              <w:rPr>
                <w:rFonts w:ascii="Cambria Math" w:hAnsi="Times New Roman"/>
              </w:rPr>
            </m:ctrlPr>
          </m:fPr>
          <m:num>
            <m:rad>
              <m:radPr>
                <m:degHide m:val="1"/>
                <m:ctrlPr>
                  <w:rPr>
                    <w:rFonts w:ascii="Cambria Math" w:hAnsi="Times New Roman"/>
                  </w:rPr>
                </m:ctrlPr>
              </m:radPr>
              <m:deg/>
              <m:e>
                <m:r>
                  <m:rPr>
                    <m:sty m:val="p"/>
                  </m:rPr>
                  <w:rPr>
                    <w:rFonts w:ascii="Cambria Math" w:hAnsi="Times New Roman"/>
                  </w:rPr>
                  <m:t>k</m:t>
                </m:r>
                <m:r>
                  <m:rPr>
                    <m:sty m:val="p"/>
                  </m:rPr>
                  <w:rPr>
                    <w:rFonts w:ascii="Times New Roman" w:hAnsi="Times New Roman"/>
                  </w:rPr>
                  <m:t>ρ</m:t>
                </m:r>
                <m:r>
                  <m:rPr>
                    <m:sty m:val="p"/>
                  </m:rPr>
                  <w:rPr>
                    <w:rFonts w:ascii="Cambria Math" w:hAnsi="Times New Roman"/>
                  </w:rPr>
                  <m:t>Cp</m:t>
                </m:r>
              </m:e>
            </m:rad>
          </m:num>
          <m:den>
            <m:rad>
              <m:radPr>
                <m:degHide m:val="1"/>
                <m:ctrlPr>
                  <w:rPr>
                    <w:rFonts w:ascii="Cambria Math" w:hAnsi="Times New Roman"/>
                  </w:rPr>
                </m:ctrlPr>
              </m:radPr>
              <m:deg/>
              <m:e>
                <m:r>
                  <m:rPr>
                    <m:sty m:val="p"/>
                  </m:rPr>
                  <w:rPr>
                    <w:rFonts w:ascii="Times New Roman" w:hAnsi="Times New Roman"/>
                  </w:rPr>
                  <m:t>π</m:t>
                </m:r>
                <m:r>
                  <m:rPr>
                    <m:sty m:val="p"/>
                  </m:rPr>
                  <w:rPr>
                    <w:rFonts w:ascii="Cambria Math" w:hAnsi="Times New Roman"/>
                  </w:rPr>
                  <m:t>t</m:t>
                </m:r>
              </m:e>
            </m:rad>
          </m:den>
        </m:f>
        <m:r>
          <m:rPr>
            <m:sty m:val="p"/>
          </m:rPr>
          <w:rPr>
            <w:rFonts w:ascii="Cambria Math" w:hAnsi="Times New Roman"/>
          </w:rPr>
          <m:t>(</m:t>
        </m:r>
        <m:sSub>
          <m:sSubPr>
            <m:ctrlPr>
              <w:rPr>
                <w:rFonts w:ascii="Cambria Math" w:hAnsi="Times New Roman"/>
              </w:rPr>
            </m:ctrlPr>
          </m:sSubPr>
          <m:e>
            <m:r>
              <m:rPr>
                <m:sty m:val="p"/>
              </m:rPr>
              <w:rPr>
                <w:rFonts w:ascii="Cambria Math" w:hAnsi="Times New Roman"/>
              </w:rPr>
              <m:t>T</m:t>
            </m:r>
          </m:e>
          <m:sub>
            <m:r>
              <m:rPr>
                <m:sty m:val="p"/>
              </m:rPr>
              <w:rPr>
                <w:rFonts w:ascii="Cambria Math" w:hAnsi="Times New Roman"/>
              </w:rPr>
              <m:t>M</m:t>
            </m:r>
          </m:sub>
        </m:sSub>
        <m:r>
          <m:rPr>
            <m:sty m:val="p"/>
          </m:rPr>
          <w:rPr>
            <w:rFonts w:ascii="Times New Roman" w:hAnsi="Times New Roman"/>
          </w:rPr>
          <m:t>-</m:t>
        </m:r>
        <m:sSub>
          <m:sSubPr>
            <m:ctrlPr>
              <w:rPr>
                <w:rFonts w:ascii="Cambria Math" w:hAnsi="Times New Roman"/>
              </w:rPr>
            </m:ctrlPr>
          </m:sSubPr>
          <m:e>
            <m:r>
              <m:rPr>
                <m:sty m:val="p"/>
              </m:rPr>
              <w:rPr>
                <w:rFonts w:ascii="Cambria Math" w:hAnsi="Times New Roman"/>
              </w:rPr>
              <m:t>T</m:t>
            </m:r>
          </m:e>
          <m:sub>
            <m:r>
              <m:rPr>
                <m:sty m:val="p"/>
              </m:rPr>
              <w:rPr>
                <w:rFonts w:ascii="Cambria Math" w:hAnsi="Times New Roman"/>
              </w:rPr>
              <m:t>O</m:t>
            </m:r>
          </m:sub>
        </m:sSub>
        <m:r>
          <m:rPr>
            <m:sty m:val="p"/>
          </m:rPr>
          <w:rPr>
            <w:rFonts w:ascii="Cambria Math" w:hAnsi="Times New Roman"/>
          </w:rPr>
          <m:t>)</m:t>
        </m:r>
      </m:oMath>
      <w:r w:rsidRPr="005308E5">
        <w:rPr>
          <w:rFonts w:ascii="Times New Roman" w:hAnsi="Times New Roman"/>
          <w:sz w:val="20"/>
          <w:szCs w:val="20"/>
        </w:rPr>
        <w:instrText xml:space="preserve"> </w:instrText>
      </w:r>
      <w:r w:rsidRPr="005308E5">
        <w:rPr>
          <w:rFonts w:ascii="Times New Roman" w:hAnsi="Times New Roman"/>
          <w:sz w:val="20"/>
          <w:szCs w:val="20"/>
        </w:rPr>
        <w:fldChar w:fldCharType="separate"/>
      </w:r>
      <m:oMath>
        <m:sSub>
          <m:sSubPr>
            <m:ctrlPr>
              <w:rPr>
                <w:rFonts w:ascii="Cambria Math" w:hAnsi="Times New Roman"/>
              </w:rPr>
            </m:ctrlPr>
          </m:sSubPr>
          <m:e>
            <m:r>
              <m:rPr>
                <m:sty m:val="p"/>
              </m:rPr>
              <w:rPr>
                <w:rFonts w:ascii="Cambria Math" w:hAnsi="Times New Roman"/>
              </w:rPr>
              <m:t>q</m:t>
            </m:r>
          </m:e>
          <m:sub>
            <m:r>
              <m:rPr>
                <m:sty m:val="p"/>
              </m:rPr>
              <w:rPr>
                <w:rFonts w:ascii="Cambria Math" w:hAnsi="Times New Roman"/>
              </w:rPr>
              <m:t>x=0</m:t>
            </m:r>
          </m:sub>
        </m:sSub>
        <m:r>
          <m:rPr>
            <m:sty m:val="p"/>
          </m:rPr>
          <w:rPr>
            <w:rFonts w:ascii="Cambria Math" w:eastAsia="Cambria Math" w:hAnsi="Times New Roman"/>
          </w:rPr>
          <m:t>=</m:t>
        </m:r>
        <m:f>
          <m:fPr>
            <m:ctrlPr>
              <w:rPr>
                <w:rFonts w:ascii="Cambria Math" w:hAnsi="Times New Roman"/>
              </w:rPr>
            </m:ctrlPr>
          </m:fPr>
          <m:num>
            <m:rad>
              <m:radPr>
                <m:degHide m:val="1"/>
                <m:ctrlPr>
                  <w:rPr>
                    <w:rFonts w:ascii="Cambria Math" w:hAnsi="Times New Roman"/>
                  </w:rPr>
                </m:ctrlPr>
              </m:radPr>
              <m:deg/>
              <m:e>
                <m:r>
                  <m:rPr>
                    <m:sty m:val="p"/>
                  </m:rPr>
                  <w:rPr>
                    <w:rFonts w:ascii="Cambria Math" w:hAnsi="Times New Roman"/>
                  </w:rPr>
                  <m:t>k</m:t>
                </m:r>
                <m:r>
                  <m:rPr>
                    <m:sty m:val="p"/>
                  </m:rPr>
                  <w:rPr>
                    <w:rFonts w:ascii="Times New Roman" w:hAnsi="Times New Roman"/>
                  </w:rPr>
                  <m:t>ρ</m:t>
                </m:r>
                <m:r>
                  <m:rPr>
                    <m:sty m:val="p"/>
                  </m:rPr>
                  <w:rPr>
                    <w:rFonts w:ascii="Cambria Math" w:hAnsi="Times New Roman"/>
                  </w:rPr>
                  <m:t>Cp</m:t>
                </m:r>
              </m:e>
            </m:rad>
          </m:num>
          <m:den>
            <m:rad>
              <m:radPr>
                <m:degHide m:val="1"/>
                <m:ctrlPr>
                  <w:rPr>
                    <w:rFonts w:ascii="Cambria Math" w:hAnsi="Times New Roman"/>
                  </w:rPr>
                </m:ctrlPr>
              </m:radPr>
              <m:deg/>
              <m:e>
                <m:r>
                  <m:rPr>
                    <m:sty m:val="p"/>
                  </m:rPr>
                  <w:rPr>
                    <w:rFonts w:ascii="Times New Roman" w:hAnsi="Times New Roman"/>
                  </w:rPr>
                  <m:t>π</m:t>
                </m:r>
                <m:r>
                  <m:rPr>
                    <m:sty m:val="p"/>
                  </m:rPr>
                  <w:rPr>
                    <w:rFonts w:ascii="Cambria Math" w:hAnsi="Times New Roman"/>
                  </w:rPr>
                  <m:t>t</m:t>
                </m:r>
              </m:e>
            </m:rad>
          </m:den>
        </m:f>
        <m:r>
          <m:rPr>
            <m:sty m:val="p"/>
          </m:rPr>
          <w:rPr>
            <w:rFonts w:ascii="Cambria Math" w:hAnsi="Times New Roman"/>
          </w:rPr>
          <m:t>(</m:t>
        </m:r>
        <m:sSub>
          <m:sSubPr>
            <m:ctrlPr>
              <w:rPr>
                <w:rFonts w:ascii="Cambria Math" w:hAnsi="Times New Roman"/>
              </w:rPr>
            </m:ctrlPr>
          </m:sSubPr>
          <m:e>
            <m:r>
              <m:rPr>
                <m:sty m:val="p"/>
              </m:rPr>
              <w:rPr>
                <w:rFonts w:ascii="Cambria Math" w:hAnsi="Times New Roman"/>
              </w:rPr>
              <m:t>T</m:t>
            </m:r>
          </m:e>
          <m:sub>
            <m:r>
              <m:rPr>
                <m:sty m:val="p"/>
              </m:rPr>
              <w:rPr>
                <w:rFonts w:ascii="Cambria Math" w:hAnsi="Times New Roman"/>
              </w:rPr>
              <m:t>M</m:t>
            </m:r>
          </m:sub>
        </m:sSub>
        <m:r>
          <m:rPr>
            <m:sty m:val="p"/>
          </m:rPr>
          <w:rPr>
            <w:rFonts w:ascii="Times New Roman" w:hAnsi="Times New Roman"/>
          </w:rPr>
          <m:t>-</m:t>
        </m:r>
        <m:sSub>
          <m:sSubPr>
            <m:ctrlPr>
              <w:rPr>
                <w:rFonts w:ascii="Cambria Math" w:hAnsi="Times New Roman"/>
              </w:rPr>
            </m:ctrlPr>
          </m:sSubPr>
          <m:e>
            <m:r>
              <m:rPr>
                <m:sty m:val="p"/>
              </m:rPr>
              <w:rPr>
                <w:rFonts w:ascii="Cambria Math" w:hAnsi="Times New Roman"/>
              </w:rPr>
              <m:t>T</m:t>
            </m:r>
          </m:e>
          <m:sub>
            <m:r>
              <m:rPr>
                <m:sty m:val="p"/>
              </m:rPr>
              <w:rPr>
                <w:rFonts w:ascii="Cambria Math" w:hAnsi="Times New Roman"/>
              </w:rPr>
              <m:t>O</m:t>
            </m:r>
          </m:sub>
        </m:sSub>
        <m:r>
          <m:rPr>
            <m:sty m:val="p"/>
          </m:rPr>
          <w:rPr>
            <w:rFonts w:ascii="Cambria Math" w:hAnsi="Times New Roman"/>
          </w:rPr>
          <m:t>)</m:t>
        </m:r>
      </m:oMath>
      <w:r w:rsidRPr="005308E5">
        <w:rPr>
          <w:rFonts w:ascii="Times New Roman" w:hAnsi="Times New Roman"/>
          <w:sz w:val="20"/>
          <w:szCs w:val="20"/>
        </w:rPr>
        <w:fldChar w:fldCharType="end"/>
      </w:r>
      <w:r>
        <w:rPr>
          <w:rFonts w:ascii="Times New Roman" w:hAnsi="Times New Roman"/>
          <w:sz w:val="20"/>
          <w:szCs w:val="20"/>
        </w:rPr>
        <w:tab/>
      </w:r>
      <w:r>
        <w:rPr>
          <w:rFonts w:ascii="Times New Roman" w:hAnsi="Times New Roman"/>
          <w:sz w:val="20"/>
          <w:szCs w:val="20"/>
        </w:rPr>
        <w:tab/>
      </w:r>
      <w:r w:rsidR="004D5391" w:rsidRPr="008B2A8A">
        <w:rPr>
          <w:rFonts w:ascii="Arial" w:hAnsi="Arial" w:cs="Arial"/>
          <w:b/>
          <w:sz w:val="18"/>
          <w:szCs w:val="18"/>
        </w:rPr>
        <w:t>Eq</w:t>
      </w:r>
      <w:r w:rsidRPr="008B2A8A">
        <w:rPr>
          <w:rFonts w:ascii="Arial" w:hAnsi="Arial" w:cs="Arial"/>
          <w:b/>
          <w:sz w:val="18"/>
          <w:szCs w:val="18"/>
        </w:rPr>
        <w:t>n.</w:t>
      </w:r>
      <w:r w:rsidR="008156DB" w:rsidRPr="008B2A8A">
        <w:rPr>
          <w:rFonts w:ascii="Arial" w:hAnsi="Arial" w:cs="Arial"/>
          <w:b/>
          <w:sz w:val="18"/>
          <w:szCs w:val="18"/>
        </w:rPr>
        <w:t xml:space="preserve"> </w:t>
      </w:r>
      <w:r w:rsidR="004D5391" w:rsidRPr="008B2A8A">
        <w:rPr>
          <w:rFonts w:ascii="Arial" w:hAnsi="Arial" w:cs="Arial"/>
          <w:b/>
          <w:sz w:val="18"/>
          <w:szCs w:val="18"/>
        </w:rPr>
        <w:t>3</w:t>
      </w:r>
    </w:p>
    <w:p w14:paraId="6538A893" w14:textId="77777777" w:rsidR="004D5391" w:rsidRPr="00285735" w:rsidRDefault="004D5391" w:rsidP="004D5391">
      <w:pPr>
        <w:pStyle w:val="NoSpacing"/>
        <w:jc w:val="center"/>
        <w:rPr>
          <w:rFonts w:ascii="Times New Roman" w:hAnsi="Times New Roman"/>
          <w:sz w:val="20"/>
          <w:szCs w:val="20"/>
        </w:rPr>
      </w:pPr>
    </w:p>
    <w:p w14:paraId="49A7F2E8" w14:textId="77777777" w:rsidR="004D5391" w:rsidRDefault="00242A97" w:rsidP="00203551">
      <w:pPr>
        <w:rPr>
          <w:rFonts w:ascii="Times New Roman" w:hAnsi="Times New Roman"/>
        </w:rPr>
      </w:pPr>
      <w:r>
        <w:rPr>
          <w:rFonts w:ascii="Times New Roman" w:hAnsi="Times New Roman"/>
        </w:rPr>
        <w:t>W</w:t>
      </w:r>
      <w:r w:rsidR="004D5391" w:rsidRPr="00285735">
        <w:rPr>
          <w:rFonts w:ascii="Times New Roman" w:hAnsi="Times New Roman"/>
        </w:rPr>
        <w:t>here</w:t>
      </w:r>
      <w:r>
        <w:rPr>
          <w:rFonts w:ascii="Times New Roman" w:hAnsi="Times New Roman"/>
        </w:rPr>
        <w:t>:</w:t>
      </w:r>
      <w:r w:rsidR="004D5391" w:rsidRPr="00285735">
        <w:rPr>
          <w:rFonts w:ascii="Times New Roman" w:hAnsi="Times New Roman"/>
        </w:rPr>
        <w:t xml:space="preserve"> </w:t>
      </w:r>
      <w:proofErr w:type="spellStart"/>
      <w:r w:rsidR="004D5391" w:rsidRPr="00285735">
        <w:rPr>
          <w:rFonts w:ascii="Times New Roman" w:hAnsi="Times New Roman"/>
        </w:rPr>
        <w:t>q</w:t>
      </w:r>
      <w:r w:rsidR="004D5391" w:rsidRPr="00285735">
        <w:rPr>
          <w:rFonts w:ascii="Times New Roman" w:hAnsi="Times New Roman"/>
          <w:vertAlign w:val="subscript"/>
        </w:rPr>
        <w:t>x</w:t>
      </w:r>
      <w:proofErr w:type="spellEnd"/>
      <w:r w:rsidR="004D5391" w:rsidRPr="00285735">
        <w:rPr>
          <w:rFonts w:ascii="Times New Roman" w:hAnsi="Times New Roman"/>
          <w:vertAlign w:val="subscript"/>
        </w:rPr>
        <w:t>=0</w:t>
      </w:r>
      <w:r w:rsidR="004D5391" w:rsidRPr="00285735">
        <w:rPr>
          <w:rFonts w:ascii="Times New Roman" w:hAnsi="Times New Roman"/>
        </w:rPr>
        <w:t xml:space="preserve"> </w:t>
      </w:r>
      <w:r>
        <w:rPr>
          <w:rFonts w:ascii="Times New Roman" w:hAnsi="Times New Roman"/>
        </w:rPr>
        <w:t>=</w:t>
      </w:r>
      <w:r w:rsidR="00BB30CE">
        <w:rPr>
          <w:rFonts w:ascii="Times New Roman" w:hAnsi="Times New Roman"/>
        </w:rPr>
        <w:t xml:space="preserve"> heat flux into the mold at x</w:t>
      </w:r>
      <w:r w:rsidR="001F7559">
        <w:rPr>
          <w:rFonts w:ascii="Times New Roman" w:hAnsi="Times New Roman"/>
        </w:rPr>
        <w:t xml:space="preserve"> </w:t>
      </w:r>
      <w:r w:rsidR="00BB30CE">
        <w:rPr>
          <w:rFonts w:ascii="Times New Roman" w:hAnsi="Times New Roman"/>
        </w:rPr>
        <w:t>=</w:t>
      </w:r>
      <w:r w:rsidR="001F7559">
        <w:rPr>
          <w:rFonts w:ascii="Times New Roman" w:hAnsi="Times New Roman"/>
        </w:rPr>
        <w:t xml:space="preserve"> </w:t>
      </w:r>
      <w:r w:rsidR="00BB30CE">
        <w:rPr>
          <w:rFonts w:ascii="Times New Roman" w:hAnsi="Times New Roman"/>
        </w:rPr>
        <w:t>0;</w:t>
      </w:r>
      <w:r w:rsidR="004D5391" w:rsidRPr="00285735">
        <w:rPr>
          <w:rFonts w:ascii="Times New Roman" w:hAnsi="Times New Roman"/>
        </w:rPr>
        <w:t xml:space="preserve"> </w:t>
      </w:r>
      <w:r w:rsidR="004D5391" w:rsidRPr="00285735">
        <w:rPr>
          <w:rFonts w:ascii="Times New Roman" w:hAnsi="Times New Roman"/>
          <w:i/>
        </w:rPr>
        <w:t>k</w:t>
      </w:r>
      <w:r w:rsidR="00BB30CE">
        <w:rPr>
          <w:rFonts w:ascii="Times New Roman" w:hAnsi="Times New Roman"/>
        </w:rPr>
        <w:t xml:space="preserve"> </w:t>
      </w:r>
      <w:r>
        <w:rPr>
          <w:rFonts w:ascii="Times New Roman" w:hAnsi="Times New Roman"/>
        </w:rPr>
        <w:t>=</w:t>
      </w:r>
      <w:r w:rsidR="00BB30CE">
        <w:rPr>
          <w:rFonts w:ascii="Times New Roman" w:hAnsi="Times New Roman"/>
        </w:rPr>
        <w:t xml:space="preserve"> thermal conductivity;</w:t>
      </w:r>
      <w:r w:rsidR="004D5391" w:rsidRPr="00285735">
        <w:rPr>
          <w:rFonts w:ascii="Times New Roman" w:hAnsi="Times New Roman"/>
        </w:rPr>
        <w:t xml:space="preserve"> </w:t>
      </w:r>
      <w:r w:rsidR="004D5391" w:rsidRPr="00285735">
        <w:rPr>
          <w:rFonts w:ascii="Times New Roman" w:hAnsi="Times New Roman"/>
          <w:i/>
        </w:rPr>
        <w:t>c</w:t>
      </w:r>
      <w:r w:rsidR="004D5391" w:rsidRPr="00285735">
        <w:rPr>
          <w:rFonts w:ascii="Times New Roman" w:hAnsi="Times New Roman"/>
          <w:i/>
          <w:vertAlign w:val="subscript"/>
        </w:rPr>
        <w:t>p</w:t>
      </w:r>
      <w:r w:rsidR="004D5391" w:rsidRPr="00285735">
        <w:rPr>
          <w:rFonts w:ascii="Times New Roman" w:hAnsi="Times New Roman"/>
        </w:rPr>
        <w:t xml:space="preserve"> </w:t>
      </w:r>
      <w:r>
        <w:rPr>
          <w:rFonts w:ascii="Times New Roman" w:hAnsi="Times New Roman"/>
        </w:rPr>
        <w:t>=</w:t>
      </w:r>
      <w:r w:rsidR="004D5391" w:rsidRPr="00285735">
        <w:rPr>
          <w:rFonts w:ascii="Times New Roman" w:hAnsi="Times New Roman"/>
        </w:rPr>
        <w:t xml:space="preserve"> heat</w:t>
      </w:r>
      <w:r w:rsidR="004D5391" w:rsidRPr="00285735">
        <w:rPr>
          <w:rFonts w:ascii="Times New Roman" w:hAnsi="Times New Roman"/>
          <w:vertAlign w:val="subscript"/>
        </w:rPr>
        <w:t xml:space="preserve"> </w:t>
      </w:r>
      <w:r w:rsidR="004D5391" w:rsidRPr="00285735">
        <w:rPr>
          <w:rFonts w:ascii="Times New Roman" w:hAnsi="Times New Roman"/>
        </w:rPr>
        <w:t>capacity</w:t>
      </w:r>
      <w:r w:rsidR="00BB30CE">
        <w:rPr>
          <w:rFonts w:ascii="Times New Roman" w:hAnsi="Times New Roman"/>
        </w:rPr>
        <w:t>;</w:t>
      </w:r>
      <w:r w:rsidR="00D6414F">
        <w:t xml:space="preserve"> </w:t>
      </w:r>
      <w:r w:rsidR="00D6414F" w:rsidRPr="00D6414F">
        <w:rPr>
          <w:rFonts w:ascii="Times New Roman" w:hAnsi="Times New Roman"/>
          <w:i/>
        </w:rPr>
        <w:t>p</w:t>
      </w:r>
      <w:r w:rsidR="00D6414F">
        <w:rPr>
          <w:rFonts w:ascii="Times New Roman" w:hAnsi="Times New Roman"/>
          <w:i/>
        </w:rPr>
        <w:t xml:space="preserve"> </w:t>
      </w:r>
      <w:r>
        <w:rPr>
          <w:rFonts w:ascii="Times New Roman" w:hAnsi="Times New Roman"/>
        </w:rPr>
        <w:t>=</w:t>
      </w:r>
      <w:r w:rsidR="00AB5B34" w:rsidRPr="00AB5B34">
        <w:rPr>
          <w:rFonts w:ascii="Times New Roman" w:hAnsi="Times New Roman"/>
        </w:rPr>
        <w:t xml:space="preserve"> density</w:t>
      </w:r>
      <w:r w:rsidR="00BB30CE">
        <w:rPr>
          <w:rFonts w:ascii="Times New Roman" w:hAnsi="Times New Roman"/>
        </w:rPr>
        <w:t>;</w:t>
      </w:r>
      <w:r w:rsidR="005308E5">
        <w:rPr>
          <w:rFonts w:ascii="Times New Roman" w:hAnsi="Times New Roman"/>
        </w:rPr>
        <w:t xml:space="preserve"> </w:t>
      </w:r>
      <w:r w:rsidR="004D5391" w:rsidRPr="00285735">
        <w:rPr>
          <w:rFonts w:ascii="Times New Roman" w:hAnsi="Times New Roman"/>
          <w:i/>
        </w:rPr>
        <w:t>T</w:t>
      </w:r>
      <w:r w:rsidR="004D5391" w:rsidRPr="00285735">
        <w:rPr>
          <w:rFonts w:ascii="Times New Roman" w:hAnsi="Times New Roman"/>
          <w:i/>
          <w:vertAlign w:val="subscript"/>
        </w:rPr>
        <w:t>M</w:t>
      </w:r>
      <w:r w:rsidR="00BB30CE">
        <w:rPr>
          <w:rFonts w:ascii="Times New Roman" w:hAnsi="Times New Roman"/>
        </w:rPr>
        <w:t xml:space="preserve"> </w:t>
      </w:r>
      <w:r>
        <w:rPr>
          <w:rFonts w:ascii="Times New Roman" w:hAnsi="Times New Roman"/>
        </w:rPr>
        <w:t>=</w:t>
      </w:r>
      <w:r w:rsidR="00BB30CE">
        <w:rPr>
          <w:rFonts w:ascii="Times New Roman" w:hAnsi="Times New Roman"/>
        </w:rPr>
        <w:t xml:space="preserve"> </w:t>
      </w:r>
      <w:r>
        <w:rPr>
          <w:rFonts w:ascii="Times New Roman" w:hAnsi="Times New Roman"/>
        </w:rPr>
        <w:t xml:space="preserve">metal </w:t>
      </w:r>
      <w:r w:rsidR="00BB30CE">
        <w:rPr>
          <w:rFonts w:ascii="Times New Roman" w:hAnsi="Times New Roman"/>
        </w:rPr>
        <w:t>temperature;</w:t>
      </w:r>
      <w:r w:rsidR="004D5391" w:rsidRPr="00285735">
        <w:rPr>
          <w:rFonts w:ascii="Times New Roman" w:hAnsi="Times New Roman"/>
        </w:rPr>
        <w:t xml:space="preserve"> </w:t>
      </w:r>
      <w:r w:rsidR="004D5391" w:rsidRPr="00285735">
        <w:rPr>
          <w:rFonts w:ascii="Times New Roman" w:hAnsi="Times New Roman"/>
          <w:i/>
        </w:rPr>
        <w:t>T</w:t>
      </w:r>
      <w:r w:rsidR="004D5391" w:rsidRPr="00285735">
        <w:rPr>
          <w:rFonts w:ascii="Times New Roman" w:hAnsi="Times New Roman"/>
          <w:i/>
          <w:vertAlign w:val="subscript"/>
        </w:rPr>
        <w:t>0</w:t>
      </w:r>
      <w:r w:rsidR="00BB30CE">
        <w:rPr>
          <w:rFonts w:ascii="Times New Roman" w:hAnsi="Times New Roman"/>
        </w:rPr>
        <w:t xml:space="preserve"> </w:t>
      </w:r>
      <w:r>
        <w:rPr>
          <w:rFonts w:ascii="Times New Roman" w:hAnsi="Times New Roman"/>
        </w:rPr>
        <w:t>=</w:t>
      </w:r>
      <w:r w:rsidR="00BB30CE">
        <w:rPr>
          <w:rFonts w:ascii="Times New Roman" w:hAnsi="Times New Roman"/>
        </w:rPr>
        <w:t xml:space="preserve"> room temperature</w:t>
      </w:r>
      <w:r w:rsidR="004D5391" w:rsidRPr="00285735">
        <w:rPr>
          <w:rFonts w:ascii="Times New Roman" w:hAnsi="Times New Roman"/>
        </w:rPr>
        <w:t xml:space="preserve"> and </w:t>
      </w:r>
      <w:r w:rsidR="004D5391" w:rsidRPr="00285735">
        <w:rPr>
          <w:rFonts w:ascii="Times New Roman" w:hAnsi="Times New Roman"/>
          <w:i/>
        </w:rPr>
        <w:t>t</w:t>
      </w:r>
      <w:r w:rsidR="004D5391" w:rsidRPr="00285735">
        <w:rPr>
          <w:rFonts w:ascii="Times New Roman" w:hAnsi="Times New Roman"/>
        </w:rPr>
        <w:t xml:space="preserve"> </w:t>
      </w:r>
      <w:r>
        <w:rPr>
          <w:rFonts w:ascii="Times New Roman" w:hAnsi="Times New Roman"/>
        </w:rPr>
        <w:t>=</w:t>
      </w:r>
      <w:r w:rsidR="004D5391" w:rsidRPr="00285735">
        <w:rPr>
          <w:rFonts w:ascii="Times New Roman" w:hAnsi="Times New Roman"/>
        </w:rPr>
        <w:t xml:space="preserve"> time.</w:t>
      </w:r>
    </w:p>
    <w:p w14:paraId="4B1E9083" w14:textId="77777777" w:rsidR="008156DB" w:rsidRPr="00285735" w:rsidRDefault="008156DB" w:rsidP="004D5391">
      <w:pPr>
        <w:pStyle w:val="NoSpacing"/>
        <w:rPr>
          <w:rFonts w:ascii="Times New Roman" w:hAnsi="Times New Roman"/>
          <w:sz w:val="20"/>
          <w:szCs w:val="20"/>
        </w:rPr>
      </w:pPr>
    </w:p>
    <w:p w14:paraId="6E9AD072" w14:textId="77777777" w:rsidR="00DB4A3A" w:rsidRDefault="004D5391" w:rsidP="00C0448A">
      <w:pPr>
        <w:pStyle w:val="NoSpacing"/>
        <w:rPr>
          <w:rFonts w:ascii="Times New Roman" w:hAnsi="Times New Roman"/>
          <w:sz w:val="20"/>
          <w:szCs w:val="20"/>
        </w:rPr>
      </w:pPr>
      <w:r w:rsidRPr="00285735">
        <w:rPr>
          <w:rFonts w:ascii="Times New Roman" w:hAnsi="Times New Roman"/>
          <w:sz w:val="20"/>
          <w:szCs w:val="20"/>
        </w:rPr>
        <w:t>These calculations were performed for the holding period by dividing the time into smaller time steps (120 sec)</w:t>
      </w:r>
      <w:r w:rsidR="00E02620">
        <w:rPr>
          <w:rFonts w:ascii="Times New Roman" w:hAnsi="Times New Roman"/>
          <w:sz w:val="20"/>
          <w:szCs w:val="20"/>
        </w:rPr>
        <w:t xml:space="preserve">. </w:t>
      </w:r>
      <w:r w:rsidRPr="00285735">
        <w:rPr>
          <w:rFonts w:ascii="Times New Roman" w:hAnsi="Times New Roman"/>
          <w:sz w:val="20"/>
          <w:szCs w:val="20"/>
        </w:rPr>
        <w:t xml:space="preserve">The calculation </w:t>
      </w:r>
      <w:r w:rsidR="00242A97">
        <w:rPr>
          <w:rFonts w:ascii="Times New Roman" w:hAnsi="Times New Roman"/>
          <w:sz w:val="20"/>
          <w:szCs w:val="20"/>
        </w:rPr>
        <w:t>began</w:t>
      </w:r>
      <w:r w:rsidRPr="00285735">
        <w:rPr>
          <w:rFonts w:ascii="Times New Roman" w:hAnsi="Times New Roman"/>
          <w:sz w:val="20"/>
          <w:szCs w:val="20"/>
        </w:rPr>
        <w:t xml:space="preserve"> six minutes after pouring to minimize the effect of </w:t>
      </w:r>
      <w:r w:rsidR="00242A97">
        <w:rPr>
          <w:rFonts w:ascii="Times New Roman" w:hAnsi="Times New Roman"/>
          <w:sz w:val="20"/>
          <w:szCs w:val="20"/>
        </w:rPr>
        <w:t xml:space="preserve">the </w:t>
      </w:r>
      <w:r w:rsidRPr="00285735">
        <w:rPr>
          <w:rFonts w:ascii="Times New Roman" w:hAnsi="Times New Roman"/>
          <w:sz w:val="20"/>
          <w:szCs w:val="20"/>
        </w:rPr>
        <w:t xml:space="preserve">initial drop in temperature </w:t>
      </w:r>
      <w:r w:rsidR="00242A97">
        <w:rPr>
          <w:rFonts w:ascii="Times New Roman" w:hAnsi="Times New Roman"/>
          <w:sz w:val="20"/>
          <w:szCs w:val="20"/>
        </w:rPr>
        <w:t>(</w:t>
      </w:r>
      <w:r w:rsidRPr="00285735">
        <w:rPr>
          <w:rFonts w:ascii="Times New Roman" w:hAnsi="Times New Roman"/>
          <w:sz w:val="20"/>
          <w:szCs w:val="20"/>
        </w:rPr>
        <w:t xml:space="preserve">due to </w:t>
      </w:r>
      <w:r w:rsidR="00242A97">
        <w:rPr>
          <w:rFonts w:ascii="Times New Roman" w:hAnsi="Times New Roman"/>
          <w:sz w:val="20"/>
          <w:szCs w:val="20"/>
        </w:rPr>
        <w:t>the absence of mold preheating)</w:t>
      </w:r>
      <w:r w:rsidR="00E02620">
        <w:rPr>
          <w:rFonts w:ascii="Times New Roman" w:hAnsi="Times New Roman"/>
          <w:sz w:val="20"/>
          <w:szCs w:val="20"/>
        </w:rPr>
        <w:t xml:space="preserve">. </w:t>
      </w:r>
      <w:r w:rsidRPr="00285735">
        <w:rPr>
          <w:rFonts w:ascii="Times New Roman" w:hAnsi="Times New Roman"/>
          <w:sz w:val="20"/>
          <w:szCs w:val="20"/>
        </w:rPr>
        <w:t>In the simulation, it was assumed that the temperature of the inner surface of the mold was equal to the melt temperature at each time step</w:t>
      </w:r>
      <w:r w:rsidR="00E02620">
        <w:rPr>
          <w:rFonts w:ascii="Times New Roman" w:hAnsi="Times New Roman"/>
          <w:sz w:val="20"/>
          <w:szCs w:val="20"/>
        </w:rPr>
        <w:t>.</w:t>
      </w:r>
      <w:r w:rsidR="00F06BC0">
        <w:rPr>
          <w:rFonts w:ascii="Times New Roman" w:hAnsi="Times New Roman"/>
          <w:sz w:val="20"/>
          <w:szCs w:val="20"/>
        </w:rPr>
        <w:t xml:space="preserve"> </w:t>
      </w:r>
      <w:r w:rsidRPr="00285735">
        <w:rPr>
          <w:rFonts w:ascii="Times New Roman" w:hAnsi="Times New Roman"/>
          <w:sz w:val="20"/>
          <w:szCs w:val="20"/>
        </w:rPr>
        <w:t xml:space="preserve">The mold wall was assumed to be sufficiently thick so that the outer surface </w:t>
      </w:r>
      <w:r w:rsidR="0053434E">
        <w:rPr>
          <w:rFonts w:ascii="Times New Roman" w:hAnsi="Times New Roman"/>
          <w:sz w:val="20"/>
          <w:szCs w:val="20"/>
        </w:rPr>
        <w:t>wa</w:t>
      </w:r>
      <w:r w:rsidRPr="00285735">
        <w:rPr>
          <w:rFonts w:ascii="Times New Roman" w:hAnsi="Times New Roman"/>
          <w:sz w:val="20"/>
          <w:szCs w:val="20"/>
        </w:rPr>
        <w:t>s at room temperature during the experiment</w:t>
      </w:r>
      <w:r w:rsidR="00E02620">
        <w:rPr>
          <w:rFonts w:ascii="Times New Roman" w:hAnsi="Times New Roman"/>
          <w:sz w:val="20"/>
          <w:szCs w:val="20"/>
        </w:rPr>
        <w:t xml:space="preserve">. </w:t>
      </w:r>
      <w:r w:rsidRPr="00285735">
        <w:rPr>
          <w:rFonts w:ascii="Times New Roman" w:hAnsi="Times New Roman"/>
          <w:sz w:val="20"/>
          <w:szCs w:val="20"/>
        </w:rPr>
        <w:t>By equating the heat loss from the liquid per unit time to the heat flux through the mold, the temperature change of the liquid metal was calculated by adjusting the thermal conductivity values</w:t>
      </w:r>
      <w:r w:rsidR="00E02620">
        <w:rPr>
          <w:rFonts w:ascii="Times New Roman" w:hAnsi="Times New Roman"/>
          <w:sz w:val="20"/>
          <w:szCs w:val="20"/>
        </w:rPr>
        <w:t>.</w:t>
      </w:r>
      <w:r w:rsidR="00F06BC0">
        <w:rPr>
          <w:rFonts w:ascii="Times New Roman" w:hAnsi="Times New Roman"/>
          <w:sz w:val="20"/>
          <w:szCs w:val="20"/>
        </w:rPr>
        <w:t xml:space="preserve"> </w:t>
      </w:r>
      <w:r w:rsidRPr="00285735">
        <w:rPr>
          <w:rFonts w:ascii="Times New Roman" w:hAnsi="Times New Roman"/>
          <w:sz w:val="20"/>
          <w:szCs w:val="20"/>
        </w:rPr>
        <w:t>The experimental and calculated cooling rates were fitted for</w:t>
      </w:r>
      <w:r w:rsidR="00F43224">
        <w:rPr>
          <w:rFonts w:ascii="Times New Roman" w:hAnsi="Times New Roman"/>
          <w:sz w:val="20"/>
          <w:szCs w:val="20"/>
        </w:rPr>
        <w:t>:</w:t>
      </w:r>
      <w:r w:rsidRPr="00285735">
        <w:rPr>
          <w:rFonts w:ascii="Times New Roman" w:hAnsi="Times New Roman"/>
          <w:sz w:val="20"/>
          <w:szCs w:val="20"/>
        </w:rPr>
        <w:t xml:space="preserve"> </w:t>
      </w:r>
    </w:p>
    <w:p w14:paraId="443BA3F8" w14:textId="77777777" w:rsidR="00DB4A3A" w:rsidRDefault="00DB4A3A" w:rsidP="00C0448A">
      <w:pPr>
        <w:pStyle w:val="NoSpacing"/>
        <w:rPr>
          <w:rFonts w:ascii="Times New Roman" w:hAnsi="Times New Roman"/>
          <w:sz w:val="20"/>
          <w:szCs w:val="20"/>
        </w:rPr>
      </w:pPr>
    </w:p>
    <w:p w14:paraId="3F0E32FE" w14:textId="77777777" w:rsidR="0050225E" w:rsidRDefault="004D5391" w:rsidP="0050225E">
      <w:pPr>
        <w:pStyle w:val="NoSpacing"/>
        <w:ind w:left="360" w:hanging="180"/>
        <w:rPr>
          <w:rFonts w:ascii="Times New Roman" w:hAnsi="Times New Roman"/>
          <w:sz w:val="20"/>
          <w:szCs w:val="20"/>
        </w:rPr>
      </w:pPr>
      <w:r w:rsidRPr="00285735">
        <w:rPr>
          <w:rFonts w:ascii="Times New Roman" w:hAnsi="Times New Roman"/>
          <w:sz w:val="20"/>
          <w:szCs w:val="20"/>
        </w:rPr>
        <w:t>k</w:t>
      </w:r>
      <w:r w:rsidR="00F43224">
        <w:rPr>
          <w:rFonts w:ascii="Times New Roman" w:hAnsi="Times New Roman"/>
          <w:sz w:val="20"/>
          <w:szCs w:val="20"/>
        </w:rPr>
        <w:t xml:space="preserve"> </w:t>
      </w:r>
      <w:r w:rsidRPr="00285735">
        <w:rPr>
          <w:rFonts w:ascii="Times New Roman" w:hAnsi="Times New Roman"/>
          <w:sz w:val="20"/>
          <w:szCs w:val="20"/>
        </w:rPr>
        <w:t>=</w:t>
      </w:r>
      <w:r w:rsidR="00F43224">
        <w:rPr>
          <w:rFonts w:ascii="Times New Roman" w:hAnsi="Times New Roman"/>
          <w:sz w:val="20"/>
          <w:szCs w:val="20"/>
        </w:rPr>
        <w:t xml:space="preserve"> </w:t>
      </w:r>
      <w:r w:rsidRPr="00285735">
        <w:rPr>
          <w:rFonts w:ascii="Times New Roman" w:hAnsi="Times New Roman"/>
          <w:sz w:val="20"/>
          <w:szCs w:val="20"/>
        </w:rPr>
        <w:t>1.3 W/</w:t>
      </w:r>
      <w:proofErr w:type="spellStart"/>
      <w:r w:rsidRPr="00285735">
        <w:rPr>
          <w:rFonts w:ascii="Times New Roman" w:hAnsi="Times New Roman"/>
          <w:sz w:val="20"/>
          <w:szCs w:val="20"/>
        </w:rPr>
        <w:t>mK</w:t>
      </w:r>
      <w:proofErr w:type="spellEnd"/>
      <w:r w:rsidR="0064229C">
        <w:rPr>
          <w:rFonts w:ascii="Times New Roman" w:hAnsi="Times New Roman"/>
          <w:sz w:val="20"/>
          <w:szCs w:val="20"/>
        </w:rPr>
        <w:t>;</w:t>
      </w:r>
      <w:r w:rsidRPr="00285735">
        <w:rPr>
          <w:rFonts w:ascii="Times New Roman" w:hAnsi="Times New Roman"/>
          <w:sz w:val="20"/>
          <w:szCs w:val="20"/>
        </w:rPr>
        <w:t xml:space="preserve"> and </w:t>
      </w:r>
    </w:p>
    <w:p w14:paraId="1EC70235" w14:textId="77777777" w:rsidR="004D5391" w:rsidRPr="00285735" w:rsidRDefault="004D5391" w:rsidP="0050225E">
      <w:pPr>
        <w:pStyle w:val="NoSpacing"/>
        <w:ind w:left="540" w:hanging="360"/>
        <w:rPr>
          <w:rFonts w:ascii="Times New Roman" w:hAnsi="Times New Roman"/>
          <w:sz w:val="20"/>
          <w:szCs w:val="20"/>
        </w:rPr>
      </w:pPr>
      <w:r w:rsidRPr="00285735">
        <w:rPr>
          <w:rFonts w:ascii="Times New Roman" w:hAnsi="Times New Roman"/>
          <w:sz w:val="20"/>
          <w:szCs w:val="20"/>
        </w:rPr>
        <w:t>k</w:t>
      </w:r>
      <w:r w:rsidR="00AB5B9C">
        <w:rPr>
          <w:rFonts w:ascii="Times New Roman" w:hAnsi="Times New Roman"/>
          <w:sz w:val="20"/>
          <w:szCs w:val="20"/>
        </w:rPr>
        <w:t xml:space="preserve"> </w:t>
      </w:r>
      <w:r w:rsidRPr="00285735">
        <w:rPr>
          <w:rFonts w:ascii="Times New Roman" w:hAnsi="Times New Roman"/>
          <w:sz w:val="20"/>
          <w:szCs w:val="20"/>
        </w:rPr>
        <w:t>=</w:t>
      </w:r>
      <w:r w:rsidR="00F43224">
        <w:rPr>
          <w:rFonts w:ascii="Times New Roman" w:hAnsi="Times New Roman"/>
          <w:sz w:val="20"/>
          <w:szCs w:val="20"/>
        </w:rPr>
        <w:t xml:space="preserve"> </w:t>
      </w:r>
      <w:r w:rsidRPr="00285735">
        <w:rPr>
          <w:rFonts w:ascii="Times New Roman" w:hAnsi="Times New Roman"/>
          <w:sz w:val="20"/>
          <w:szCs w:val="20"/>
        </w:rPr>
        <w:t>1.0 W/</w:t>
      </w:r>
      <w:proofErr w:type="spellStart"/>
      <w:r w:rsidRPr="00285735">
        <w:rPr>
          <w:rFonts w:ascii="Times New Roman" w:hAnsi="Times New Roman"/>
          <w:sz w:val="20"/>
          <w:szCs w:val="20"/>
        </w:rPr>
        <w:t>mK</w:t>
      </w:r>
      <w:proofErr w:type="spellEnd"/>
      <w:r w:rsidRPr="00285735">
        <w:rPr>
          <w:rFonts w:ascii="Times New Roman" w:hAnsi="Times New Roman"/>
          <w:sz w:val="20"/>
          <w:szCs w:val="20"/>
        </w:rPr>
        <w:t xml:space="preserve"> for silica sand </w:t>
      </w:r>
      <w:r w:rsidR="00F43224">
        <w:rPr>
          <w:rFonts w:ascii="Times New Roman" w:hAnsi="Times New Roman"/>
          <w:sz w:val="20"/>
          <w:szCs w:val="20"/>
        </w:rPr>
        <w:t>&amp;</w:t>
      </w:r>
      <w:r w:rsidRPr="00285735">
        <w:rPr>
          <w:rFonts w:ascii="Times New Roman" w:hAnsi="Times New Roman"/>
          <w:sz w:val="20"/>
          <w:szCs w:val="20"/>
        </w:rPr>
        <w:t xml:space="preserve"> lining with cenosphere additions (</w:t>
      </w:r>
      <w:r w:rsidR="003A6821">
        <w:rPr>
          <w:rFonts w:ascii="Times New Roman" w:hAnsi="Times New Roman"/>
          <w:sz w:val="20"/>
          <w:szCs w:val="20"/>
        </w:rPr>
        <w:t>Fig.</w:t>
      </w:r>
      <w:r w:rsidR="00BB30CE">
        <w:rPr>
          <w:rFonts w:ascii="Times New Roman" w:hAnsi="Times New Roman"/>
          <w:sz w:val="20"/>
          <w:szCs w:val="20"/>
        </w:rPr>
        <w:t xml:space="preserve"> 11).</w:t>
      </w:r>
    </w:p>
    <w:p w14:paraId="53AC6D1D" w14:textId="77777777" w:rsidR="004D5391" w:rsidRDefault="004D5391" w:rsidP="00067ED7">
      <w:pPr>
        <w:pStyle w:val="Head1"/>
      </w:pPr>
    </w:p>
    <w:p w14:paraId="18E2E4C7" w14:textId="77777777" w:rsidR="00C33471" w:rsidRPr="009D322E" w:rsidRDefault="00C33471" w:rsidP="00C33471">
      <w:pPr>
        <w:pStyle w:val="NoSpacing"/>
        <w:rPr>
          <w:rFonts w:ascii="Arial" w:hAnsi="Arial" w:cs="Arial"/>
          <w:sz w:val="20"/>
          <w:szCs w:val="20"/>
        </w:rPr>
      </w:pPr>
      <w:r w:rsidRPr="009D322E">
        <w:rPr>
          <w:rFonts w:ascii="Arial" w:hAnsi="Arial" w:cs="Arial"/>
          <w:sz w:val="20"/>
          <w:szCs w:val="20"/>
        </w:rPr>
        <w:t>SIMULATION OF EXPERIMENT 2</w:t>
      </w:r>
    </w:p>
    <w:p w14:paraId="536F67B4" w14:textId="77777777" w:rsidR="00C0448A" w:rsidRDefault="00C33471" w:rsidP="00C0448A">
      <w:pPr>
        <w:pStyle w:val="NoSpacing"/>
        <w:rPr>
          <w:rFonts w:ascii="Times New Roman" w:hAnsi="Times New Roman"/>
          <w:sz w:val="20"/>
          <w:szCs w:val="20"/>
        </w:rPr>
      </w:pPr>
      <w:r w:rsidRPr="00285735">
        <w:rPr>
          <w:rFonts w:ascii="Times New Roman" w:hAnsi="Times New Roman"/>
          <w:sz w:val="20"/>
          <w:szCs w:val="20"/>
        </w:rPr>
        <w:t>The temperature measurement data from the second trial were compared with CFD simulation results to determine the overall thermal conductivity o</w:t>
      </w:r>
      <w:r w:rsidR="00E02620">
        <w:rPr>
          <w:rFonts w:ascii="Times New Roman" w:hAnsi="Times New Roman"/>
          <w:sz w:val="20"/>
          <w:szCs w:val="20"/>
        </w:rPr>
        <w:t xml:space="preserve">f the lining during operation. </w:t>
      </w:r>
      <w:r w:rsidRPr="00285735">
        <w:rPr>
          <w:rFonts w:ascii="Times New Roman" w:hAnsi="Times New Roman"/>
          <w:sz w:val="20"/>
          <w:szCs w:val="20"/>
        </w:rPr>
        <w:t>In inverse modeling, the thermal conductivity value was changed (steps of 0.1 from 0.8 to 1.4) to fit the temperature data of the simulation and the experiment.</w:t>
      </w:r>
    </w:p>
    <w:p w14:paraId="73EA542E" w14:textId="77777777" w:rsidR="00C33471" w:rsidRDefault="00C33471" w:rsidP="00C0448A">
      <w:pPr>
        <w:pStyle w:val="NoSpacing"/>
        <w:rPr>
          <w:rFonts w:ascii="Times New Roman" w:hAnsi="Times New Roman"/>
          <w:sz w:val="20"/>
          <w:szCs w:val="20"/>
        </w:rPr>
      </w:pPr>
      <w:r w:rsidRPr="00285735">
        <w:rPr>
          <w:rFonts w:ascii="Times New Roman" w:hAnsi="Times New Roman"/>
          <w:sz w:val="20"/>
          <w:szCs w:val="20"/>
        </w:rPr>
        <w:t>The liquid metal temperature obtained from the simulation was compared to the data from the thermocouple TC 1 (</w:t>
      </w:r>
      <w:r w:rsidR="003A6821">
        <w:rPr>
          <w:rFonts w:ascii="Times New Roman" w:hAnsi="Times New Roman"/>
          <w:sz w:val="20"/>
          <w:szCs w:val="20"/>
        </w:rPr>
        <w:t>Fig.</w:t>
      </w:r>
      <w:r w:rsidRPr="00285735">
        <w:rPr>
          <w:rFonts w:ascii="Times New Roman" w:hAnsi="Times New Roman"/>
          <w:sz w:val="20"/>
          <w:szCs w:val="20"/>
        </w:rPr>
        <w:t xml:space="preserve"> 12)</w:t>
      </w:r>
      <w:r w:rsidR="00E02620">
        <w:rPr>
          <w:rFonts w:ascii="Times New Roman" w:hAnsi="Times New Roman"/>
          <w:sz w:val="20"/>
          <w:szCs w:val="20"/>
        </w:rPr>
        <w:t xml:space="preserve">. </w:t>
      </w:r>
      <w:r w:rsidRPr="00285735">
        <w:rPr>
          <w:rFonts w:ascii="Times New Roman" w:hAnsi="Times New Roman"/>
          <w:sz w:val="20"/>
          <w:szCs w:val="20"/>
        </w:rPr>
        <w:t>During the experiment, the insulation on top was removed each time the liquid metal temperature was measured</w:t>
      </w:r>
      <w:r w:rsidR="00E02620">
        <w:rPr>
          <w:rFonts w:ascii="Times New Roman" w:hAnsi="Times New Roman"/>
          <w:sz w:val="20"/>
          <w:szCs w:val="20"/>
        </w:rPr>
        <w:t>.</w:t>
      </w:r>
      <w:r w:rsidR="00F06BC0">
        <w:rPr>
          <w:rFonts w:ascii="Times New Roman" w:hAnsi="Times New Roman"/>
          <w:sz w:val="20"/>
          <w:szCs w:val="20"/>
        </w:rPr>
        <w:t xml:space="preserve"> </w:t>
      </w:r>
      <w:r w:rsidRPr="00285735">
        <w:rPr>
          <w:rFonts w:ascii="Times New Roman" w:hAnsi="Times New Roman"/>
          <w:sz w:val="20"/>
          <w:szCs w:val="20"/>
        </w:rPr>
        <w:t>In the model, however, the insulation is assumed to remain in place for the entire time</w:t>
      </w:r>
      <w:r w:rsidR="00E02620">
        <w:rPr>
          <w:rFonts w:ascii="Times New Roman" w:hAnsi="Times New Roman"/>
          <w:sz w:val="20"/>
          <w:szCs w:val="20"/>
        </w:rPr>
        <w:t>.</w:t>
      </w:r>
      <w:r w:rsidR="00F06BC0">
        <w:rPr>
          <w:rFonts w:ascii="Times New Roman" w:hAnsi="Times New Roman"/>
          <w:sz w:val="20"/>
          <w:szCs w:val="20"/>
        </w:rPr>
        <w:t xml:space="preserve"> </w:t>
      </w:r>
      <w:r w:rsidRPr="00285735">
        <w:rPr>
          <w:rFonts w:ascii="Times New Roman" w:hAnsi="Times New Roman"/>
          <w:sz w:val="20"/>
          <w:szCs w:val="20"/>
        </w:rPr>
        <w:t>This could explain the deviation between the two curves after five minutes.</w:t>
      </w:r>
    </w:p>
    <w:p w14:paraId="7FAC6936" w14:textId="77777777" w:rsidR="00BC58E1" w:rsidRDefault="00BC58E1" w:rsidP="00C0448A">
      <w:pPr>
        <w:pStyle w:val="NoSpacing"/>
        <w:rPr>
          <w:rFonts w:ascii="Times New Roman" w:hAnsi="Times New Roman"/>
          <w:sz w:val="20"/>
          <w:szCs w:val="20"/>
        </w:rPr>
      </w:pPr>
      <w:r w:rsidRPr="00285735">
        <w:rPr>
          <w:rFonts w:ascii="Times New Roman" w:hAnsi="Times New Roman"/>
          <w:sz w:val="20"/>
          <w:szCs w:val="20"/>
        </w:rPr>
        <w:t>The measured temperature in the lining was also compared to the simulated temperature at the exact position of the thermocouples TC2 and TC3 (</w:t>
      </w:r>
      <w:r w:rsidR="003A6821">
        <w:rPr>
          <w:rFonts w:ascii="Times New Roman" w:hAnsi="Times New Roman"/>
          <w:sz w:val="20"/>
          <w:szCs w:val="20"/>
        </w:rPr>
        <w:t>Fig.</w:t>
      </w:r>
      <w:r w:rsidRPr="00285735">
        <w:rPr>
          <w:rFonts w:ascii="Times New Roman" w:hAnsi="Times New Roman"/>
          <w:sz w:val="20"/>
          <w:szCs w:val="20"/>
        </w:rPr>
        <w:t xml:space="preserve"> 11).</w:t>
      </w:r>
    </w:p>
    <w:p w14:paraId="144D2A3E" w14:textId="77777777" w:rsidR="00F43224" w:rsidRDefault="00F43224" w:rsidP="00C0448A">
      <w:pPr>
        <w:pStyle w:val="NoSpacing"/>
        <w:rPr>
          <w:rFonts w:ascii="Times New Roman" w:hAnsi="Times New Roman"/>
          <w:sz w:val="20"/>
          <w:szCs w:val="20"/>
        </w:rPr>
      </w:pPr>
    </w:p>
    <w:p w14:paraId="6F5A361B" w14:textId="77777777" w:rsidR="00606142" w:rsidRPr="00285735" w:rsidRDefault="00606142" w:rsidP="00C0448A">
      <w:pPr>
        <w:pStyle w:val="NoSpacing"/>
        <w:rPr>
          <w:rFonts w:ascii="Times New Roman" w:hAnsi="Times New Roman"/>
          <w:sz w:val="20"/>
          <w:szCs w:val="20"/>
        </w:rPr>
      </w:pPr>
    </w:p>
    <w:p w14:paraId="72DAA2BD" w14:textId="45284A30" w:rsidR="00C33471" w:rsidRDefault="00F1214B" w:rsidP="00C33471">
      <w:pPr>
        <w:pStyle w:val="NoSpacing"/>
        <w:jc w:val="center"/>
        <w:rPr>
          <w:rFonts w:ascii="Times New Roman" w:hAnsi="Times New Roman"/>
          <w:noProof/>
          <w:sz w:val="20"/>
          <w:szCs w:val="20"/>
        </w:rPr>
      </w:pPr>
      <w:r w:rsidRPr="00C33471">
        <w:rPr>
          <w:rFonts w:ascii="Times New Roman" w:hAnsi="Times New Roman"/>
          <w:noProof/>
          <w:sz w:val="20"/>
          <w:szCs w:val="20"/>
        </w:rPr>
        <w:drawing>
          <wp:inline distT="0" distB="0" distL="0" distR="0" wp14:anchorId="477BD9CC" wp14:editId="35BD95CB">
            <wp:extent cx="2886075" cy="1733550"/>
            <wp:effectExtent l="0" t="0" r="0" b="0"/>
            <wp:docPr id="1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6075" cy="1733550"/>
                    </a:xfrm>
                    <a:prstGeom prst="rect">
                      <a:avLst/>
                    </a:prstGeom>
                    <a:noFill/>
                    <a:ln>
                      <a:noFill/>
                    </a:ln>
                  </pic:spPr>
                </pic:pic>
              </a:graphicData>
            </a:graphic>
          </wp:inline>
        </w:drawing>
      </w:r>
    </w:p>
    <w:p w14:paraId="48A23375" w14:textId="77777777" w:rsidR="0001046B" w:rsidRPr="00285735" w:rsidRDefault="0001046B" w:rsidP="00C33471">
      <w:pPr>
        <w:pStyle w:val="NoSpacing"/>
        <w:jc w:val="center"/>
        <w:rPr>
          <w:rFonts w:ascii="Times New Roman" w:hAnsi="Times New Roman"/>
          <w:sz w:val="20"/>
          <w:szCs w:val="20"/>
        </w:rPr>
      </w:pPr>
    </w:p>
    <w:p w14:paraId="119CE0A8" w14:textId="77777777" w:rsidR="00C33471" w:rsidRPr="00FE1525" w:rsidRDefault="0001046B" w:rsidP="00203551">
      <w:pPr>
        <w:pStyle w:val="NoSpacing"/>
        <w:rPr>
          <w:rFonts w:ascii="Arial" w:hAnsi="Arial" w:cs="Arial"/>
          <w:b/>
          <w:i/>
          <w:sz w:val="18"/>
          <w:szCs w:val="18"/>
          <w:vertAlign w:val="superscript"/>
        </w:rPr>
      </w:pPr>
      <w:r>
        <w:rPr>
          <w:rFonts w:ascii="Arial" w:hAnsi="Arial" w:cs="Arial"/>
          <w:b/>
          <w:i/>
          <w:sz w:val="18"/>
          <w:szCs w:val="18"/>
        </w:rPr>
        <w:t>Fig</w:t>
      </w:r>
      <w:r w:rsidR="00203551">
        <w:rPr>
          <w:rFonts w:ascii="Arial" w:hAnsi="Arial" w:cs="Arial"/>
          <w:b/>
          <w:i/>
          <w:sz w:val="18"/>
          <w:szCs w:val="18"/>
        </w:rPr>
        <w:t>ure</w:t>
      </w:r>
      <w:r w:rsidR="00C33471" w:rsidRPr="0001046B">
        <w:rPr>
          <w:rFonts w:ascii="Arial" w:hAnsi="Arial" w:cs="Arial"/>
          <w:b/>
          <w:i/>
          <w:sz w:val="18"/>
          <w:szCs w:val="18"/>
        </w:rPr>
        <w:t xml:space="preserve"> 11.</w:t>
      </w:r>
      <w:r>
        <w:rPr>
          <w:rFonts w:ascii="Arial" w:hAnsi="Arial" w:cs="Arial"/>
          <w:b/>
          <w:i/>
          <w:sz w:val="18"/>
          <w:szCs w:val="18"/>
        </w:rPr>
        <w:t xml:space="preserve"> </w:t>
      </w:r>
      <w:r w:rsidR="00BB30CE">
        <w:rPr>
          <w:rFonts w:ascii="Arial" w:hAnsi="Arial" w:cs="Arial"/>
          <w:b/>
          <w:i/>
          <w:sz w:val="18"/>
          <w:szCs w:val="18"/>
        </w:rPr>
        <w:t>Graph shows the c</w:t>
      </w:r>
      <w:r w:rsidR="00C33471" w:rsidRPr="0001046B">
        <w:rPr>
          <w:rFonts w:ascii="Arial" w:hAnsi="Arial" w:cs="Arial"/>
          <w:b/>
          <w:i/>
          <w:sz w:val="18"/>
          <w:szCs w:val="18"/>
        </w:rPr>
        <w:t xml:space="preserve">omparison between </w:t>
      </w:r>
      <w:r w:rsidR="00F43224">
        <w:rPr>
          <w:rFonts w:ascii="Arial" w:hAnsi="Arial" w:cs="Arial"/>
          <w:b/>
          <w:i/>
          <w:sz w:val="18"/>
          <w:szCs w:val="18"/>
        </w:rPr>
        <w:t xml:space="preserve">the </w:t>
      </w:r>
      <w:r w:rsidR="00C33471" w:rsidRPr="0001046B">
        <w:rPr>
          <w:rFonts w:ascii="Arial" w:hAnsi="Arial" w:cs="Arial"/>
          <w:b/>
          <w:i/>
          <w:sz w:val="18"/>
          <w:szCs w:val="18"/>
        </w:rPr>
        <w:t xml:space="preserve">experimental and theoretical temperature drop for experimental molds with the silica sand and </w:t>
      </w:r>
      <w:r w:rsidR="00F43224">
        <w:rPr>
          <w:rFonts w:ascii="Arial" w:hAnsi="Arial" w:cs="Arial"/>
          <w:b/>
          <w:i/>
          <w:sz w:val="18"/>
          <w:szCs w:val="18"/>
        </w:rPr>
        <w:t xml:space="preserve">the </w:t>
      </w:r>
      <w:r w:rsidR="00C33471" w:rsidRPr="0001046B">
        <w:rPr>
          <w:rFonts w:ascii="Arial" w:hAnsi="Arial" w:cs="Arial"/>
          <w:b/>
          <w:i/>
          <w:sz w:val="18"/>
          <w:szCs w:val="18"/>
        </w:rPr>
        <w:t>novel refractory (silica + 30 vo</w:t>
      </w:r>
      <w:r w:rsidR="0064229C">
        <w:rPr>
          <w:rFonts w:ascii="Arial" w:hAnsi="Arial" w:cs="Arial"/>
          <w:b/>
          <w:i/>
          <w:sz w:val="18"/>
          <w:szCs w:val="18"/>
        </w:rPr>
        <w:t xml:space="preserve">l. </w:t>
      </w:r>
      <w:r w:rsidR="00C33471" w:rsidRPr="0001046B">
        <w:rPr>
          <w:rFonts w:ascii="Arial" w:hAnsi="Arial" w:cs="Arial"/>
          <w:b/>
          <w:i/>
          <w:sz w:val="18"/>
          <w:szCs w:val="18"/>
        </w:rPr>
        <w:t>% cenospheres)</w:t>
      </w:r>
      <w:proofErr w:type="gramStart"/>
      <w:r w:rsidR="00F43224">
        <w:rPr>
          <w:rFonts w:ascii="Arial" w:hAnsi="Arial" w:cs="Arial"/>
          <w:b/>
          <w:i/>
          <w:sz w:val="18"/>
          <w:szCs w:val="18"/>
        </w:rPr>
        <w:t>.</w:t>
      </w:r>
      <w:r w:rsidR="00FE1525">
        <w:rPr>
          <w:rFonts w:ascii="Arial" w:hAnsi="Arial" w:cs="Arial"/>
          <w:b/>
          <w:i/>
          <w:sz w:val="18"/>
          <w:szCs w:val="18"/>
          <w:vertAlign w:val="superscript"/>
        </w:rPr>
        <w:t>3</w:t>
      </w:r>
      <w:proofErr w:type="gramEnd"/>
    </w:p>
    <w:p w14:paraId="4A6335A4" w14:textId="77777777" w:rsidR="00C0448A" w:rsidRDefault="00C0448A" w:rsidP="005308E5">
      <w:pPr>
        <w:pStyle w:val="NoSpacing"/>
        <w:rPr>
          <w:rFonts w:ascii="Times New Roman" w:hAnsi="Times New Roman"/>
          <w:sz w:val="20"/>
          <w:szCs w:val="20"/>
        </w:rPr>
      </w:pPr>
    </w:p>
    <w:p w14:paraId="5B0DBFA6" w14:textId="77777777" w:rsidR="00C33471" w:rsidRPr="00285735" w:rsidRDefault="00C33471" w:rsidP="00C0448A">
      <w:pPr>
        <w:pStyle w:val="NoSpacing"/>
        <w:rPr>
          <w:rFonts w:ascii="Times New Roman" w:hAnsi="Times New Roman"/>
          <w:sz w:val="20"/>
          <w:szCs w:val="20"/>
        </w:rPr>
      </w:pPr>
      <w:r w:rsidRPr="00285735">
        <w:rPr>
          <w:rFonts w:ascii="Times New Roman" w:hAnsi="Times New Roman"/>
          <w:sz w:val="20"/>
          <w:szCs w:val="20"/>
        </w:rPr>
        <w:t>The difference between the experimental thermocouple measurements and the simulated result is most likely due to the inconsistencies in exact positioning of thermocouples during the experiment and the simulation</w:t>
      </w:r>
      <w:r w:rsidR="00E02620">
        <w:rPr>
          <w:rFonts w:ascii="Times New Roman" w:hAnsi="Times New Roman"/>
          <w:sz w:val="20"/>
          <w:szCs w:val="20"/>
        </w:rPr>
        <w:t xml:space="preserve">. </w:t>
      </w:r>
      <w:proofErr w:type="gramStart"/>
      <w:r w:rsidRPr="00285735">
        <w:rPr>
          <w:rFonts w:ascii="Times New Roman" w:hAnsi="Times New Roman"/>
          <w:sz w:val="20"/>
          <w:szCs w:val="20"/>
        </w:rPr>
        <w:t>But,</w:t>
      </w:r>
      <w:proofErr w:type="gramEnd"/>
      <w:r w:rsidRPr="00285735">
        <w:rPr>
          <w:rFonts w:ascii="Times New Roman" w:hAnsi="Times New Roman"/>
          <w:sz w:val="20"/>
          <w:szCs w:val="20"/>
        </w:rPr>
        <w:t xml:space="preserve"> the trend of the temperature rise was observed to be similar</w:t>
      </w:r>
      <w:r w:rsidR="00E02620">
        <w:rPr>
          <w:rFonts w:ascii="Times New Roman" w:hAnsi="Times New Roman"/>
          <w:sz w:val="20"/>
          <w:szCs w:val="20"/>
        </w:rPr>
        <w:t xml:space="preserve">. </w:t>
      </w:r>
      <w:r w:rsidRPr="00285735">
        <w:rPr>
          <w:rFonts w:ascii="Times New Roman" w:hAnsi="Times New Roman"/>
          <w:sz w:val="20"/>
          <w:szCs w:val="20"/>
        </w:rPr>
        <w:t>The average thermal conductivity of the refractory was calculated to be 1 W/</w:t>
      </w:r>
      <w:proofErr w:type="spellStart"/>
      <w:r w:rsidRPr="00285735">
        <w:rPr>
          <w:rFonts w:ascii="Times New Roman" w:hAnsi="Times New Roman"/>
          <w:sz w:val="20"/>
          <w:szCs w:val="20"/>
        </w:rPr>
        <w:t>mK</w:t>
      </w:r>
      <w:proofErr w:type="spellEnd"/>
      <w:r w:rsidRPr="00285735">
        <w:rPr>
          <w:rFonts w:ascii="Times New Roman" w:hAnsi="Times New Roman"/>
          <w:sz w:val="20"/>
          <w:szCs w:val="20"/>
        </w:rPr>
        <w:t xml:space="preserve"> for this experiment which is 20 to 40 % lower than </w:t>
      </w:r>
      <w:r w:rsidR="00F43224">
        <w:rPr>
          <w:rFonts w:ascii="Times New Roman" w:hAnsi="Times New Roman"/>
          <w:sz w:val="20"/>
          <w:szCs w:val="20"/>
        </w:rPr>
        <w:t xml:space="preserve">the </w:t>
      </w:r>
      <w:r w:rsidRPr="00285735">
        <w:rPr>
          <w:rFonts w:ascii="Times New Roman" w:hAnsi="Times New Roman"/>
          <w:sz w:val="20"/>
          <w:szCs w:val="20"/>
        </w:rPr>
        <w:t>regular silica lining (1.2</w:t>
      </w:r>
      <w:r w:rsidR="00203551">
        <w:rPr>
          <w:rFonts w:ascii="Times New Roman" w:hAnsi="Times New Roman"/>
          <w:sz w:val="20"/>
          <w:szCs w:val="20"/>
        </w:rPr>
        <w:t>–</w:t>
      </w:r>
      <w:r w:rsidRPr="00285735">
        <w:rPr>
          <w:rFonts w:ascii="Times New Roman" w:hAnsi="Times New Roman"/>
          <w:sz w:val="20"/>
          <w:szCs w:val="20"/>
        </w:rPr>
        <w:t>1.4 W/</w:t>
      </w:r>
      <w:proofErr w:type="spellStart"/>
      <w:r w:rsidRPr="00285735">
        <w:rPr>
          <w:rFonts w:ascii="Times New Roman" w:hAnsi="Times New Roman"/>
          <w:sz w:val="20"/>
          <w:szCs w:val="20"/>
        </w:rPr>
        <w:t>mK</w:t>
      </w:r>
      <w:proofErr w:type="spellEnd"/>
      <w:r w:rsidRPr="00285735">
        <w:rPr>
          <w:rFonts w:ascii="Times New Roman" w:hAnsi="Times New Roman"/>
          <w:sz w:val="20"/>
          <w:szCs w:val="20"/>
        </w:rPr>
        <w:t>).</w:t>
      </w:r>
    </w:p>
    <w:p w14:paraId="397E32CC" w14:textId="77777777" w:rsidR="00C0448A" w:rsidRDefault="00C0448A" w:rsidP="00C0448A">
      <w:pPr>
        <w:pStyle w:val="NoSpacing"/>
        <w:rPr>
          <w:rFonts w:ascii="Times New Roman" w:hAnsi="Times New Roman"/>
          <w:sz w:val="20"/>
          <w:szCs w:val="20"/>
        </w:rPr>
      </w:pPr>
    </w:p>
    <w:p w14:paraId="396FA0BD" w14:textId="77777777" w:rsidR="00F43224" w:rsidRDefault="00C33471" w:rsidP="00C0448A">
      <w:pPr>
        <w:pStyle w:val="NoSpacing"/>
        <w:rPr>
          <w:rFonts w:ascii="Times New Roman" w:hAnsi="Times New Roman"/>
          <w:sz w:val="20"/>
          <w:szCs w:val="20"/>
        </w:rPr>
      </w:pPr>
      <w:r w:rsidRPr="00285735">
        <w:rPr>
          <w:rFonts w:ascii="Times New Roman" w:hAnsi="Times New Roman"/>
          <w:sz w:val="20"/>
          <w:szCs w:val="20"/>
        </w:rPr>
        <w:t>The thermal conductivity values for the new lining were found to be 1 W/</w:t>
      </w:r>
      <w:proofErr w:type="spellStart"/>
      <w:r w:rsidRPr="00285735">
        <w:rPr>
          <w:rFonts w:ascii="Times New Roman" w:hAnsi="Times New Roman"/>
          <w:sz w:val="20"/>
          <w:szCs w:val="20"/>
        </w:rPr>
        <w:t>mK</w:t>
      </w:r>
      <w:proofErr w:type="spellEnd"/>
      <w:r w:rsidRPr="00285735">
        <w:rPr>
          <w:rFonts w:ascii="Times New Roman" w:hAnsi="Times New Roman"/>
          <w:sz w:val="20"/>
          <w:szCs w:val="20"/>
        </w:rPr>
        <w:t xml:space="preserve"> from both the experiments</w:t>
      </w:r>
      <w:r w:rsidR="00E02620">
        <w:rPr>
          <w:rFonts w:ascii="Times New Roman" w:hAnsi="Times New Roman"/>
          <w:sz w:val="20"/>
          <w:szCs w:val="20"/>
        </w:rPr>
        <w:t xml:space="preserve">. </w:t>
      </w:r>
      <w:r w:rsidRPr="00285735">
        <w:rPr>
          <w:rFonts w:ascii="Times New Roman" w:hAnsi="Times New Roman"/>
          <w:sz w:val="20"/>
          <w:szCs w:val="20"/>
        </w:rPr>
        <w:t>However, the thermal conductivity measured with the hot wire test differs from the simulation experiments</w:t>
      </w:r>
      <w:r w:rsidR="00E02620">
        <w:rPr>
          <w:rFonts w:ascii="Times New Roman" w:hAnsi="Times New Roman"/>
          <w:sz w:val="20"/>
          <w:szCs w:val="20"/>
        </w:rPr>
        <w:t>.</w:t>
      </w:r>
      <w:r w:rsidR="00F06BC0">
        <w:rPr>
          <w:rFonts w:ascii="Times New Roman" w:hAnsi="Times New Roman"/>
          <w:sz w:val="20"/>
          <w:szCs w:val="20"/>
        </w:rPr>
        <w:t xml:space="preserve"> </w:t>
      </w:r>
    </w:p>
    <w:p w14:paraId="0A764A54" w14:textId="77777777" w:rsidR="001F7559" w:rsidRDefault="001F7559" w:rsidP="00C0448A">
      <w:pPr>
        <w:pStyle w:val="NoSpacing"/>
        <w:rPr>
          <w:rFonts w:ascii="Times New Roman" w:hAnsi="Times New Roman"/>
          <w:sz w:val="20"/>
          <w:szCs w:val="20"/>
        </w:rPr>
      </w:pPr>
    </w:p>
    <w:p w14:paraId="770E3FEB" w14:textId="77777777" w:rsidR="00606142" w:rsidRPr="00285735" w:rsidRDefault="00606142" w:rsidP="00C0448A">
      <w:pPr>
        <w:pStyle w:val="NoSpacing"/>
        <w:rPr>
          <w:rFonts w:ascii="Times New Roman" w:hAnsi="Times New Roman"/>
          <w:sz w:val="20"/>
          <w:szCs w:val="20"/>
        </w:rPr>
      </w:pPr>
    </w:p>
    <w:p w14:paraId="78B71E8B" w14:textId="1C8AF1D5" w:rsidR="00C33471" w:rsidRDefault="00F1214B" w:rsidP="00C33471">
      <w:pPr>
        <w:pStyle w:val="NoSpacing"/>
        <w:rPr>
          <w:rFonts w:ascii="Times New Roman" w:hAnsi="Times New Roman"/>
          <w:noProof/>
          <w:sz w:val="20"/>
          <w:szCs w:val="20"/>
        </w:rPr>
      </w:pPr>
      <w:r w:rsidRPr="00C33471">
        <w:rPr>
          <w:rFonts w:ascii="Times New Roman" w:hAnsi="Times New Roman"/>
          <w:noProof/>
          <w:sz w:val="20"/>
          <w:szCs w:val="20"/>
        </w:rPr>
        <w:drawing>
          <wp:inline distT="0" distB="0" distL="0" distR="0" wp14:anchorId="755F43F1" wp14:editId="1708954C">
            <wp:extent cx="2876550" cy="1733550"/>
            <wp:effectExtent l="0" t="0" r="0" b="0"/>
            <wp:docPr id="1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6550" cy="1733550"/>
                    </a:xfrm>
                    <a:prstGeom prst="rect">
                      <a:avLst/>
                    </a:prstGeom>
                    <a:noFill/>
                    <a:ln>
                      <a:noFill/>
                    </a:ln>
                  </pic:spPr>
                </pic:pic>
              </a:graphicData>
            </a:graphic>
          </wp:inline>
        </w:drawing>
      </w:r>
    </w:p>
    <w:p w14:paraId="241BA439" w14:textId="77777777" w:rsidR="00AB5B9C" w:rsidRDefault="00AB5B9C" w:rsidP="0001046B">
      <w:pPr>
        <w:pStyle w:val="NoSpacing"/>
        <w:rPr>
          <w:rFonts w:ascii="Arial" w:hAnsi="Arial" w:cs="Arial"/>
          <w:b/>
          <w:i/>
          <w:sz w:val="18"/>
          <w:szCs w:val="18"/>
        </w:rPr>
      </w:pPr>
    </w:p>
    <w:p w14:paraId="5377DD92" w14:textId="77777777" w:rsidR="00C33471" w:rsidRPr="00FE1525" w:rsidRDefault="00C33471" w:rsidP="0001046B">
      <w:pPr>
        <w:pStyle w:val="NoSpacing"/>
        <w:rPr>
          <w:rFonts w:ascii="Arial" w:hAnsi="Arial" w:cs="Arial"/>
          <w:b/>
          <w:i/>
          <w:sz w:val="18"/>
          <w:szCs w:val="18"/>
          <w:vertAlign w:val="superscript"/>
        </w:rPr>
      </w:pPr>
      <w:r w:rsidRPr="0001046B">
        <w:rPr>
          <w:rFonts w:ascii="Arial" w:hAnsi="Arial" w:cs="Arial"/>
          <w:b/>
          <w:i/>
          <w:sz w:val="18"/>
          <w:szCs w:val="18"/>
        </w:rPr>
        <w:t>Fig</w:t>
      </w:r>
      <w:r w:rsidR="00203551">
        <w:rPr>
          <w:rFonts w:ascii="Arial" w:hAnsi="Arial" w:cs="Arial"/>
          <w:b/>
          <w:i/>
          <w:sz w:val="18"/>
          <w:szCs w:val="18"/>
        </w:rPr>
        <w:t>ure</w:t>
      </w:r>
      <w:r w:rsidRPr="0001046B">
        <w:rPr>
          <w:rFonts w:ascii="Arial" w:hAnsi="Arial" w:cs="Arial"/>
          <w:b/>
          <w:i/>
          <w:sz w:val="18"/>
          <w:szCs w:val="18"/>
        </w:rPr>
        <w:t xml:space="preserve"> 12. </w:t>
      </w:r>
      <w:r w:rsidR="002259AE">
        <w:rPr>
          <w:rFonts w:ascii="Arial" w:hAnsi="Arial" w:cs="Arial"/>
          <w:b/>
          <w:i/>
          <w:sz w:val="18"/>
          <w:szCs w:val="18"/>
        </w:rPr>
        <w:t xml:space="preserve">Graph shows </w:t>
      </w:r>
      <w:r w:rsidR="00E02620">
        <w:rPr>
          <w:rFonts w:ascii="Arial" w:hAnsi="Arial" w:cs="Arial"/>
          <w:b/>
          <w:i/>
          <w:sz w:val="18"/>
          <w:szCs w:val="18"/>
        </w:rPr>
        <w:t>the c</w:t>
      </w:r>
      <w:r w:rsidRPr="0001046B">
        <w:rPr>
          <w:rFonts w:ascii="Arial" w:hAnsi="Arial" w:cs="Arial"/>
          <w:b/>
          <w:i/>
          <w:sz w:val="18"/>
          <w:szCs w:val="18"/>
        </w:rPr>
        <w:t>omparison between experimental and CFD simulate</w:t>
      </w:r>
      <w:r w:rsidR="002259AE">
        <w:rPr>
          <w:rFonts w:ascii="Arial" w:hAnsi="Arial" w:cs="Arial"/>
          <w:b/>
          <w:i/>
          <w:sz w:val="18"/>
          <w:szCs w:val="18"/>
        </w:rPr>
        <w:t xml:space="preserve">d lining temperature for 100 </w:t>
      </w:r>
      <w:proofErr w:type="spellStart"/>
      <w:r w:rsidR="002259AE">
        <w:rPr>
          <w:rFonts w:ascii="Arial" w:hAnsi="Arial" w:cs="Arial"/>
          <w:b/>
          <w:i/>
          <w:sz w:val="18"/>
          <w:szCs w:val="18"/>
        </w:rPr>
        <w:t>lb</w:t>
      </w:r>
      <w:proofErr w:type="spellEnd"/>
      <w:r w:rsidR="002259AE">
        <w:rPr>
          <w:rFonts w:ascii="Arial" w:hAnsi="Arial" w:cs="Arial"/>
          <w:b/>
          <w:i/>
          <w:sz w:val="18"/>
          <w:szCs w:val="18"/>
        </w:rPr>
        <w:t xml:space="preserve"> (45 kg)</w:t>
      </w:r>
      <w:r w:rsidRPr="0001046B">
        <w:rPr>
          <w:rFonts w:ascii="Arial" w:hAnsi="Arial" w:cs="Arial"/>
          <w:b/>
          <w:i/>
          <w:sz w:val="18"/>
          <w:szCs w:val="18"/>
        </w:rPr>
        <w:t xml:space="preserve"> ladle lined with the novel refractory (silica + 30 vol</w:t>
      </w:r>
      <w:r w:rsidR="0064229C">
        <w:rPr>
          <w:rFonts w:ascii="Arial" w:hAnsi="Arial" w:cs="Arial"/>
          <w:b/>
          <w:i/>
          <w:sz w:val="18"/>
          <w:szCs w:val="18"/>
        </w:rPr>
        <w:t xml:space="preserve">. </w:t>
      </w:r>
      <w:r w:rsidRPr="0001046B">
        <w:rPr>
          <w:rFonts w:ascii="Arial" w:hAnsi="Arial" w:cs="Arial"/>
          <w:b/>
          <w:i/>
          <w:sz w:val="18"/>
          <w:szCs w:val="18"/>
        </w:rPr>
        <w:t>% cenospheres)</w:t>
      </w:r>
      <w:proofErr w:type="gramStart"/>
      <w:r w:rsidR="002259AE">
        <w:rPr>
          <w:rFonts w:ascii="Arial" w:hAnsi="Arial" w:cs="Arial"/>
          <w:b/>
          <w:i/>
          <w:sz w:val="18"/>
          <w:szCs w:val="18"/>
        </w:rPr>
        <w:t>.</w:t>
      </w:r>
      <w:r w:rsidR="00FE1525">
        <w:rPr>
          <w:rFonts w:ascii="Arial" w:hAnsi="Arial" w:cs="Arial"/>
          <w:b/>
          <w:i/>
          <w:sz w:val="18"/>
          <w:szCs w:val="18"/>
          <w:vertAlign w:val="superscript"/>
        </w:rPr>
        <w:t>3</w:t>
      </w:r>
      <w:proofErr w:type="gramEnd"/>
    </w:p>
    <w:p w14:paraId="387C1317" w14:textId="77777777" w:rsidR="00C33471" w:rsidRPr="009D322E" w:rsidRDefault="00BB30CE" w:rsidP="00C33471">
      <w:pPr>
        <w:pStyle w:val="NoSpacing"/>
        <w:rPr>
          <w:rFonts w:ascii="Arial" w:hAnsi="Arial" w:cs="Arial"/>
          <w:sz w:val="20"/>
          <w:szCs w:val="20"/>
        </w:rPr>
      </w:pPr>
      <w:r>
        <w:rPr>
          <w:rFonts w:ascii="Arial" w:hAnsi="Arial" w:cs="Arial"/>
          <w:sz w:val="20"/>
          <w:szCs w:val="20"/>
        </w:rPr>
        <w:br w:type="page"/>
      </w:r>
      <w:r w:rsidR="00C33471" w:rsidRPr="009D322E">
        <w:rPr>
          <w:rFonts w:ascii="Arial" w:hAnsi="Arial" w:cs="Arial"/>
          <w:sz w:val="20"/>
          <w:szCs w:val="20"/>
        </w:rPr>
        <w:t>COMPARISON WITH OTHER LININGS</w:t>
      </w:r>
    </w:p>
    <w:p w14:paraId="0AF52629" w14:textId="77777777" w:rsidR="00BB4491" w:rsidRDefault="002259AE" w:rsidP="00BB4491">
      <w:pPr>
        <w:pStyle w:val="NoSpacing"/>
        <w:rPr>
          <w:rFonts w:ascii="Times New Roman" w:hAnsi="Times New Roman"/>
          <w:sz w:val="20"/>
          <w:szCs w:val="20"/>
        </w:rPr>
      </w:pPr>
      <w:r>
        <w:rPr>
          <w:rFonts w:ascii="Times New Roman" w:hAnsi="Times New Roman"/>
          <w:sz w:val="20"/>
          <w:szCs w:val="20"/>
        </w:rPr>
        <w:t>Figure</w:t>
      </w:r>
      <w:r w:rsidR="00C33471" w:rsidRPr="00285735">
        <w:rPr>
          <w:rFonts w:ascii="Times New Roman" w:hAnsi="Times New Roman"/>
          <w:sz w:val="20"/>
          <w:szCs w:val="20"/>
        </w:rPr>
        <w:t xml:space="preserve"> 13 shows a comparison of the cooling curves for</w:t>
      </w:r>
      <w:r>
        <w:rPr>
          <w:rFonts w:ascii="Times New Roman" w:hAnsi="Times New Roman"/>
          <w:sz w:val="20"/>
          <w:szCs w:val="20"/>
        </w:rPr>
        <w:t xml:space="preserve"> liquid cast iron in the 100 </w:t>
      </w:r>
      <w:proofErr w:type="spellStart"/>
      <w:r>
        <w:rPr>
          <w:rFonts w:ascii="Times New Roman" w:hAnsi="Times New Roman"/>
          <w:sz w:val="20"/>
          <w:szCs w:val="20"/>
        </w:rPr>
        <w:t>lb</w:t>
      </w:r>
      <w:proofErr w:type="spellEnd"/>
      <w:r>
        <w:rPr>
          <w:rFonts w:ascii="Times New Roman" w:hAnsi="Times New Roman"/>
          <w:sz w:val="20"/>
          <w:szCs w:val="20"/>
        </w:rPr>
        <w:t xml:space="preserve"> (45 kg)</w:t>
      </w:r>
      <w:r w:rsidR="00C33471" w:rsidRPr="00285735">
        <w:rPr>
          <w:rFonts w:ascii="Times New Roman" w:hAnsi="Times New Roman"/>
          <w:sz w:val="20"/>
          <w:szCs w:val="20"/>
        </w:rPr>
        <w:t xml:space="preserve"> ladle with different lining materials</w:t>
      </w:r>
      <w:r w:rsidR="00E02620">
        <w:rPr>
          <w:rFonts w:ascii="Times New Roman" w:hAnsi="Times New Roman"/>
          <w:sz w:val="20"/>
          <w:szCs w:val="20"/>
        </w:rPr>
        <w:t>.</w:t>
      </w:r>
      <w:r w:rsidR="00F06BC0">
        <w:rPr>
          <w:rFonts w:ascii="Times New Roman" w:hAnsi="Times New Roman"/>
          <w:sz w:val="20"/>
          <w:szCs w:val="20"/>
        </w:rPr>
        <w:t xml:space="preserve"> </w:t>
      </w:r>
      <w:r w:rsidR="00C33471" w:rsidRPr="00285735">
        <w:rPr>
          <w:rFonts w:ascii="Times New Roman" w:hAnsi="Times New Roman"/>
          <w:sz w:val="20"/>
          <w:szCs w:val="20"/>
        </w:rPr>
        <w:t>Data for comparison was taken from a previous study.</w:t>
      </w:r>
      <w:r w:rsidR="006608B5" w:rsidRPr="006608B5">
        <w:rPr>
          <w:rFonts w:ascii="Times New Roman" w:hAnsi="Times New Roman"/>
          <w:sz w:val="20"/>
          <w:szCs w:val="20"/>
          <w:vertAlign w:val="superscript"/>
        </w:rPr>
        <w:t>3</w:t>
      </w:r>
      <w:r w:rsidR="00C33471" w:rsidRPr="00285735">
        <w:rPr>
          <w:rFonts w:ascii="Times New Roman" w:hAnsi="Times New Roman"/>
          <w:sz w:val="20"/>
          <w:szCs w:val="20"/>
        </w:rPr>
        <w:t xml:space="preserve"> The same melt vol</w:t>
      </w:r>
      <w:r w:rsidR="00C33471" w:rsidRPr="00306B8F">
        <w:rPr>
          <w:rFonts w:ascii="Times New Roman" w:hAnsi="Times New Roman"/>
          <w:sz w:val="20"/>
          <w:szCs w:val="20"/>
        </w:rPr>
        <w:t>ume and ladle geometry were used for both studies</w:t>
      </w:r>
      <w:r w:rsidR="00E02620" w:rsidRPr="00306B8F">
        <w:rPr>
          <w:rFonts w:ascii="Times New Roman" w:hAnsi="Times New Roman"/>
          <w:sz w:val="20"/>
          <w:szCs w:val="20"/>
        </w:rPr>
        <w:t xml:space="preserve">. </w:t>
      </w:r>
      <w:r w:rsidR="00C33471" w:rsidRPr="00306B8F">
        <w:rPr>
          <w:rFonts w:ascii="Times New Roman" w:hAnsi="Times New Roman"/>
          <w:sz w:val="20"/>
          <w:szCs w:val="20"/>
        </w:rPr>
        <w:t xml:space="preserve">The time difference for the liquid </w:t>
      </w:r>
      <w:r w:rsidR="00264463" w:rsidRPr="00306B8F">
        <w:rPr>
          <w:rFonts w:ascii="Times New Roman" w:hAnsi="Times New Roman"/>
          <w:sz w:val="20"/>
          <w:szCs w:val="20"/>
        </w:rPr>
        <w:t>metal to</w:t>
      </w:r>
      <w:r w:rsidRPr="00306B8F">
        <w:rPr>
          <w:rFonts w:ascii="Times New Roman" w:hAnsi="Times New Roman"/>
          <w:sz w:val="20"/>
          <w:szCs w:val="20"/>
        </w:rPr>
        <w:t xml:space="preserve"> drop from </w:t>
      </w:r>
      <w:r w:rsidR="003F3F61" w:rsidRPr="00306B8F">
        <w:rPr>
          <w:rFonts w:ascii="Times New Roman" w:hAnsi="Times New Roman"/>
          <w:sz w:val="20"/>
          <w:szCs w:val="20"/>
        </w:rPr>
        <w:t>2822‒2426F (</w:t>
      </w:r>
      <w:r w:rsidRPr="00306B8F">
        <w:rPr>
          <w:rFonts w:ascii="Times New Roman" w:hAnsi="Times New Roman"/>
          <w:sz w:val="20"/>
          <w:szCs w:val="20"/>
        </w:rPr>
        <w:t>1550</w:t>
      </w:r>
      <w:r w:rsidR="003F3F61" w:rsidRPr="00306B8F">
        <w:rPr>
          <w:rFonts w:ascii="Times New Roman" w:hAnsi="Times New Roman"/>
          <w:sz w:val="20"/>
          <w:szCs w:val="20"/>
        </w:rPr>
        <w:t>‒</w:t>
      </w:r>
      <w:r w:rsidRPr="00306B8F">
        <w:rPr>
          <w:rFonts w:ascii="Times New Roman" w:hAnsi="Times New Roman"/>
          <w:sz w:val="20"/>
          <w:szCs w:val="20"/>
        </w:rPr>
        <w:t>1330C</w:t>
      </w:r>
      <w:r w:rsidR="00C33471" w:rsidRPr="00306B8F">
        <w:rPr>
          <w:rFonts w:ascii="Times New Roman" w:hAnsi="Times New Roman"/>
          <w:sz w:val="20"/>
          <w:szCs w:val="20"/>
        </w:rPr>
        <w:t xml:space="preserve">) </w:t>
      </w:r>
      <w:r w:rsidR="00BB4491" w:rsidRPr="00306B8F">
        <w:rPr>
          <w:rFonts w:ascii="Times New Roman" w:hAnsi="Times New Roman"/>
          <w:sz w:val="20"/>
          <w:szCs w:val="20"/>
        </w:rPr>
        <w:t xml:space="preserve">is listed in Table 5 </w:t>
      </w:r>
      <w:r w:rsidR="00C33471" w:rsidRPr="00306B8F">
        <w:rPr>
          <w:rFonts w:ascii="Times New Roman" w:hAnsi="Times New Roman"/>
          <w:sz w:val="20"/>
          <w:szCs w:val="20"/>
        </w:rPr>
        <w:t>for the four</w:t>
      </w:r>
      <w:r w:rsidRPr="00306B8F">
        <w:rPr>
          <w:rFonts w:ascii="Times New Roman" w:hAnsi="Times New Roman"/>
          <w:sz w:val="20"/>
          <w:szCs w:val="20"/>
        </w:rPr>
        <w:t xml:space="preserve"> dif</w:t>
      </w:r>
      <w:r>
        <w:rPr>
          <w:rFonts w:ascii="Times New Roman" w:hAnsi="Times New Roman"/>
          <w:sz w:val="20"/>
          <w:szCs w:val="20"/>
        </w:rPr>
        <w:t>ferent refractory materials</w:t>
      </w:r>
      <w:r w:rsidR="00BB4491">
        <w:rPr>
          <w:rFonts w:ascii="Times New Roman" w:hAnsi="Times New Roman"/>
          <w:sz w:val="20"/>
          <w:szCs w:val="20"/>
        </w:rPr>
        <w:t>:</w:t>
      </w:r>
    </w:p>
    <w:p w14:paraId="79C5AD56" w14:textId="77777777" w:rsidR="00A71C46" w:rsidRDefault="00A71C46" w:rsidP="00BB4491">
      <w:pPr>
        <w:pStyle w:val="NoSpacing"/>
        <w:rPr>
          <w:rFonts w:ascii="Times New Roman" w:hAnsi="Times New Roman"/>
          <w:sz w:val="20"/>
          <w:szCs w:val="20"/>
        </w:rPr>
      </w:pPr>
    </w:p>
    <w:p w14:paraId="2F97B028" w14:textId="77777777" w:rsidR="00BB4491" w:rsidRDefault="00606142" w:rsidP="00AB5B9C">
      <w:pPr>
        <w:pStyle w:val="NoSpacing"/>
        <w:numPr>
          <w:ilvl w:val="0"/>
          <w:numId w:val="15"/>
        </w:numPr>
        <w:rPr>
          <w:rFonts w:ascii="Times New Roman" w:hAnsi="Times New Roman"/>
          <w:sz w:val="20"/>
          <w:szCs w:val="20"/>
        </w:rPr>
      </w:pPr>
      <w:r>
        <w:rPr>
          <w:rFonts w:ascii="Times New Roman" w:hAnsi="Times New Roman"/>
          <w:sz w:val="20"/>
          <w:szCs w:val="20"/>
        </w:rPr>
        <w:t>P</w:t>
      </w:r>
      <w:r w:rsidR="00C33471" w:rsidRPr="00285735">
        <w:rPr>
          <w:rFonts w:ascii="Times New Roman" w:hAnsi="Times New Roman"/>
          <w:sz w:val="20"/>
          <w:szCs w:val="20"/>
        </w:rPr>
        <w:t>r</w:t>
      </w:r>
      <w:r w:rsidR="002259AE">
        <w:rPr>
          <w:rFonts w:ascii="Times New Roman" w:hAnsi="Times New Roman"/>
          <w:sz w:val="20"/>
          <w:szCs w:val="20"/>
        </w:rPr>
        <w:t xml:space="preserve">eheated silica with </w:t>
      </w:r>
      <w:proofErr w:type="gramStart"/>
      <w:r w:rsidR="002259AE">
        <w:rPr>
          <w:rFonts w:ascii="Times New Roman" w:hAnsi="Times New Roman"/>
          <w:sz w:val="20"/>
          <w:szCs w:val="20"/>
        </w:rPr>
        <w:t>cenospheres;</w:t>
      </w:r>
      <w:proofErr w:type="gramEnd"/>
    </w:p>
    <w:p w14:paraId="694DC85E" w14:textId="77777777" w:rsidR="00BB4491" w:rsidRDefault="00606142" w:rsidP="00AB5B9C">
      <w:pPr>
        <w:pStyle w:val="NoSpacing"/>
        <w:numPr>
          <w:ilvl w:val="0"/>
          <w:numId w:val="15"/>
        </w:numPr>
        <w:rPr>
          <w:rFonts w:ascii="Times New Roman" w:hAnsi="Times New Roman"/>
          <w:sz w:val="20"/>
          <w:szCs w:val="20"/>
        </w:rPr>
      </w:pPr>
      <w:r>
        <w:rPr>
          <w:rFonts w:ascii="Times New Roman" w:hAnsi="Times New Roman"/>
          <w:sz w:val="20"/>
          <w:szCs w:val="20"/>
        </w:rPr>
        <w:t>P</w:t>
      </w:r>
      <w:r w:rsidR="002259AE">
        <w:rPr>
          <w:rFonts w:ascii="Times New Roman" w:hAnsi="Times New Roman"/>
          <w:sz w:val="20"/>
          <w:szCs w:val="20"/>
        </w:rPr>
        <w:t xml:space="preserve">reheated alumina </w:t>
      </w:r>
      <w:proofErr w:type="gramStart"/>
      <w:r w:rsidR="002259AE">
        <w:rPr>
          <w:rFonts w:ascii="Times New Roman" w:hAnsi="Times New Roman"/>
          <w:sz w:val="20"/>
          <w:szCs w:val="20"/>
        </w:rPr>
        <w:t>castable;</w:t>
      </w:r>
      <w:proofErr w:type="gramEnd"/>
    </w:p>
    <w:p w14:paraId="680CB62E" w14:textId="77777777" w:rsidR="00BB4491" w:rsidRDefault="00606142" w:rsidP="00AB5B9C">
      <w:pPr>
        <w:pStyle w:val="NoSpacing"/>
        <w:numPr>
          <w:ilvl w:val="0"/>
          <w:numId w:val="15"/>
        </w:numPr>
        <w:rPr>
          <w:rFonts w:ascii="Times New Roman" w:hAnsi="Times New Roman"/>
          <w:sz w:val="20"/>
          <w:szCs w:val="20"/>
        </w:rPr>
      </w:pPr>
      <w:r>
        <w:rPr>
          <w:rFonts w:ascii="Times New Roman" w:hAnsi="Times New Roman"/>
          <w:sz w:val="20"/>
          <w:szCs w:val="20"/>
        </w:rPr>
        <w:t>P</w:t>
      </w:r>
      <w:r w:rsidR="00C33471" w:rsidRPr="00285735">
        <w:rPr>
          <w:rFonts w:ascii="Times New Roman" w:hAnsi="Times New Roman"/>
          <w:sz w:val="20"/>
          <w:szCs w:val="20"/>
        </w:rPr>
        <w:t>reheated porous alumina castable and</w:t>
      </w:r>
    </w:p>
    <w:p w14:paraId="4AB60277" w14:textId="77777777" w:rsidR="00E02620" w:rsidRDefault="00606142" w:rsidP="00AB5B9C">
      <w:pPr>
        <w:pStyle w:val="NoSpacing"/>
        <w:numPr>
          <w:ilvl w:val="0"/>
          <w:numId w:val="15"/>
        </w:numPr>
        <w:rPr>
          <w:rFonts w:ascii="Times New Roman" w:hAnsi="Times New Roman"/>
          <w:sz w:val="20"/>
          <w:szCs w:val="20"/>
        </w:rPr>
      </w:pPr>
      <w:r>
        <w:rPr>
          <w:rFonts w:ascii="Times New Roman" w:hAnsi="Times New Roman"/>
          <w:sz w:val="20"/>
          <w:szCs w:val="20"/>
        </w:rPr>
        <w:t>R</w:t>
      </w:r>
      <w:r w:rsidR="002259AE">
        <w:rPr>
          <w:rFonts w:ascii="Times New Roman" w:hAnsi="Times New Roman"/>
          <w:sz w:val="20"/>
          <w:szCs w:val="20"/>
        </w:rPr>
        <w:t>oom temperature magnesia board</w:t>
      </w:r>
    </w:p>
    <w:p w14:paraId="43895D75" w14:textId="77777777" w:rsidR="00A71C46" w:rsidRPr="00AB5B9C" w:rsidRDefault="00A71C46" w:rsidP="00C0448A">
      <w:pPr>
        <w:pStyle w:val="NoSpacing"/>
        <w:rPr>
          <w:rFonts w:ascii="Times New Roman" w:hAnsi="Times New Roman"/>
          <w:sz w:val="20"/>
          <w:szCs w:val="20"/>
        </w:rPr>
      </w:pPr>
    </w:p>
    <w:p w14:paraId="07D31D43" w14:textId="45585047" w:rsidR="00C33471" w:rsidRPr="002F0A57" w:rsidRDefault="00F1214B" w:rsidP="00C33471">
      <w:pPr>
        <w:pStyle w:val="NoSpacing"/>
        <w:jc w:val="center"/>
        <w:rPr>
          <w:rFonts w:ascii="Times New Roman" w:hAnsi="Times New Roman"/>
          <w:b/>
          <w:sz w:val="20"/>
          <w:szCs w:val="20"/>
        </w:rPr>
      </w:pPr>
      <w:r w:rsidRPr="00C33471">
        <w:rPr>
          <w:rFonts w:ascii="Times New Roman" w:hAnsi="Times New Roman"/>
          <w:b/>
          <w:noProof/>
          <w:color w:val="FF0000"/>
          <w:sz w:val="20"/>
          <w:szCs w:val="20"/>
        </w:rPr>
        <w:drawing>
          <wp:inline distT="0" distB="0" distL="0" distR="0" wp14:anchorId="62BE76C6" wp14:editId="6B84164C">
            <wp:extent cx="2819400" cy="170497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0" cy="1704975"/>
                    </a:xfrm>
                    <a:prstGeom prst="rect">
                      <a:avLst/>
                    </a:prstGeom>
                    <a:noFill/>
                    <a:ln>
                      <a:noFill/>
                    </a:ln>
                  </pic:spPr>
                </pic:pic>
              </a:graphicData>
            </a:graphic>
          </wp:inline>
        </w:drawing>
      </w:r>
    </w:p>
    <w:p w14:paraId="491638F4" w14:textId="77777777" w:rsidR="00C33471" w:rsidRPr="00FE1525" w:rsidRDefault="0050225E" w:rsidP="0001046B">
      <w:pPr>
        <w:pStyle w:val="NoSpacing"/>
        <w:rPr>
          <w:rFonts w:ascii="Arial" w:hAnsi="Arial" w:cs="Arial"/>
          <w:b/>
          <w:i/>
          <w:sz w:val="18"/>
          <w:szCs w:val="18"/>
          <w:vertAlign w:val="superscript"/>
        </w:rPr>
      </w:pPr>
      <w:r>
        <w:rPr>
          <w:rFonts w:ascii="Arial" w:hAnsi="Arial" w:cs="Arial"/>
          <w:b/>
          <w:i/>
          <w:sz w:val="18"/>
          <w:szCs w:val="18"/>
        </w:rPr>
        <w:t>Figure</w:t>
      </w:r>
      <w:r w:rsidR="00C33471" w:rsidRPr="0001046B">
        <w:rPr>
          <w:rFonts w:ascii="Arial" w:hAnsi="Arial" w:cs="Arial"/>
          <w:b/>
          <w:i/>
          <w:sz w:val="18"/>
          <w:szCs w:val="18"/>
        </w:rPr>
        <w:t xml:space="preserve"> 13.</w:t>
      </w:r>
      <w:r w:rsidR="0001046B" w:rsidRPr="0001046B">
        <w:rPr>
          <w:rFonts w:ascii="Arial" w:hAnsi="Arial" w:cs="Arial"/>
          <w:b/>
          <w:i/>
          <w:sz w:val="18"/>
          <w:szCs w:val="18"/>
        </w:rPr>
        <w:t xml:space="preserve"> </w:t>
      </w:r>
      <w:r w:rsidR="00A937E4">
        <w:rPr>
          <w:rFonts w:ascii="Arial" w:hAnsi="Arial" w:cs="Arial"/>
          <w:b/>
          <w:i/>
          <w:sz w:val="18"/>
          <w:szCs w:val="18"/>
        </w:rPr>
        <w:t>A graphical c</w:t>
      </w:r>
      <w:r w:rsidR="00C33471" w:rsidRPr="0001046B">
        <w:rPr>
          <w:rFonts w:ascii="Arial" w:hAnsi="Arial" w:cs="Arial"/>
          <w:b/>
          <w:i/>
          <w:sz w:val="18"/>
          <w:szCs w:val="18"/>
        </w:rPr>
        <w:t xml:space="preserve">omparison of cooling curves for developed and previously studied </w:t>
      </w:r>
      <w:r w:rsidR="00C33471" w:rsidRPr="00FE1525">
        <w:rPr>
          <w:rFonts w:ascii="Arial" w:hAnsi="Arial" w:cs="Arial"/>
          <w:b/>
          <w:i/>
          <w:sz w:val="18"/>
          <w:szCs w:val="18"/>
        </w:rPr>
        <w:t>linings</w:t>
      </w:r>
      <w:r w:rsidR="00A937E4" w:rsidRPr="00FE1525">
        <w:rPr>
          <w:rFonts w:ascii="Arial" w:hAnsi="Arial" w:cs="Arial"/>
          <w:b/>
          <w:i/>
          <w:sz w:val="18"/>
          <w:szCs w:val="18"/>
        </w:rPr>
        <w:t>.</w:t>
      </w:r>
      <w:r w:rsidR="00FE1525" w:rsidRPr="00FE1525">
        <w:rPr>
          <w:rFonts w:ascii="Arial" w:hAnsi="Arial" w:cs="Arial"/>
          <w:b/>
          <w:i/>
          <w:sz w:val="18"/>
          <w:szCs w:val="18"/>
          <w:vertAlign w:val="superscript"/>
        </w:rPr>
        <w:t>3</w:t>
      </w:r>
    </w:p>
    <w:p w14:paraId="7493C985" w14:textId="77777777" w:rsidR="00A71C46" w:rsidRDefault="00A71C46" w:rsidP="00C33471">
      <w:pPr>
        <w:pStyle w:val="NoSpacing"/>
        <w:jc w:val="center"/>
        <w:rPr>
          <w:rFonts w:ascii="Times New Roman" w:hAnsi="Times New Roman"/>
          <w:b/>
          <w:sz w:val="20"/>
          <w:szCs w:val="20"/>
        </w:rPr>
      </w:pPr>
    </w:p>
    <w:p w14:paraId="64A6EE32" w14:textId="77777777" w:rsidR="00606142" w:rsidRPr="00285735" w:rsidRDefault="00606142" w:rsidP="00C33471">
      <w:pPr>
        <w:pStyle w:val="NoSpacing"/>
        <w:jc w:val="center"/>
        <w:rPr>
          <w:rFonts w:ascii="Times New Roman" w:hAnsi="Times New Roman"/>
          <w:b/>
          <w:sz w:val="20"/>
          <w:szCs w:val="20"/>
        </w:rPr>
      </w:pPr>
    </w:p>
    <w:p w14:paraId="730CF02B" w14:textId="77777777" w:rsidR="00C33471" w:rsidRDefault="00C33471" w:rsidP="00C33471">
      <w:pPr>
        <w:pStyle w:val="NoSpacing"/>
        <w:jc w:val="center"/>
        <w:rPr>
          <w:rStyle w:val="st"/>
          <w:rFonts w:ascii="Arial" w:hAnsi="Arial" w:cs="Arial"/>
          <w:b/>
          <w:i/>
          <w:sz w:val="18"/>
          <w:szCs w:val="18"/>
        </w:rPr>
      </w:pPr>
      <w:r w:rsidRPr="004B6991">
        <w:rPr>
          <w:rFonts w:ascii="Arial" w:hAnsi="Arial" w:cs="Arial"/>
          <w:b/>
          <w:i/>
          <w:sz w:val="18"/>
          <w:szCs w:val="18"/>
        </w:rPr>
        <w:t>Table 5</w:t>
      </w:r>
      <w:r w:rsidR="00F06BC0">
        <w:rPr>
          <w:rFonts w:ascii="Arial" w:hAnsi="Arial" w:cs="Arial"/>
          <w:b/>
          <w:i/>
          <w:sz w:val="18"/>
          <w:szCs w:val="18"/>
        </w:rPr>
        <w:t>.</w:t>
      </w:r>
      <w:r w:rsidR="00E02620">
        <w:rPr>
          <w:rFonts w:ascii="Arial" w:hAnsi="Arial" w:cs="Arial"/>
          <w:b/>
          <w:i/>
          <w:sz w:val="18"/>
          <w:szCs w:val="18"/>
        </w:rPr>
        <w:t xml:space="preserve"> </w:t>
      </w:r>
      <w:r w:rsidR="002259AE" w:rsidRPr="004B6991">
        <w:rPr>
          <w:rFonts w:ascii="Arial" w:hAnsi="Arial" w:cs="Arial"/>
          <w:b/>
          <w:i/>
          <w:sz w:val="18"/>
          <w:szCs w:val="18"/>
        </w:rPr>
        <w:t>Holding Time</w:t>
      </w:r>
      <w:r w:rsidR="004B0192">
        <w:rPr>
          <w:rFonts w:ascii="Arial" w:hAnsi="Arial" w:cs="Arial"/>
          <w:b/>
          <w:i/>
          <w:sz w:val="18"/>
          <w:szCs w:val="18"/>
        </w:rPr>
        <w:t>s</w:t>
      </w:r>
      <w:r w:rsidR="002259AE" w:rsidRPr="004B6991">
        <w:rPr>
          <w:rFonts w:ascii="Arial" w:hAnsi="Arial" w:cs="Arial"/>
          <w:b/>
          <w:i/>
          <w:sz w:val="18"/>
          <w:szCs w:val="18"/>
        </w:rPr>
        <w:t xml:space="preserve"> for Melt Temp</w:t>
      </w:r>
      <w:r w:rsidR="004B0192">
        <w:rPr>
          <w:rFonts w:ascii="Arial" w:hAnsi="Arial" w:cs="Arial"/>
          <w:b/>
          <w:i/>
          <w:sz w:val="18"/>
          <w:szCs w:val="18"/>
        </w:rPr>
        <w:t>.</w:t>
      </w:r>
      <w:r w:rsidR="002259AE" w:rsidRPr="004B6991">
        <w:rPr>
          <w:rFonts w:ascii="Arial" w:hAnsi="Arial" w:cs="Arial"/>
          <w:b/>
          <w:i/>
          <w:sz w:val="18"/>
          <w:szCs w:val="18"/>
        </w:rPr>
        <w:t xml:space="preserve"> to</w:t>
      </w:r>
      <w:r w:rsidR="002259AE">
        <w:rPr>
          <w:rFonts w:ascii="Arial" w:hAnsi="Arial" w:cs="Arial"/>
          <w:b/>
          <w:i/>
          <w:sz w:val="18"/>
          <w:szCs w:val="18"/>
        </w:rPr>
        <w:t xml:space="preserve"> Drop f</w:t>
      </w:r>
      <w:r w:rsidR="002259AE" w:rsidRPr="004B6991">
        <w:rPr>
          <w:rFonts w:ascii="Arial" w:hAnsi="Arial" w:cs="Arial"/>
          <w:b/>
          <w:i/>
          <w:sz w:val="18"/>
          <w:szCs w:val="18"/>
        </w:rPr>
        <w:t xml:space="preserve">rom </w:t>
      </w:r>
      <w:r w:rsidR="00865D08">
        <w:rPr>
          <w:rFonts w:ascii="Arial" w:hAnsi="Arial" w:cs="Arial"/>
          <w:b/>
          <w:i/>
          <w:sz w:val="18"/>
          <w:szCs w:val="18"/>
        </w:rPr>
        <w:t>2822‒</w:t>
      </w:r>
      <w:r w:rsidR="00A372BE">
        <w:rPr>
          <w:rFonts w:ascii="Arial" w:hAnsi="Arial" w:cs="Arial"/>
          <w:b/>
          <w:i/>
          <w:sz w:val="18"/>
          <w:szCs w:val="18"/>
        </w:rPr>
        <w:t>2426F (</w:t>
      </w:r>
      <w:r w:rsidRPr="004B6991">
        <w:rPr>
          <w:rFonts w:ascii="Arial" w:hAnsi="Arial" w:cs="Arial"/>
          <w:b/>
          <w:i/>
          <w:sz w:val="18"/>
          <w:szCs w:val="18"/>
        </w:rPr>
        <w:t>1550</w:t>
      </w:r>
      <w:r w:rsidR="004B0192">
        <w:rPr>
          <w:rStyle w:val="st"/>
          <w:rFonts w:ascii="Arial" w:hAnsi="Arial" w:cs="Arial"/>
          <w:b/>
          <w:i/>
          <w:sz w:val="18"/>
          <w:szCs w:val="18"/>
        </w:rPr>
        <w:t>‒1330C</w:t>
      </w:r>
      <w:r w:rsidR="00A372BE">
        <w:rPr>
          <w:rStyle w:val="st"/>
          <w:rFonts w:ascii="Arial" w:hAnsi="Arial" w:cs="Arial"/>
          <w:b/>
          <w:i/>
          <w:sz w:val="18"/>
          <w:szCs w:val="18"/>
        </w:rPr>
        <w:t xml:space="preserve">) </w:t>
      </w:r>
      <w:r w:rsidR="002259AE">
        <w:rPr>
          <w:rStyle w:val="st"/>
          <w:rFonts w:ascii="Arial" w:hAnsi="Arial" w:cs="Arial"/>
          <w:b/>
          <w:i/>
          <w:sz w:val="18"/>
          <w:szCs w:val="18"/>
        </w:rPr>
        <w:t xml:space="preserve">in 100 </w:t>
      </w:r>
      <w:proofErr w:type="spellStart"/>
      <w:r w:rsidR="002259AE">
        <w:rPr>
          <w:rStyle w:val="st"/>
          <w:rFonts w:ascii="Arial" w:hAnsi="Arial" w:cs="Arial"/>
          <w:b/>
          <w:i/>
          <w:sz w:val="18"/>
          <w:szCs w:val="18"/>
        </w:rPr>
        <w:t>lb</w:t>
      </w:r>
      <w:proofErr w:type="spellEnd"/>
      <w:r w:rsidR="002259AE">
        <w:rPr>
          <w:rStyle w:val="st"/>
          <w:rFonts w:ascii="Arial" w:hAnsi="Arial" w:cs="Arial"/>
          <w:b/>
          <w:i/>
          <w:sz w:val="18"/>
          <w:szCs w:val="18"/>
        </w:rPr>
        <w:t xml:space="preserve"> (45 kg)</w:t>
      </w:r>
      <w:r w:rsidRPr="004B6991">
        <w:rPr>
          <w:rStyle w:val="st"/>
          <w:rFonts w:ascii="Arial" w:hAnsi="Arial" w:cs="Arial"/>
          <w:b/>
          <w:i/>
          <w:sz w:val="18"/>
          <w:szCs w:val="18"/>
        </w:rPr>
        <w:t xml:space="preserve"> </w:t>
      </w:r>
      <w:proofErr w:type="gramStart"/>
      <w:r w:rsidR="002259AE">
        <w:rPr>
          <w:rStyle w:val="st"/>
          <w:rFonts w:ascii="Arial" w:hAnsi="Arial" w:cs="Arial"/>
          <w:b/>
          <w:i/>
          <w:sz w:val="18"/>
          <w:szCs w:val="18"/>
        </w:rPr>
        <w:t>L</w:t>
      </w:r>
      <w:r w:rsidRPr="004B6991">
        <w:rPr>
          <w:rStyle w:val="st"/>
          <w:rFonts w:ascii="Arial" w:hAnsi="Arial" w:cs="Arial"/>
          <w:b/>
          <w:i/>
          <w:sz w:val="18"/>
          <w:szCs w:val="18"/>
        </w:rPr>
        <w:t>adle</w:t>
      </w:r>
      <w:proofErr w:type="gramEnd"/>
    </w:p>
    <w:tbl>
      <w:tblPr>
        <w:tblW w:w="4516" w:type="dxa"/>
        <w:tblLook w:val="04A0" w:firstRow="1" w:lastRow="0" w:firstColumn="1" w:lastColumn="0" w:noHBand="0" w:noVBand="1"/>
      </w:tblPr>
      <w:tblGrid>
        <w:gridCol w:w="2267"/>
        <w:gridCol w:w="1384"/>
        <w:gridCol w:w="865"/>
      </w:tblGrid>
      <w:tr w:rsidR="00C33471" w:rsidRPr="00C33471" w14:paraId="3857588F" w14:textId="77777777" w:rsidTr="00606142">
        <w:trPr>
          <w:trHeight w:val="305"/>
        </w:trPr>
        <w:tc>
          <w:tcPr>
            <w:tcW w:w="2267" w:type="dxa"/>
            <w:tcBorders>
              <w:top w:val="single" w:sz="4" w:space="0" w:color="auto"/>
              <w:left w:val="single" w:sz="4" w:space="0" w:color="auto"/>
              <w:bottom w:val="nil"/>
              <w:right w:val="single" w:sz="4" w:space="0" w:color="auto"/>
            </w:tcBorders>
            <w:shd w:val="clear" w:color="auto" w:fill="auto"/>
            <w:noWrap/>
            <w:vAlign w:val="bottom"/>
            <w:hideMark/>
          </w:tcPr>
          <w:p w14:paraId="52669310" w14:textId="77777777" w:rsidR="00C33471" w:rsidRPr="00C33471" w:rsidRDefault="00C33471" w:rsidP="00AE5D80">
            <w:pPr>
              <w:jc w:val="center"/>
              <w:rPr>
                <w:rFonts w:ascii="Times New Roman" w:hAnsi="Times New Roman"/>
                <w:color w:val="000000"/>
              </w:rPr>
            </w:pPr>
            <w:r w:rsidRPr="00C33471">
              <w:rPr>
                <w:rFonts w:ascii="Times New Roman" w:hAnsi="Times New Roman"/>
                <w:color w:val="000000"/>
              </w:rPr>
              <w:t>Lining</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4424A6F4" w14:textId="77777777" w:rsidR="00C33471" w:rsidRPr="00C33471" w:rsidRDefault="00C33471" w:rsidP="008473B6">
            <w:pPr>
              <w:jc w:val="center"/>
              <w:rPr>
                <w:rFonts w:ascii="Times New Roman" w:hAnsi="Times New Roman"/>
                <w:color w:val="000000"/>
              </w:rPr>
            </w:pPr>
            <w:r w:rsidRPr="00C33471">
              <w:rPr>
                <w:rFonts w:ascii="Times New Roman" w:hAnsi="Times New Roman"/>
                <w:color w:val="000000"/>
              </w:rPr>
              <w:t xml:space="preserve">Preheat, </w:t>
            </w:r>
            <w:r w:rsidR="00E1343E">
              <w:rPr>
                <w:rFonts w:ascii="Times New Roman" w:hAnsi="Times New Roman"/>
                <w:color w:val="000000"/>
              </w:rPr>
              <w:t>F(</w:t>
            </w:r>
            <w:r w:rsidRPr="00C33471">
              <w:rPr>
                <w:rStyle w:val="st"/>
                <w:rFonts w:ascii="Times New Roman" w:hAnsi="Times New Roman"/>
              </w:rPr>
              <w:t>C</w:t>
            </w:r>
            <w:r w:rsidR="00E1343E">
              <w:rPr>
                <w:rStyle w:val="st"/>
                <w:rFonts w:ascii="Times New Roman" w:hAnsi="Times New Roman"/>
              </w:rPr>
              <w:t>)</w:t>
            </w:r>
          </w:p>
        </w:tc>
        <w:tc>
          <w:tcPr>
            <w:tcW w:w="865" w:type="dxa"/>
            <w:tcBorders>
              <w:top w:val="single" w:sz="4" w:space="0" w:color="auto"/>
              <w:left w:val="nil"/>
              <w:bottom w:val="nil"/>
              <w:right w:val="single" w:sz="4" w:space="0" w:color="auto"/>
            </w:tcBorders>
            <w:shd w:val="clear" w:color="auto" w:fill="auto"/>
            <w:noWrap/>
            <w:vAlign w:val="bottom"/>
            <w:hideMark/>
          </w:tcPr>
          <w:p w14:paraId="4D25A5D2" w14:textId="77777777" w:rsidR="00C33471" w:rsidRPr="00C33471" w:rsidRDefault="00C33471" w:rsidP="00AE5D80">
            <w:pPr>
              <w:jc w:val="center"/>
              <w:rPr>
                <w:rFonts w:ascii="Times New Roman" w:hAnsi="Times New Roman"/>
                <w:color w:val="000000"/>
              </w:rPr>
            </w:pPr>
            <w:r w:rsidRPr="00C33471">
              <w:rPr>
                <w:rFonts w:ascii="Times New Roman" w:hAnsi="Times New Roman"/>
                <w:color w:val="000000"/>
              </w:rPr>
              <w:t>Time (min)</w:t>
            </w:r>
          </w:p>
        </w:tc>
      </w:tr>
      <w:tr w:rsidR="00C33471" w:rsidRPr="00C33471" w14:paraId="2FE4FF53" w14:textId="77777777" w:rsidTr="00606142">
        <w:trPr>
          <w:trHeight w:val="305"/>
        </w:trPr>
        <w:tc>
          <w:tcPr>
            <w:tcW w:w="22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ED35AD" w14:textId="77777777" w:rsidR="00C33471" w:rsidRPr="00C33471" w:rsidRDefault="00C33471" w:rsidP="00AE5D80">
            <w:pPr>
              <w:rPr>
                <w:rFonts w:ascii="Times New Roman" w:hAnsi="Times New Roman"/>
                <w:color w:val="000000"/>
              </w:rPr>
            </w:pPr>
            <w:r w:rsidRPr="00C33471">
              <w:rPr>
                <w:rFonts w:ascii="Times New Roman" w:hAnsi="Times New Roman"/>
                <w:color w:val="000000"/>
              </w:rPr>
              <w:t>Alumina castable</w:t>
            </w:r>
            <w:r w:rsidRPr="002259AE">
              <w:rPr>
                <w:rFonts w:ascii="Times New Roman" w:hAnsi="Times New Roman"/>
                <w:color w:val="000000"/>
                <w:vertAlign w:val="superscript"/>
              </w:rPr>
              <w:t>3</w:t>
            </w:r>
          </w:p>
        </w:tc>
        <w:tc>
          <w:tcPr>
            <w:tcW w:w="1384" w:type="dxa"/>
            <w:tcBorders>
              <w:top w:val="nil"/>
              <w:left w:val="nil"/>
              <w:bottom w:val="single" w:sz="4" w:space="0" w:color="auto"/>
              <w:right w:val="single" w:sz="4" w:space="0" w:color="auto"/>
            </w:tcBorders>
            <w:shd w:val="clear" w:color="auto" w:fill="auto"/>
            <w:noWrap/>
            <w:vAlign w:val="bottom"/>
            <w:hideMark/>
          </w:tcPr>
          <w:p w14:paraId="6C30EB83" w14:textId="77777777" w:rsidR="00C33471" w:rsidRPr="00C33471" w:rsidRDefault="00C33471" w:rsidP="00AE5D80">
            <w:pPr>
              <w:jc w:val="center"/>
              <w:rPr>
                <w:rFonts w:ascii="Times New Roman" w:hAnsi="Times New Roman"/>
                <w:color w:val="000000"/>
              </w:rPr>
            </w:pPr>
            <w:r w:rsidRPr="00C33471">
              <w:rPr>
                <w:rFonts w:ascii="Times New Roman" w:hAnsi="Times New Roman"/>
                <w:color w:val="000000"/>
              </w:rPr>
              <w:t>1290</w:t>
            </w:r>
            <w:r w:rsidR="00E1343E">
              <w:rPr>
                <w:rFonts w:ascii="Times New Roman" w:hAnsi="Times New Roman"/>
                <w:color w:val="000000"/>
              </w:rPr>
              <w:t>F (700C)</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14:paraId="2BC7ED3D" w14:textId="77777777" w:rsidR="00C33471" w:rsidRPr="00C33471" w:rsidRDefault="00C33471" w:rsidP="00AE5D80">
            <w:pPr>
              <w:jc w:val="center"/>
              <w:rPr>
                <w:rFonts w:ascii="Times New Roman" w:hAnsi="Times New Roman"/>
                <w:color w:val="000000"/>
              </w:rPr>
            </w:pPr>
            <w:r w:rsidRPr="00C33471">
              <w:rPr>
                <w:rFonts w:ascii="Times New Roman" w:hAnsi="Times New Roman"/>
                <w:color w:val="000000"/>
              </w:rPr>
              <w:t>6</w:t>
            </w:r>
          </w:p>
        </w:tc>
      </w:tr>
      <w:tr w:rsidR="00C33471" w:rsidRPr="00C33471" w14:paraId="18161CF8" w14:textId="77777777" w:rsidTr="00606142">
        <w:trPr>
          <w:trHeight w:val="305"/>
        </w:trPr>
        <w:tc>
          <w:tcPr>
            <w:tcW w:w="2267" w:type="dxa"/>
            <w:tcBorders>
              <w:top w:val="nil"/>
              <w:left w:val="single" w:sz="4" w:space="0" w:color="auto"/>
              <w:bottom w:val="single" w:sz="4" w:space="0" w:color="auto"/>
              <w:right w:val="single" w:sz="4" w:space="0" w:color="auto"/>
            </w:tcBorders>
            <w:shd w:val="clear" w:color="auto" w:fill="auto"/>
            <w:noWrap/>
            <w:vAlign w:val="bottom"/>
            <w:hideMark/>
          </w:tcPr>
          <w:p w14:paraId="7F23D589" w14:textId="77777777" w:rsidR="00C33471" w:rsidRPr="00C33471" w:rsidRDefault="00C33471" w:rsidP="00AE5D80">
            <w:pPr>
              <w:rPr>
                <w:rFonts w:ascii="Times New Roman" w:hAnsi="Times New Roman"/>
                <w:color w:val="000000"/>
              </w:rPr>
            </w:pPr>
            <w:r w:rsidRPr="00C33471">
              <w:rPr>
                <w:rFonts w:ascii="Times New Roman" w:hAnsi="Times New Roman"/>
                <w:color w:val="000000"/>
              </w:rPr>
              <w:t>Magnesia board</w:t>
            </w:r>
            <w:r w:rsidR="002259AE" w:rsidRPr="002259AE">
              <w:rPr>
                <w:rFonts w:ascii="Times New Roman" w:hAnsi="Times New Roman"/>
                <w:color w:val="000000"/>
                <w:vertAlign w:val="superscript"/>
              </w:rPr>
              <w:t>3</w:t>
            </w:r>
          </w:p>
        </w:tc>
        <w:tc>
          <w:tcPr>
            <w:tcW w:w="1384" w:type="dxa"/>
            <w:tcBorders>
              <w:top w:val="nil"/>
              <w:left w:val="nil"/>
              <w:bottom w:val="single" w:sz="4" w:space="0" w:color="auto"/>
              <w:right w:val="single" w:sz="4" w:space="0" w:color="auto"/>
            </w:tcBorders>
            <w:shd w:val="clear" w:color="auto" w:fill="auto"/>
            <w:noWrap/>
            <w:vAlign w:val="bottom"/>
            <w:hideMark/>
          </w:tcPr>
          <w:p w14:paraId="1CC3E66D" w14:textId="77777777" w:rsidR="00C33471" w:rsidRPr="00C33471" w:rsidRDefault="00C33471" w:rsidP="00AE5D80">
            <w:pPr>
              <w:jc w:val="center"/>
              <w:rPr>
                <w:rFonts w:ascii="Times New Roman" w:hAnsi="Times New Roman"/>
                <w:color w:val="000000"/>
              </w:rPr>
            </w:pPr>
            <w:r w:rsidRPr="00C33471">
              <w:rPr>
                <w:rFonts w:ascii="Times New Roman" w:hAnsi="Times New Roman"/>
                <w:color w:val="000000"/>
              </w:rPr>
              <w:t>No preheat</w:t>
            </w:r>
          </w:p>
        </w:tc>
        <w:tc>
          <w:tcPr>
            <w:tcW w:w="865" w:type="dxa"/>
            <w:tcBorders>
              <w:top w:val="nil"/>
              <w:left w:val="nil"/>
              <w:bottom w:val="single" w:sz="4" w:space="0" w:color="auto"/>
              <w:right w:val="single" w:sz="4" w:space="0" w:color="auto"/>
            </w:tcBorders>
            <w:shd w:val="clear" w:color="auto" w:fill="auto"/>
            <w:noWrap/>
            <w:vAlign w:val="bottom"/>
            <w:hideMark/>
          </w:tcPr>
          <w:p w14:paraId="226BAE9A" w14:textId="77777777" w:rsidR="00C33471" w:rsidRPr="00C33471" w:rsidRDefault="00C33471" w:rsidP="00AE5D80">
            <w:pPr>
              <w:jc w:val="center"/>
              <w:rPr>
                <w:rFonts w:ascii="Times New Roman" w:hAnsi="Times New Roman"/>
                <w:color w:val="000000"/>
              </w:rPr>
            </w:pPr>
            <w:r w:rsidRPr="00C33471">
              <w:rPr>
                <w:rFonts w:ascii="Times New Roman" w:hAnsi="Times New Roman"/>
                <w:color w:val="000000"/>
              </w:rPr>
              <w:t>8</w:t>
            </w:r>
          </w:p>
        </w:tc>
      </w:tr>
      <w:tr w:rsidR="00E1343E" w:rsidRPr="00C33471" w14:paraId="0D40D638" w14:textId="77777777" w:rsidTr="00606142">
        <w:trPr>
          <w:trHeight w:val="305"/>
        </w:trPr>
        <w:tc>
          <w:tcPr>
            <w:tcW w:w="2267" w:type="dxa"/>
            <w:tcBorders>
              <w:top w:val="nil"/>
              <w:left w:val="single" w:sz="4" w:space="0" w:color="auto"/>
              <w:bottom w:val="single" w:sz="4" w:space="0" w:color="auto"/>
              <w:right w:val="single" w:sz="4" w:space="0" w:color="auto"/>
            </w:tcBorders>
            <w:shd w:val="clear" w:color="auto" w:fill="auto"/>
            <w:noWrap/>
            <w:vAlign w:val="bottom"/>
            <w:hideMark/>
          </w:tcPr>
          <w:p w14:paraId="23621376" w14:textId="77777777" w:rsidR="00E1343E" w:rsidRPr="00C33471" w:rsidRDefault="00E1343E" w:rsidP="00E1343E">
            <w:pPr>
              <w:rPr>
                <w:rFonts w:ascii="Times New Roman" w:hAnsi="Times New Roman"/>
                <w:color w:val="000000"/>
              </w:rPr>
            </w:pPr>
            <w:r w:rsidRPr="00C33471">
              <w:rPr>
                <w:rFonts w:ascii="Times New Roman" w:hAnsi="Times New Roman"/>
                <w:color w:val="000000"/>
              </w:rPr>
              <w:t>Alumina porous castable</w:t>
            </w:r>
            <w:r w:rsidRPr="002259AE">
              <w:rPr>
                <w:rFonts w:ascii="Times New Roman" w:hAnsi="Times New Roman"/>
                <w:color w:val="000000"/>
                <w:vertAlign w:val="superscript"/>
              </w:rPr>
              <w:t>3</w:t>
            </w:r>
          </w:p>
        </w:tc>
        <w:tc>
          <w:tcPr>
            <w:tcW w:w="1384" w:type="dxa"/>
            <w:tcBorders>
              <w:top w:val="nil"/>
              <w:left w:val="nil"/>
              <w:bottom w:val="single" w:sz="4" w:space="0" w:color="auto"/>
              <w:right w:val="single" w:sz="4" w:space="0" w:color="auto"/>
            </w:tcBorders>
            <w:shd w:val="clear" w:color="auto" w:fill="auto"/>
            <w:noWrap/>
            <w:vAlign w:val="bottom"/>
            <w:hideMark/>
          </w:tcPr>
          <w:p w14:paraId="049166A5" w14:textId="77777777" w:rsidR="00E1343E" w:rsidRPr="00C33471" w:rsidRDefault="00E1343E" w:rsidP="00E1343E">
            <w:pPr>
              <w:jc w:val="center"/>
              <w:rPr>
                <w:rFonts w:ascii="Times New Roman" w:hAnsi="Times New Roman"/>
                <w:color w:val="000000"/>
              </w:rPr>
            </w:pPr>
            <w:r w:rsidRPr="00C33471">
              <w:rPr>
                <w:rFonts w:ascii="Times New Roman" w:hAnsi="Times New Roman"/>
                <w:color w:val="000000"/>
              </w:rPr>
              <w:t>1290</w:t>
            </w:r>
            <w:r>
              <w:rPr>
                <w:rFonts w:ascii="Times New Roman" w:hAnsi="Times New Roman"/>
                <w:color w:val="000000"/>
              </w:rPr>
              <w:t>F (700C)</w:t>
            </w:r>
          </w:p>
        </w:tc>
        <w:tc>
          <w:tcPr>
            <w:tcW w:w="865" w:type="dxa"/>
            <w:tcBorders>
              <w:top w:val="nil"/>
              <w:left w:val="nil"/>
              <w:bottom w:val="single" w:sz="4" w:space="0" w:color="auto"/>
              <w:right w:val="single" w:sz="4" w:space="0" w:color="auto"/>
            </w:tcBorders>
            <w:shd w:val="clear" w:color="auto" w:fill="auto"/>
            <w:noWrap/>
            <w:vAlign w:val="bottom"/>
            <w:hideMark/>
          </w:tcPr>
          <w:p w14:paraId="591B7413" w14:textId="77777777" w:rsidR="00E1343E" w:rsidRPr="00C33471" w:rsidRDefault="00E1343E" w:rsidP="00E1343E">
            <w:pPr>
              <w:jc w:val="center"/>
              <w:rPr>
                <w:rFonts w:ascii="Times New Roman" w:hAnsi="Times New Roman"/>
                <w:color w:val="000000"/>
              </w:rPr>
            </w:pPr>
            <w:r w:rsidRPr="00C33471">
              <w:rPr>
                <w:rFonts w:ascii="Times New Roman" w:hAnsi="Times New Roman"/>
                <w:color w:val="000000"/>
              </w:rPr>
              <w:t>17</w:t>
            </w:r>
          </w:p>
        </w:tc>
      </w:tr>
      <w:tr w:rsidR="00E1343E" w:rsidRPr="00C33471" w14:paraId="61042E3B" w14:textId="77777777" w:rsidTr="00606142">
        <w:trPr>
          <w:trHeight w:val="305"/>
        </w:trPr>
        <w:tc>
          <w:tcPr>
            <w:tcW w:w="2267" w:type="dxa"/>
            <w:tcBorders>
              <w:top w:val="nil"/>
              <w:left w:val="single" w:sz="4" w:space="0" w:color="auto"/>
              <w:bottom w:val="single" w:sz="4" w:space="0" w:color="auto"/>
              <w:right w:val="single" w:sz="4" w:space="0" w:color="auto"/>
            </w:tcBorders>
            <w:shd w:val="clear" w:color="auto" w:fill="auto"/>
            <w:noWrap/>
            <w:vAlign w:val="bottom"/>
            <w:hideMark/>
          </w:tcPr>
          <w:p w14:paraId="0B66E99B" w14:textId="77777777" w:rsidR="00E1343E" w:rsidRPr="00C33471" w:rsidRDefault="00E1343E" w:rsidP="00E1343E">
            <w:pPr>
              <w:rPr>
                <w:rFonts w:ascii="Times New Roman" w:hAnsi="Times New Roman"/>
                <w:color w:val="000000"/>
              </w:rPr>
            </w:pPr>
            <w:r w:rsidRPr="00C33471">
              <w:rPr>
                <w:rFonts w:ascii="Times New Roman" w:hAnsi="Times New Roman"/>
                <w:color w:val="000000"/>
              </w:rPr>
              <w:t xml:space="preserve">Silica with cenospheres </w:t>
            </w:r>
            <w:r>
              <w:rPr>
                <w:rFonts w:ascii="Times New Roman" w:hAnsi="Times New Roman"/>
                <w:color w:val="000000"/>
              </w:rPr>
              <w:br/>
            </w:r>
            <w:r w:rsidRPr="00C33471">
              <w:rPr>
                <w:rFonts w:ascii="Times New Roman" w:hAnsi="Times New Roman"/>
                <w:color w:val="000000"/>
              </w:rPr>
              <w:t>(this study)</w:t>
            </w:r>
          </w:p>
        </w:tc>
        <w:tc>
          <w:tcPr>
            <w:tcW w:w="1384" w:type="dxa"/>
            <w:tcBorders>
              <w:top w:val="nil"/>
              <w:left w:val="nil"/>
              <w:bottom w:val="single" w:sz="4" w:space="0" w:color="auto"/>
              <w:right w:val="single" w:sz="4" w:space="0" w:color="auto"/>
            </w:tcBorders>
            <w:shd w:val="clear" w:color="auto" w:fill="auto"/>
            <w:noWrap/>
            <w:vAlign w:val="bottom"/>
            <w:hideMark/>
          </w:tcPr>
          <w:p w14:paraId="061C88D3" w14:textId="77777777" w:rsidR="00E1343E" w:rsidRPr="00C33471" w:rsidRDefault="00E1343E" w:rsidP="00E1343E">
            <w:pPr>
              <w:jc w:val="center"/>
              <w:rPr>
                <w:rFonts w:ascii="Times New Roman" w:hAnsi="Times New Roman"/>
                <w:color w:val="000000"/>
              </w:rPr>
            </w:pPr>
            <w:r w:rsidRPr="00C33471">
              <w:rPr>
                <w:rFonts w:ascii="Times New Roman" w:hAnsi="Times New Roman"/>
                <w:color w:val="000000"/>
              </w:rPr>
              <w:t>1290</w:t>
            </w:r>
            <w:r>
              <w:rPr>
                <w:rFonts w:ascii="Times New Roman" w:hAnsi="Times New Roman"/>
                <w:color w:val="000000"/>
              </w:rPr>
              <w:t>F (700C)</w:t>
            </w:r>
          </w:p>
        </w:tc>
        <w:tc>
          <w:tcPr>
            <w:tcW w:w="865" w:type="dxa"/>
            <w:tcBorders>
              <w:top w:val="nil"/>
              <w:left w:val="nil"/>
              <w:bottom w:val="single" w:sz="4" w:space="0" w:color="auto"/>
              <w:right w:val="single" w:sz="4" w:space="0" w:color="auto"/>
            </w:tcBorders>
            <w:shd w:val="clear" w:color="auto" w:fill="auto"/>
            <w:noWrap/>
            <w:vAlign w:val="bottom"/>
            <w:hideMark/>
          </w:tcPr>
          <w:p w14:paraId="0FB9ABE5" w14:textId="77777777" w:rsidR="00E1343E" w:rsidRPr="00C33471" w:rsidRDefault="00E1343E" w:rsidP="00E1343E">
            <w:pPr>
              <w:jc w:val="center"/>
              <w:rPr>
                <w:rFonts w:ascii="Times New Roman" w:hAnsi="Times New Roman"/>
                <w:color w:val="000000"/>
              </w:rPr>
            </w:pPr>
            <w:r w:rsidRPr="00C33471">
              <w:rPr>
                <w:rFonts w:ascii="Times New Roman" w:hAnsi="Times New Roman"/>
                <w:color w:val="000000"/>
              </w:rPr>
              <w:t>13</w:t>
            </w:r>
          </w:p>
        </w:tc>
      </w:tr>
    </w:tbl>
    <w:p w14:paraId="786E768E" w14:textId="77777777" w:rsidR="00C0448A" w:rsidRDefault="00C0448A" w:rsidP="00C0448A">
      <w:pPr>
        <w:pStyle w:val="NoSpacing"/>
        <w:rPr>
          <w:rFonts w:ascii="Times New Roman" w:hAnsi="Times New Roman"/>
          <w:b/>
          <w:sz w:val="20"/>
          <w:szCs w:val="20"/>
        </w:rPr>
      </w:pPr>
    </w:p>
    <w:p w14:paraId="40C71FB8" w14:textId="77777777" w:rsidR="00C33471" w:rsidRPr="002259AE" w:rsidRDefault="00C33471" w:rsidP="00C0448A">
      <w:pPr>
        <w:pStyle w:val="NoSpacing"/>
        <w:rPr>
          <w:rFonts w:ascii="Times New Roman" w:hAnsi="Times New Roman"/>
          <w:sz w:val="20"/>
          <w:szCs w:val="20"/>
        </w:rPr>
      </w:pPr>
      <w:r w:rsidRPr="00285735">
        <w:rPr>
          <w:rFonts w:ascii="Times New Roman" w:hAnsi="Times New Roman"/>
          <w:sz w:val="20"/>
          <w:szCs w:val="20"/>
        </w:rPr>
        <w:t xml:space="preserve">The temperature drop </w:t>
      </w:r>
      <w:r w:rsidR="002E1222">
        <w:rPr>
          <w:rFonts w:ascii="Times New Roman" w:hAnsi="Times New Roman"/>
          <w:sz w:val="20"/>
          <w:szCs w:val="20"/>
        </w:rPr>
        <w:t>wa</w:t>
      </w:r>
      <w:r w:rsidRPr="00285735">
        <w:rPr>
          <w:rFonts w:ascii="Times New Roman" w:hAnsi="Times New Roman"/>
          <w:sz w:val="20"/>
          <w:szCs w:val="20"/>
        </w:rPr>
        <w:t>s the highest (six minutes) for the alumina castable because it has the highest thermal conductivity among the four</w:t>
      </w:r>
      <w:r w:rsidR="002E1222">
        <w:rPr>
          <w:rFonts w:ascii="Times New Roman" w:hAnsi="Times New Roman"/>
          <w:sz w:val="20"/>
          <w:szCs w:val="20"/>
        </w:rPr>
        <w:t xml:space="preserve"> linings</w:t>
      </w:r>
      <w:r w:rsidR="00E02620">
        <w:rPr>
          <w:rFonts w:ascii="Times New Roman" w:hAnsi="Times New Roman"/>
          <w:sz w:val="20"/>
          <w:szCs w:val="20"/>
        </w:rPr>
        <w:t xml:space="preserve">. </w:t>
      </w:r>
      <w:r w:rsidRPr="00285735">
        <w:rPr>
          <w:rFonts w:ascii="Times New Roman" w:hAnsi="Times New Roman"/>
          <w:sz w:val="20"/>
          <w:szCs w:val="20"/>
        </w:rPr>
        <w:t xml:space="preserve">Silica with cenospheres took 13 minutes to reach </w:t>
      </w:r>
      <w:r w:rsidR="00E1343E">
        <w:rPr>
          <w:rFonts w:ascii="Times New Roman" w:hAnsi="Times New Roman"/>
          <w:sz w:val="20"/>
          <w:szCs w:val="20"/>
        </w:rPr>
        <w:t>2426F (</w:t>
      </w:r>
      <w:r w:rsidRPr="00285735">
        <w:rPr>
          <w:rFonts w:ascii="Times New Roman" w:hAnsi="Times New Roman"/>
          <w:sz w:val="20"/>
          <w:szCs w:val="20"/>
        </w:rPr>
        <w:t>1330C</w:t>
      </w:r>
      <w:r w:rsidR="00264463">
        <w:rPr>
          <w:rFonts w:ascii="Times New Roman" w:hAnsi="Times New Roman"/>
          <w:sz w:val="20"/>
          <w:szCs w:val="20"/>
        </w:rPr>
        <w:t>)</w:t>
      </w:r>
      <w:r w:rsidRPr="00285735">
        <w:rPr>
          <w:rFonts w:ascii="Times New Roman" w:hAnsi="Times New Roman"/>
          <w:sz w:val="20"/>
          <w:szCs w:val="20"/>
        </w:rPr>
        <w:t xml:space="preserve"> which is better than the alumina and the magnesia refractories</w:t>
      </w:r>
      <w:r w:rsidR="00E02620">
        <w:rPr>
          <w:rFonts w:ascii="Times New Roman" w:hAnsi="Times New Roman"/>
          <w:sz w:val="20"/>
          <w:szCs w:val="20"/>
        </w:rPr>
        <w:t xml:space="preserve">. </w:t>
      </w:r>
      <w:r w:rsidRPr="00285735">
        <w:rPr>
          <w:rFonts w:ascii="Times New Roman" w:hAnsi="Times New Roman"/>
          <w:sz w:val="20"/>
          <w:szCs w:val="20"/>
        </w:rPr>
        <w:t>An important observation was that</w:t>
      </w:r>
      <w:r w:rsidR="002259AE">
        <w:rPr>
          <w:rFonts w:ascii="Times New Roman" w:hAnsi="Times New Roman"/>
          <w:sz w:val="20"/>
          <w:szCs w:val="20"/>
        </w:rPr>
        <w:t xml:space="preserve"> the silica lining with 30 vol</w:t>
      </w:r>
      <w:r w:rsidRPr="00285735">
        <w:rPr>
          <w:rFonts w:ascii="Times New Roman" w:hAnsi="Times New Roman"/>
          <w:sz w:val="20"/>
          <w:szCs w:val="20"/>
        </w:rPr>
        <w:t>% cenospheres endured the single use with no visible crack formation during or after the trial</w:t>
      </w:r>
      <w:r w:rsidR="00E02620">
        <w:rPr>
          <w:rFonts w:ascii="Times New Roman" w:hAnsi="Times New Roman"/>
          <w:sz w:val="20"/>
          <w:szCs w:val="20"/>
        </w:rPr>
        <w:t xml:space="preserve">. </w:t>
      </w:r>
      <w:r w:rsidRPr="00285735">
        <w:rPr>
          <w:rFonts w:ascii="Times New Roman" w:hAnsi="Times New Roman"/>
          <w:sz w:val="20"/>
          <w:szCs w:val="20"/>
        </w:rPr>
        <w:t xml:space="preserve">This is </w:t>
      </w:r>
      <w:r w:rsidR="008A1010">
        <w:rPr>
          <w:rFonts w:ascii="Times New Roman" w:hAnsi="Times New Roman"/>
          <w:sz w:val="20"/>
          <w:szCs w:val="20"/>
        </w:rPr>
        <w:t xml:space="preserve">a </w:t>
      </w:r>
      <w:r w:rsidRPr="00285735">
        <w:rPr>
          <w:rFonts w:ascii="Times New Roman" w:hAnsi="Times New Roman"/>
          <w:sz w:val="20"/>
          <w:szCs w:val="20"/>
        </w:rPr>
        <w:t>promising</w:t>
      </w:r>
      <w:r w:rsidR="008A1010">
        <w:rPr>
          <w:rFonts w:ascii="Times New Roman" w:hAnsi="Times New Roman"/>
          <w:sz w:val="20"/>
          <w:szCs w:val="20"/>
        </w:rPr>
        <w:t xml:space="preserve"> </w:t>
      </w:r>
      <w:r w:rsidR="0050225E">
        <w:rPr>
          <w:rFonts w:ascii="Times New Roman" w:hAnsi="Times New Roman"/>
          <w:sz w:val="20"/>
          <w:szCs w:val="20"/>
        </w:rPr>
        <w:t>result,</w:t>
      </w:r>
      <w:r w:rsidRPr="00285735">
        <w:rPr>
          <w:rFonts w:ascii="Times New Roman" w:hAnsi="Times New Roman"/>
          <w:sz w:val="20"/>
          <w:szCs w:val="20"/>
        </w:rPr>
        <w:t xml:space="preserve"> but </w:t>
      </w:r>
      <w:r w:rsidR="008A1010">
        <w:rPr>
          <w:rFonts w:ascii="Times New Roman" w:hAnsi="Times New Roman"/>
          <w:sz w:val="20"/>
          <w:szCs w:val="20"/>
        </w:rPr>
        <w:t xml:space="preserve">it </w:t>
      </w:r>
      <w:r w:rsidRPr="00285735">
        <w:rPr>
          <w:rFonts w:ascii="Times New Roman" w:hAnsi="Times New Roman"/>
          <w:sz w:val="20"/>
          <w:szCs w:val="20"/>
        </w:rPr>
        <w:t>w</w:t>
      </w:r>
      <w:r w:rsidR="008A1010">
        <w:rPr>
          <w:rFonts w:ascii="Times New Roman" w:hAnsi="Times New Roman"/>
          <w:sz w:val="20"/>
          <w:szCs w:val="20"/>
        </w:rPr>
        <w:t>ill</w:t>
      </w:r>
      <w:r w:rsidRPr="00285735">
        <w:rPr>
          <w:rFonts w:ascii="Times New Roman" w:hAnsi="Times New Roman"/>
          <w:sz w:val="20"/>
          <w:szCs w:val="20"/>
        </w:rPr>
        <w:t xml:space="preserve"> need to be studied over longer campaigns to determine the industrial acceptability of the new lining.</w:t>
      </w:r>
    </w:p>
    <w:p w14:paraId="3218B2AE" w14:textId="77777777" w:rsidR="00C33471" w:rsidRDefault="00C33471" w:rsidP="00C33471">
      <w:pPr>
        <w:pStyle w:val="NoSpacing"/>
        <w:rPr>
          <w:rFonts w:ascii="Times New Roman" w:hAnsi="Times New Roman"/>
          <w:b/>
          <w:sz w:val="20"/>
          <w:szCs w:val="20"/>
        </w:rPr>
      </w:pPr>
    </w:p>
    <w:p w14:paraId="788B9912" w14:textId="77777777" w:rsidR="00606142" w:rsidRPr="00285735" w:rsidRDefault="00606142" w:rsidP="00C33471">
      <w:pPr>
        <w:pStyle w:val="NoSpacing"/>
        <w:rPr>
          <w:rFonts w:ascii="Times New Roman" w:hAnsi="Times New Roman"/>
          <w:b/>
          <w:sz w:val="20"/>
          <w:szCs w:val="20"/>
        </w:rPr>
      </w:pPr>
    </w:p>
    <w:p w14:paraId="1E7C3BE8" w14:textId="77777777" w:rsidR="00C33471" w:rsidRPr="00C0448A" w:rsidRDefault="00C33471" w:rsidP="00C33471">
      <w:pPr>
        <w:pStyle w:val="NoSpacing"/>
        <w:rPr>
          <w:rFonts w:ascii="Arial" w:hAnsi="Arial" w:cs="Arial"/>
          <w:b/>
          <w:sz w:val="20"/>
          <w:szCs w:val="20"/>
        </w:rPr>
      </w:pPr>
      <w:r w:rsidRPr="00C0448A">
        <w:rPr>
          <w:rFonts w:ascii="Arial" w:hAnsi="Arial" w:cs="Arial"/>
          <w:b/>
          <w:sz w:val="20"/>
          <w:szCs w:val="20"/>
        </w:rPr>
        <w:t>CONCLUSIONS</w:t>
      </w:r>
    </w:p>
    <w:p w14:paraId="1F12EA35" w14:textId="77777777" w:rsidR="00C33471" w:rsidRPr="00285735" w:rsidRDefault="00C33471" w:rsidP="00C33471">
      <w:pPr>
        <w:pStyle w:val="NoSpacing"/>
        <w:rPr>
          <w:rFonts w:ascii="Times New Roman" w:hAnsi="Times New Roman"/>
          <w:b/>
          <w:sz w:val="20"/>
          <w:szCs w:val="20"/>
        </w:rPr>
      </w:pPr>
    </w:p>
    <w:p w14:paraId="33AFAC33" w14:textId="77777777" w:rsidR="00C33471" w:rsidRPr="00285735" w:rsidRDefault="005E2540" w:rsidP="00C0448A">
      <w:pPr>
        <w:pStyle w:val="NoSpacing"/>
        <w:rPr>
          <w:rFonts w:ascii="Times New Roman" w:hAnsi="Times New Roman"/>
          <w:color w:val="000000"/>
          <w:sz w:val="20"/>
          <w:szCs w:val="20"/>
        </w:rPr>
      </w:pPr>
      <w:r>
        <w:rPr>
          <w:rFonts w:ascii="Times New Roman" w:hAnsi="Times New Roman"/>
          <w:color w:val="000000"/>
          <w:sz w:val="20"/>
          <w:szCs w:val="20"/>
        </w:rPr>
        <w:t>C</w:t>
      </w:r>
      <w:r w:rsidR="00C33471" w:rsidRPr="00285735">
        <w:rPr>
          <w:rFonts w:ascii="Times New Roman" w:hAnsi="Times New Roman"/>
          <w:color w:val="000000"/>
          <w:sz w:val="20"/>
          <w:szCs w:val="20"/>
        </w:rPr>
        <w:t>enosphere</w:t>
      </w:r>
      <w:r>
        <w:rPr>
          <w:rFonts w:ascii="Times New Roman" w:hAnsi="Times New Roman"/>
          <w:color w:val="000000"/>
          <w:sz w:val="20"/>
          <w:szCs w:val="20"/>
        </w:rPr>
        <w:t xml:space="preserve"> additions</w:t>
      </w:r>
      <w:r w:rsidR="00C33471" w:rsidRPr="00285735">
        <w:rPr>
          <w:rFonts w:ascii="Times New Roman" w:hAnsi="Times New Roman"/>
          <w:color w:val="000000"/>
          <w:sz w:val="20"/>
          <w:szCs w:val="20"/>
        </w:rPr>
        <w:t xml:space="preserve"> to the silica </w:t>
      </w:r>
      <w:r>
        <w:rPr>
          <w:rFonts w:ascii="Times New Roman" w:hAnsi="Times New Roman"/>
          <w:color w:val="000000"/>
          <w:sz w:val="20"/>
          <w:szCs w:val="20"/>
        </w:rPr>
        <w:t xml:space="preserve">ladle </w:t>
      </w:r>
      <w:r w:rsidR="00C33471" w:rsidRPr="00285735">
        <w:rPr>
          <w:rFonts w:ascii="Times New Roman" w:hAnsi="Times New Roman"/>
          <w:color w:val="000000"/>
          <w:sz w:val="20"/>
          <w:szCs w:val="20"/>
        </w:rPr>
        <w:t xml:space="preserve">lining </w:t>
      </w:r>
      <w:proofErr w:type="gramStart"/>
      <w:r w:rsidR="00C33471" w:rsidRPr="00285735">
        <w:rPr>
          <w:rFonts w:ascii="Times New Roman" w:hAnsi="Times New Roman"/>
          <w:color w:val="000000"/>
          <w:sz w:val="20"/>
          <w:szCs w:val="20"/>
        </w:rPr>
        <w:t>has</w:t>
      </w:r>
      <w:proofErr w:type="gramEnd"/>
      <w:r w:rsidR="00C33471" w:rsidRPr="00285735">
        <w:rPr>
          <w:rFonts w:ascii="Times New Roman" w:hAnsi="Times New Roman"/>
          <w:color w:val="000000"/>
          <w:sz w:val="20"/>
          <w:szCs w:val="20"/>
        </w:rPr>
        <w:t xml:space="preserve"> the potential to reduce the heat losses in the ladle </w:t>
      </w:r>
      <w:r>
        <w:rPr>
          <w:rFonts w:ascii="Times New Roman" w:hAnsi="Times New Roman"/>
          <w:color w:val="000000"/>
          <w:sz w:val="20"/>
          <w:szCs w:val="20"/>
        </w:rPr>
        <w:t>for</w:t>
      </w:r>
      <w:r w:rsidR="00C33471" w:rsidRPr="00285735">
        <w:rPr>
          <w:rFonts w:ascii="Times New Roman" w:hAnsi="Times New Roman"/>
          <w:color w:val="000000"/>
          <w:sz w:val="20"/>
          <w:szCs w:val="20"/>
        </w:rPr>
        <w:t xml:space="preserve"> steel foundry operations resulting in lower tap temperatures and reduce</w:t>
      </w:r>
      <w:r w:rsidR="00E02620">
        <w:rPr>
          <w:rFonts w:ascii="Times New Roman" w:hAnsi="Times New Roman"/>
          <w:color w:val="000000"/>
          <w:sz w:val="20"/>
          <w:szCs w:val="20"/>
        </w:rPr>
        <w:t xml:space="preserve">d melting energy requirements. </w:t>
      </w:r>
      <w:r>
        <w:rPr>
          <w:rFonts w:ascii="Times New Roman" w:hAnsi="Times New Roman"/>
          <w:color w:val="000000"/>
          <w:sz w:val="20"/>
          <w:szCs w:val="20"/>
        </w:rPr>
        <w:t>E</w:t>
      </w:r>
      <w:r w:rsidR="00C33471" w:rsidRPr="00285735">
        <w:rPr>
          <w:rFonts w:ascii="Times New Roman" w:hAnsi="Times New Roman"/>
          <w:color w:val="000000"/>
          <w:sz w:val="20"/>
          <w:szCs w:val="20"/>
        </w:rPr>
        <w:t>ffective thermal conductivity</w:t>
      </w:r>
      <w:r>
        <w:rPr>
          <w:rFonts w:ascii="Times New Roman" w:hAnsi="Times New Roman"/>
          <w:color w:val="000000"/>
          <w:sz w:val="20"/>
          <w:szCs w:val="20"/>
        </w:rPr>
        <w:t xml:space="preserve"> measurements</w:t>
      </w:r>
      <w:r w:rsidR="00C33471" w:rsidRPr="00285735">
        <w:rPr>
          <w:rFonts w:ascii="Times New Roman" w:hAnsi="Times New Roman"/>
          <w:color w:val="000000"/>
          <w:sz w:val="20"/>
          <w:szCs w:val="20"/>
        </w:rPr>
        <w:t xml:space="preserve"> during use in </w:t>
      </w:r>
      <w:r>
        <w:rPr>
          <w:rFonts w:ascii="Times New Roman" w:hAnsi="Times New Roman"/>
          <w:color w:val="000000"/>
          <w:sz w:val="20"/>
          <w:szCs w:val="20"/>
        </w:rPr>
        <w:t>the</w:t>
      </w:r>
      <w:r w:rsidR="00C33471" w:rsidRPr="00285735">
        <w:rPr>
          <w:rFonts w:ascii="Times New Roman" w:hAnsi="Times New Roman"/>
          <w:color w:val="000000"/>
          <w:sz w:val="20"/>
          <w:szCs w:val="20"/>
        </w:rPr>
        <w:t xml:space="preserve"> ladle showed a 35% decrease in thermal conductivity for silica with cenospheres when compared to standard silica sand linings</w:t>
      </w:r>
      <w:r w:rsidR="00E02620">
        <w:rPr>
          <w:rFonts w:ascii="Times New Roman" w:hAnsi="Times New Roman"/>
          <w:color w:val="000000"/>
          <w:sz w:val="20"/>
          <w:szCs w:val="20"/>
        </w:rPr>
        <w:t>.</w:t>
      </w:r>
      <w:r w:rsidR="00F06BC0">
        <w:rPr>
          <w:rFonts w:ascii="Times New Roman" w:hAnsi="Times New Roman"/>
          <w:color w:val="000000"/>
          <w:sz w:val="20"/>
          <w:szCs w:val="20"/>
        </w:rPr>
        <w:t xml:space="preserve"> </w:t>
      </w:r>
      <w:r w:rsidR="00C33471" w:rsidRPr="00285735">
        <w:rPr>
          <w:rFonts w:ascii="Times New Roman" w:hAnsi="Times New Roman"/>
          <w:color w:val="000000"/>
          <w:sz w:val="20"/>
          <w:szCs w:val="20"/>
        </w:rPr>
        <w:t xml:space="preserve">These results were </w:t>
      </w:r>
      <w:proofErr w:type="gramStart"/>
      <w:r w:rsidR="00C33471" w:rsidRPr="00285735">
        <w:rPr>
          <w:rFonts w:ascii="Times New Roman" w:hAnsi="Times New Roman"/>
          <w:color w:val="000000"/>
          <w:sz w:val="20"/>
          <w:szCs w:val="20"/>
        </w:rPr>
        <w:t>similar to</w:t>
      </w:r>
      <w:proofErr w:type="gramEnd"/>
      <w:r w:rsidR="00C33471" w:rsidRPr="00285735">
        <w:rPr>
          <w:rFonts w:ascii="Times New Roman" w:hAnsi="Times New Roman"/>
          <w:color w:val="000000"/>
          <w:sz w:val="20"/>
          <w:szCs w:val="20"/>
        </w:rPr>
        <w:t xml:space="preserve"> measurements using the hot wire method</w:t>
      </w:r>
      <w:r w:rsidR="00944B83">
        <w:rPr>
          <w:rFonts w:ascii="Times New Roman" w:hAnsi="Times New Roman"/>
          <w:color w:val="000000"/>
          <w:sz w:val="20"/>
          <w:szCs w:val="20"/>
        </w:rPr>
        <w:t>,</w:t>
      </w:r>
      <w:r w:rsidR="00C33471" w:rsidRPr="00285735">
        <w:rPr>
          <w:rFonts w:ascii="Times New Roman" w:hAnsi="Times New Roman"/>
          <w:color w:val="000000"/>
          <w:sz w:val="20"/>
          <w:szCs w:val="20"/>
        </w:rPr>
        <w:t xml:space="preserve"> which showed a 20</w:t>
      </w:r>
      <w:r w:rsidR="00203551">
        <w:rPr>
          <w:rFonts w:ascii="Times New Roman" w:hAnsi="Times New Roman"/>
          <w:color w:val="000000"/>
          <w:sz w:val="20"/>
          <w:szCs w:val="20"/>
        </w:rPr>
        <w:t>–</w:t>
      </w:r>
      <w:r w:rsidR="00C33471" w:rsidRPr="00285735">
        <w:rPr>
          <w:rFonts w:ascii="Times New Roman" w:hAnsi="Times New Roman"/>
          <w:color w:val="000000"/>
          <w:sz w:val="20"/>
          <w:szCs w:val="20"/>
        </w:rPr>
        <w:t>40% decrease in the thermal conductivity</w:t>
      </w:r>
      <w:r w:rsidR="00942D1D">
        <w:rPr>
          <w:rFonts w:ascii="Times New Roman" w:hAnsi="Times New Roman"/>
          <w:color w:val="000000"/>
          <w:sz w:val="20"/>
          <w:szCs w:val="20"/>
        </w:rPr>
        <w:t xml:space="preserve">. </w:t>
      </w:r>
      <w:r w:rsidR="00C33471" w:rsidRPr="00285735">
        <w:rPr>
          <w:rFonts w:ascii="Times New Roman" w:hAnsi="Times New Roman"/>
          <w:color w:val="000000"/>
          <w:sz w:val="20"/>
          <w:szCs w:val="20"/>
        </w:rPr>
        <w:t>Ladles lined with silica with the addition of cenospheres showed no abnormal wear or evidence of cracks during the experiment which is promising for industrial use</w:t>
      </w:r>
      <w:r w:rsidR="00E02620">
        <w:rPr>
          <w:rFonts w:ascii="Times New Roman" w:hAnsi="Times New Roman"/>
          <w:color w:val="000000"/>
          <w:sz w:val="20"/>
          <w:szCs w:val="20"/>
        </w:rPr>
        <w:t xml:space="preserve">. </w:t>
      </w:r>
      <w:r w:rsidR="00C33471" w:rsidRPr="00285735">
        <w:rPr>
          <w:rFonts w:ascii="Times New Roman" w:hAnsi="Times New Roman"/>
          <w:color w:val="000000"/>
          <w:sz w:val="20"/>
          <w:szCs w:val="20"/>
        </w:rPr>
        <w:t xml:space="preserve">In the 100 </w:t>
      </w:r>
      <w:proofErr w:type="spellStart"/>
      <w:r w:rsidR="00C33471" w:rsidRPr="00285735">
        <w:rPr>
          <w:rFonts w:ascii="Times New Roman" w:hAnsi="Times New Roman"/>
          <w:color w:val="000000"/>
          <w:sz w:val="20"/>
          <w:szCs w:val="20"/>
        </w:rPr>
        <w:t>lb</w:t>
      </w:r>
      <w:proofErr w:type="spellEnd"/>
      <w:r w:rsidR="00C33471" w:rsidRPr="00285735">
        <w:rPr>
          <w:rFonts w:ascii="Times New Roman" w:hAnsi="Times New Roman"/>
          <w:color w:val="000000"/>
          <w:sz w:val="20"/>
          <w:szCs w:val="20"/>
        </w:rPr>
        <w:t xml:space="preserve"> </w:t>
      </w:r>
      <w:r w:rsidR="00944B83">
        <w:rPr>
          <w:rFonts w:ascii="Times New Roman" w:hAnsi="Times New Roman"/>
          <w:color w:val="000000"/>
          <w:sz w:val="20"/>
          <w:szCs w:val="20"/>
        </w:rPr>
        <w:t xml:space="preserve">(45 kg) </w:t>
      </w:r>
      <w:r w:rsidR="00C33471" w:rsidRPr="00285735">
        <w:rPr>
          <w:rFonts w:ascii="Times New Roman" w:hAnsi="Times New Roman"/>
          <w:color w:val="000000"/>
          <w:sz w:val="20"/>
          <w:szCs w:val="20"/>
        </w:rPr>
        <w:t>ladle experiment, the t</w:t>
      </w:r>
      <w:r w:rsidR="00C33471" w:rsidRPr="00285735">
        <w:rPr>
          <w:rFonts w:ascii="Times New Roman" w:hAnsi="Times New Roman"/>
          <w:sz w:val="20"/>
          <w:szCs w:val="20"/>
        </w:rPr>
        <w:t xml:space="preserve">emperature </w:t>
      </w:r>
      <w:proofErr w:type="gramStart"/>
      <w:r w:rsidR="00C33471" w:rsidRPr="00285735">
        <w:rPr>
          <w:rFonts w:ascii="Times New Roman" w:hAnsi="Times New Roman"/>
          <w:sz w:val="20"/>
          <w:szCs w:val="20"/>
        </w:rPr>
        <w:t>drop</w:t>
      </w:r>
      <w:proofErr w:type="gramEnd"/>
      <w:r w:rsidR="00C33471" w:rsidRPr="00285735">
        <w:rPr>
          <w:rFonts w:ascii="Times New Roman" w:hAnsi="Times New Roman"/>
          <w:sz w:val="20"/>
          <w:szCs w:val="20"/>
        </w:rPr>
        <w:t xml:space="preserve"> for the new silica lining with cenospheres was better than the traditional magnesia or alumina ladle linings</w:t>
      </w:r>
      <w:r w:rsidR="00E02620">
        <w:rPr>
          <w:rFonts w:ascii="Times New Roman" w:hAnsi="Times New Roman"/>
          <w:sz w:val="20"/>
          <w:szCs w:val="20"/>
        </w:rPr>
        <w:t xml:space="preserve">. </w:t>
      </w:r>
      <w:r w:rsidR="00C33471" w:rsidRPr="00285735">
        <w:rPr>
          <w:rFonts w:ascii="Times New Roman" w:hAnsi="Times New Roman"/>
          <w:sz w:val="20"/>
          <w:szCs w:val="20"/>
        </w:rPr>
        <w:t>Only the porous alumina w</w:t>
      </w:r>
      <w:r w:rsidR="00C33471" w:rsidRPr="00306B8F">
        <w:rPr>
          <w:rFonts w:ascii="Times New Roman" w:hAnsi="Times New Roman"/>
          <w:sz w:val="20"/>
          <w:szCs w:val="20"/>
        </w:rPr>
        <w:t>as better in terms of temperature drop than the new material</w:t>
      </w:r>
      <w:r w:rsidR="00F06BC0" w:rsidRPr="00306B8F">
        <w:rPr>
          <w:rFonts w:ascii="Times New Roman" w:hAnsi="Times New Roman"/>
          <w:sz w:val="20"/>
          <w:szCs w:val="20"/>
        </w:rPr>
        <w:t xml:space="preserve">. </w:t>
      </w:r>
      <w:r w:rsidR="00C33471" w:rsidRPr="00306B8F">
        <w:rPr>
          <w:rFonts w:ascii="Times New Roman" w:hAnsi="Times New Roman"/>
          <w:color w:val="000000"/>
          <w:sz w:val="20"/>
          <w:szCs w:val="20"/>
        </w:rPr>
        <w:t>The superheat required before tap could be reduced by 20</w:t>
      </w:r>
      <w:r w:rsidR="00203551" w:rsidRPr="00306B8F">
        <w:rPr>
          <w:rFonts w:ascii="Times New Roman" w:hAnsi="Times New Roman"/>
          <w:color w:val="000000"/>
          <w:sz w:val="20"/>
          <w:szCs w:val="20"/>
        </w:rPr>
        <w:t>–</w:t>
      </w:r>
      <w:r w:rsidR="00C33471" w:rsidRPr="00306B8F">
        <w:rPr>
          <w:rFonts w:ascii="Times New Roman" w:hAnsi="Times New Roman"/>
          <w:color w:val="000000"/>
          <w:sz w:val="20"/>
          <w:szCs w:val="20"/>
        </w:rPr>
        <w:t>50</w:t>
      </w:r>
      <w:r w:rsidRPr="00306B8F">
        <w:rPr>
          <w:rFonts w:ascii="Times New Roman" w:hAnsi="Times New Roman"/>
          <w:color w:val="000000"/>
          <w:sz w:val="20"/>
          <w:szCs w:val="20"/>
        </w:rPr>
        <w:t>°</w:t>
      </w:r>
      <w:r w:rsidR="00C33471" w:rsidRPr="00306B8F">
        <w:rPr>
          <w:rFonts w:ascii="Times New Roman" w:hAnsi="Times New Roman"/>
          <w:color w:val="000000"/>
          <w:sz w:val="20"/>
          <w:szCs w:val="20"/>
        </w:rPr>
        <w:t>F</w:t>
      </w:r>
      <w:r w:rsidR="00944B83" w:rsidRPr="00306B8F">
        <w:rPr>
          <w:rFonts w:ascii="Times New Roman" w:hAnsi="Times New Roman"/>
          <w:color w:val="000000"/>
          <w:sz w:val="20"/>
          <w:szCs w:val="20"/>
        </w:rPr>
        <w:t xml:space="preserve"> </w:t>
      </w:r>
      <w:r w:rsidR="00944B83" w:rsidRPr="00306B8F">
        <w:rPr>
          <w:rFonts w:ascii="Times New Roman" w:hAnsi="Times New Roman"/>
          <w:sz w:val="20"/>
          <w:szCs w:val="20"/>
        </w:rPr>
        <w:t>(11</w:t>
      </w:r>
      <w:r w:rsidR="00203551" w:rsidRPr="00306B8F">
        <w:rPr>
          <w:rFonts w:ascii="Times New Roman" w:hAnsi="Times New Roman"/>
          <w:sz w:val="20"/>
          <w:szCs w:val="20"/>
        </w:rPr>
        <w:t>–</w:t>
      </w:r>
      <w:r w:rsidR="00944B83" w:rsidRPr="00306B8F">
        <w:rPr>
          <w:rFonts w:ascii="Times New Roman" w:hAnsi="Times New Roman"/>
          <w:sz w:val="20"/>
          <w:szCs w:val="20"/>
        </w:rPr>
        <w:t>28</w:t>
      </w:r>
      <w:r w:rsidRPr="00306B8F">
        <w:rPr>
          <w:rFonts w:ascii="Times New Roman" w:hAnsi="Times New Roman"/>
          <w:sz w:val="20"/>
          <w:szCs w:val="20"/>
        </w:rPr>
        <w:t>°</w:t>
      </w:r>
      <w:r w:rsidR="00944B83" w:rsidRPr="00306B8F">
        <w:rPr>
          <w:rFonts w:ascii="Times New Roman" w:hAnsi="Times New Roman"/>
          <w:sz w:val="20"/>
          <w:szCs w:val="20"/>
        </w:rPr>
        <w:t>C)</w:t>
      </w:r>
      <w:r w:rsidR="00C33471" w:rsidRPr="00306B8F">
        <w:rPr>
          <w:rFonts w:ascii="Times New Roman" w:hAnsi="Times New Roman"/>
          <w:color w:val="000000"/>
          <w:sz w:val="20"/>
          <w:szCs w:val="20"/>
        </w:rPr>
        <w:t xml:space="preserve"> and</w:t>
      </w:r>
      <w:r w:rsidR="00C33471" w:rsidRPr="00285735">
        <w:rPr>
          <w:rFonts w:ascii="Times New Roman" w:hAnsi="Times New Roman"/>
          <w:color w:val="000000"/>
          <w:sz w:val="20"/>
          <w:szCs w:val="20"/>
        </w:rPr>
        <w:t xml:space="preserve"> in the process saving electrical energy consumption by 25</w:t>
      </w:r>
      <w:r w:rsidR="00203551">
        <w:rPr>
          <w:rFonts w:ascii="Times New Roman" w:hAnsi="Times New Roman"/>
          <w:color w:val="000000"/>
          <w:sz w:val="20"/>
          <w:szCs w:val="20"/>
        </w:rPr>
        <w:t>–</w:t>
      </w:r>
      <w:r w:rsidR="00C33471" w:rsidRPr="00285735">
        <w:rPr>
          <w:rFonts w:ascii="Times New Roman" w:hAnsi="Times New Roman"/>
          <w:color w:val="000000"/>
          <w:sz w:val="20"/>
          <w:szCs w:val="20"/>
        </w:rPr>
        <w:t>50 KWH/ton</w:t>
      </w:r>
      <w:r w:rsidR="00E02620">
        <w:rPr>
          <w:rFonts w:ascii="Times New Roman" w:hAnsi="Times New Roman"/>
          <w:color w:val="000000"/>
          <w:sz w:val="20"/>
          <w:szCs w:val="20"/>
        </w:rPr>
        <w:t xml:space="preserve">. </w:t>
      </w:r>
      <w:r w:rsidR="00C33471" w:rsidRPr="00285735">
        <w:rPr>
          <w:rFonts w:ascii="Times New Roman" w:hAnsi="Times New Roman"/>
          <w:color w:val="000000"/>
          <w:sz w:val="20"/>
          <w:szCs w:val="20"/>
        </w:rPr>
        <w:t>Future trials with the proposed novel lining are suggested for small steel foundry ladles used for a typical multiple-use campaign to determine the</w:t>
      </w:r>
      <w:r>
        <w:rPr>
          <w:rFonts w:ascii="Times New Roman" w:hAnsi="Times New Roman"/>
          <w:color w:val="000000"/>
          <w:sz w:val="20"/>
          <w:szCs w:val="20"/>
        </w:rPr>
        <w:t xml:space="preserve"> ladle</w:t>
      </w:r>
      <w:r w:rsidR="00C33471" w:rsidRPr="00285735">
        <w:rPr>
          <w:rFonts w:ascii="Times New Roman" w:hAnsi="Times New Roman"/>
          <w:color w:val="000000"/>
          <w:sz w:val="20"/>
          <w:szCs w:val="20"/>
        </w:rPr>
        <w:t xml:space="preserve"> life.</w:t>
      </w:r>
    </w:p>
    <w:p w14:paraId="756DFC29" w14:textId="77777777" w:rsidR="00C33471" w:rsidRPr="00285735" w:rsidRDefault="00C33471" w:rsidP="00C33471">
      <w:pPr>
        <w:pStyle w:val="NoSpacing"/>
        <w:rPr>
          <w:rFonts w:ascii="Times New Roman" w:hAnsi="Times New Roman"/>
          <w:b/>
          <w:sz w:val="20"/>
          <w:szCs w:val="20"/>
        </w:rPr>
      </w:pPr>
    </w:p>
    <w:p w14:paraId="176FB6B8" w14:textId="77777777" w:rsidR="00606142" w:rsidRDefault="00606142" w:rsidP="00C33471">
      <w:pPr>
        <w:pStyle w:val="NoSpacing"/>
        <w:rPr>
          <w:rFonts w:ascii="Arial" w:hAnsi="Arial" w:cs="Arial"/>
          <w:b/>
          <w:sz w:val="20"/>
          <w:szCs w:val="20"/>
        </w:rPr>
      </w:pPr>
    </w:p>
    <w:p w14:paraId="33C17435" w14:textId="77777777" w:rsidR="00C33471" w:rsidRPr="00C0448A" w:rsidRDefault="00C33471" w:rsidP="00C33471">
      <w:pPr>
        <w:pStyle w:val="NoSpacing"/>
        <w:rPr>
          <w:rFonts w:ascii="Arial" w:hAnsi="Arial" w:cs="Arial"/>
          <w:b/>
          <w:sz w:val="20"/>
          <w:szCs w:val="20"/>
        </w:rPr>
      </w:pPr>
      <w:r w:rsidRPr="00C0448A">
        <w:rPr>
          <w:rFonts w:ascii="Arial" w:hAnsi="Arial" w:cs="Arial"/>
          <w:b/>
          <w:sz w:val="20"/>
          <w:szCs w:val="20"/>
        </w:rPr>
        <w:t>ACKNOWLEDGMENTS</w:t>
      </w:r>
    </w:p>
    <w:p w14:paraId="1F93D40C" w14:textId="77777777" w:rsidR="00C0448A" w:rsidRDefault="00C0448A" w:rsidP="00C0448A">
      <w:pPr>
        <w:pStyle w:val="NoSpacing"/>
        <w:rPr>
          <w:rFonts w:ascii="Times New Roman" w:hAnsi="Times New Roman"/>
          <w:b/>
          <w:sz w:val="20"/>
          <w:szCs w:val="20"/>
        </w:rPr>
      </w:pPr>
    </w:p>
    <w:p w14:paraId="053A8C15" w14:textId="77777777" w:rsidR="00C33471" w:rsidRPr="00285735" w:rsidRDefault="005B6407" w:rsidP="00C0448A">
      <w:pPr>
        <w:pStyle w:val="NoSpacing"/>
        <w:rPr>
          <w:rFonts w:ascii="Times New Roman" w:hAnsi="Times New Roman"/>
          <w:sz w:val="20"/>
          <w:szCs w:val="20"/>
        </w:rPr>
      </w:pPr>
      <w:r>
        <w:rPr>
          <w:rFonts w:ascii="Times New Roman" w:hAnsi="Times New Roman"/>
          <w:sz w:val="20"/>
          <w:szCs w:val="20"/>
        </w:rPr>
        <w:t xml:space="preserve">The author </w:t>
      </w:r>
      <w:r w:rsidR="00E02620">
        <w:rPr>
          <w:rFonts w:ascii="Times New Roman" w:hAnsi="Times New Roman"/>
          <w:sz w:val="20"/>
          <w:szCs w:val="20"/>
        </w:rPr>
        <w:t>thanks</w:t>
      </w:r>
      <w:r>
        <w:rPr>
          <w:rFonts w:ascii="Times New Roman" w:hAnsi="Times New Roman"/>
          <w:sz w:val="20"/>
          <w:szCs w:val="20"/>
        </w:rPr>
        <w:t xml:space="preserve"> Dr. </w:t>
      </w:r>
      <w:r w:rsidR="00DC5873">
        <w:rPr>
          <w:rFonts w:ascii="Times New Roman" w:hAnsi="Times New Roman"/>
          <w:sz w:val="20"/>
          <w:szCs w:val="20"/>
        </w:rPr>
        <w:t>Jo Wa</w:t>
      </w:r>
      <w:r w:rsidR="00BA309B">
        <w:rPr>
          <w:rFonts w:ascii="Times New Roman" w:hAnsi="Times New Roman"/>
          <w:sz w:val="20"/>
          <w:szCs w:val="20"/>
        </w:rPr>
        <w:t>lker</w:t>
      </w:r>
      <w:r>
        <w:rPr>
          <w:rFonts w:ascii="Times New Roman" w:hAnsi="Times New Roman"/>
          <w:sz w:val="20"/>
          <w:szCs w:val="20"/>
        </w:rPr>
        <w:t xml:space="preserve"> for his support and supervision</w:t>
      </w:r>
      <w:r w:rsidR="00BA309B">
        <w:rPr>
          <w:rFonts w:ascii="Times New Roman" w:hAnsi="Times New Roman"/>
          <w:sz w:val="20"/>
          <w:szCs w:val="20"/>
        </w:rPr>
        <w:t xml:space="preserve"> and</w:t>
      </w:r>
      <w:r w:rsidR="00E02620">
        <w:rPr>
          <w:rFonts w:ascii="Times New Roman" w:hAnsi="Times New Roman"/>
          <w:sz w:val="20"/>
          <w:szCs w:val="20"/>
        </w:rPr>
        <w:t xml:space="preserve"> </w:t>
      </w:r>
      <w:r w:rsidR="0064229C">
        <w:rPr>
          <w:rFonts w:ascii="Times New Roman" w:hAnsi="Times New Roman"/>
          <w:sz w:val="20"/>
          <w:szCs w:val="20"/>
        </w:rPr>
        <w:t>ST</w:t>
      </w:r>
      <w:r w:rsidR="00BA309B">
        <w:rPr>
          <w:rFonts w:ascii="Times New Roman" w:hAnsi="Times New Roman"/>
          <w:sz w:val="20"/>
          <w:szCs w:val="20"/>
        </w:rPr>
        <w:t xml:space="preserve"> Foundry, Inc.</w:t>
      </w:r>
      <w:r w:rsidR="00C33471" w:rsidRPr="00285735">
        <w:rPr>
          <w:rFonts w:ascii="Times New Roman" w:hAnsi="Times New Roman"/>
          <w:sz w:val="20"/>
          <w:szCs w:val="20"/>
        </w:rPr>
        <w:t xml:space="preserve"> </w:t>
      </w:r>
      <w:r w:rsidR="00BA309B">
        <w:rPr>
          <w:rFonts w:ascii="Times New Roman" w:hAnsi="Times New Roman"/>
          <w:sz w:val="20"/>
          <w:szCs w:val="20"/>
        </w:rPr>
        <w:t xml:space="preserve">for </w:t>
      </w:r>
      <w:r w:rsidR="001D1B54">
        <w:rPr>
          <w:rFonts w:ascii="Times New Roman" w:hAnsi="Times New Roman"/>
          <w:sz w:val="20"/>
          <w:szCs w:val="20"/>
        </w:rPr>
        <w:t xml:space="preserve">their </w:t>
      </w:r>
      <w:r w:rsidR="00BA309B">
        <w:rPr>
          <w:rFonts w:ascii="Times New Roman" w:hAnsi="Times New Roman"/>
          <w:sz w:val="20"/>
          <w:szCs w:val="20"/>
        </w:rPr>
        <w:t>services.</w:t>
      </w:r>
    </w:p>
    <w:p w14:paraId="321CAC30" w14:textId="77777777" w:rsidR="001E4CF1" w:rsidRDefault="001E4CF1" w:rsidP="00002056">
      <w:pPr>
        <w:pStyle w:val="ReferHead"/>
      </w:pPr>
    </w:p>
    <w:p w14:paraId="11068DE0" w14:textId="77777777" w:rsidR="00606142" w:rsidRDefault="00606142" w:rsidP="001D6120">
      <w:pPr>
        <w:pStyle w:val="ReferHead"/>
        <w:ind w:left="180" w:hanging="180"/>
      </w:pPr>
    </w:p>
    <w:p w14:paraId="437D7516" w14:textId="77777777" w:rsidR="00002056" w:rsidRDefault="00002056" w:rsidP="001D6120">
      <w:pPr>
        <w:pStyle w:val="ReferHead"/>
        <w:ind w:left="180" w:hanging="180"/>
      </w:pPr>
      <w:r>
        <w:t>REFERENCES</w:t>
      </w:r>
    </w:p>
    <w:p w14:paraId="3F019500" w14:textId="77777777" w:rsidR="008B326C" w:rsidRDefault="008B326C" w:rsidP="00944B83">
      <w:pPr>
        <w:pStyle w:val="ReferHead"/>
      </w:pPr>
    </w:p>
    <w:p w14:paraId="3ABDE9D5" w14:textId="77777777" w:rsidR="008B326C" w:rsidRPr="008B326C" w:rsidRDefault="008B326C" w:rsidP="008B2A8A">
      <w:pPr>
        <w:pStyle w:val="NoSpacing"/>
        <w:numPr>
          <w:ilvl w:val="0"/>
          <w:numId w:val="6"/>
        </w:numPr>
        <w:ind w:left="180" w:hanging="180"/>
        <w:rPr>
          <w:rFonts w:ascii="Times New Roman" w:hAnsi="Times New Roman"/>
          <w:sz w:val="20"/>
          <w:szCs w:val="20"/>
        </w:rPr>
      </w:pPr>
      <w:r w:rsidRPr="008B326C">
        <w:rPr>
          <w:rFonts w:ascii="Times New Roman" w:hAnsi="Times New Roman"/>
          <w:sz w:val="20"/>
          <w:szCs w:val="20"/>
        </w:rPr>
        <w:t>Heine,</w:t>
      </w:r>
      <w:r w:rsidR="00484E67" w:rsidRPr="008B326C">
        <w:rPr>
          <w:rFonts w:ascii="Times New Roman" w:hAnsi="Times New Roman"/>
          <w:sz w:val="20"/>
          <w:szCs w:val="20"/>
        </w:rPr>
        <w:t xml:space="preserve"> H.J.</w:t>
      </w:r>
      <w:r w:rsidR="00484E67">
        <w:rPr>
          <w:rFonts w:ascii="Times New Roman" w:hAnsi="Times New Roman"/>
          <w:sz w:val="20"/>
          <w:szCs w:val="20"/>
        </w:rPr>
        <w:t>,</w:t>
      </w:r>
      <w:r w:rsidRPr="008B326C">
        <w:rPr>
          <w:rFonts w:ascii="Times New Roman" w:hAnsi="Times New Roman"/>
          <w:sz w:val="20"/>
          <w:szCs w:val="20"/>
        </w:rPr>
        <w:t xml:space="preserve"> “</w:t>
      </w:r>
      <w:r w:rsidRPr="008B326C">
        <w:rPr>
          <w:rFonts w:ascii="Times New Roman" w:hAnsi="Times New Roman"/>
          <w:bCs/>
          <w:sz w:val="20"/>
          <w:szCs w:val="20"/>
        </w:rPr>
        <w:t xml:space="preserve">Reviewing </w:t>
      </w:r>
      <w:r w:rsidR="00944B83">
        <w:rPr>
          <w:rFonts w:ascii="Times New Roman" w:hAnsi="Times New Roman"/>
          <w:bCs/>
          <w:sz w:val="20"/>
          <w:szCs w:val="20"/>
        </w:rPr>
        <w:t>Refractory Practices i</w:t>
      </w:r>
      <w:r w:rsidR="00944B83" w:rsidRPr="008B326C">
        <w:rPr>
          <w:rFonts w:ascii="Times New Roman" w:hAnsi="Times New Roman"/>
          <w:bCs/>
          <w:sz w:val="20"/>
          <w:szCs w:val="20"/>
        </w:rPr>
        <w:t>n Steel Foundries</w:t>
      </w:r>
      <w:r w:rsidRPr="008B326C">
        <w:rPr>
          <w:rFonts w:ascii="Times New Roman" w:hAnsi="Times New Roman"/>
          <w:bCs/>
          <w:sz w:val="20"/>
          <w:szCs w:val="20"/>
        </w:rPr>
        <w:t xml:space="preserve">,” </w:t>
      </w:r>
      <w:r w:rsidR="00944B83">
        <w:rPr>
          <w:rFonts w:ascii="Times New Roman" w:hAnsi="Times New Roman"/>
          <w:i/>
          <w:iCs/>
          <w:sz w:val="20"/>
          <w:szCs w:val="20"/>
        </w:rPr>
        <w:t>Foundry Management and</w:t>
      </w:r>
      <w:r w:rsidRPr="00944B83">
        <w:rPr>
          <w:rFonts w:ascii="Times New Roman" w:hAnsi="Times New Roman"/>
          <w:i/>
          <w:iCs/>
          <w:sz w:val="20"/>
          <w:szCs w:val="20"/>
        </w:rPr>
        <w:t xml:space="preserve"> Technology</w:t>
      </w:r>
      <w:r w:rsidRPr="008B326C">
        <w:rPr>
          <w:rFonts w:ascii="Times New Roman" w:hAnsi="Times New Roman"/>
          <w:iCs/>
          <w:sz w:val="20"/>
          <w:szCs w:val="20"/>
        </w:rPr>
        <w:t xml:space="preserve">, vol. </w:t>
      </w:r>
      <w:r w:rsidR="00484E67">
        <w:rPr>
          <w:rFonts w:ascii="Times New Roman" w:hAnsi="Times New Roman"/>
          <w:sz w:val="20"/>
          <w:szCs w:val="20"/>
        </w:rPr>
        <w:t>128 (4), pp. 32 (</w:t>
      </w:r>
      <w:r w:rsidRPr="008B326C">
        <w:rPr>
          <w:rFonts w:ascii="Times New Roman" w:hAnsi="Times New Roman"/>
          <w:sz w:val="20"/>
          <w:szCs w:val="20"/>
        </w:rPr>
        <w:t>April 2000</w:t>
      </w:r>
      <w:r w:rsidR="00484E67">
        <w:rPr>
          <w:rFonts w:ascii="Times New Roman" w:hAnsi="Times New Roman"/>
          <w:sz w:val="20"/>
          <w:szCs w:val="20"/>
        </w:rPr>
        <w:t>)</w:t>
      </w:r>
      <w:r w:rsidRPr="008B326C">
        <w:rPr>
          <w:rFonts w:ascii="Times New Roman" w:hAnsi="Times New Roman"/>
          <w:sz w:val="20"/>
          <w:szCs w:val="20"/>
        </w:rPr>
        <w:t>.</w:t>
      </w:r>
    </w:p>
    <w:p w14:paraId="22C05923" w14:textId="77777777" w:rsidR="00944B83" w:rsidRDefault="008B326C" w:rsidP="008B2A8A">
      <w:pPr>
        <w:numPr>
          <w:ilvl w:val="0"/>
          <w:numId w:val="6"/>
        </w:numPr>
        <w:ind w:left="180" w:hanging="180"/>
        <w:rPr>
          <w:rFonts w:ascii="Times New Roman" w:hAnsi="Times New Roman"/>
        </w:rPr>
      </w:pPr>
      <w:r w:rsidRPr="00944B83">
        <w:rPr>
          <w:rFonts w:ascii="Times New Roman" w:hAnsi="Times New Roman"/>
        </w:rPr>
        <w:t>Peaslee,</w:t>
      </w:r>
      <w:r w:rsidR="00484E67" w:rsidRPr="00944B83">
        <w:rPr>
          <w:rFonts w:ascii="Times New Roman" w:hAnsi="Times New Roman"/>
        </w:rPr>
        <w:t xml:space="preserve"> K.D.,</w:t>
      </w:r>
      <w:r w:rsidRPr="00944B83">
        <w:rPr>
          <w:rFonts w:ascii="Times New Roman" w:hAnsi="Times New Roman"/>
        </w:rPr>
        <w:t xml:space="preserve"> Lekakh,</w:t>
      </w:r>
      <w:r w:rsidR="00484E67" w:rsidRPr="00944B83">
        <w:rPr>
          <w:rFonts w:ascii="Times New Roman" w:hAnsi="Times New Roman"/>
        </w:rPr>
        <w:t xml:space="preserve"> S.,</w:t>
      </w:r>
      <w:r w:rsidRPr="00944B83">
        <w:rPr>
          <w:rFonts w:ascii="Times New Roman" w:hAnsi="Times New Roman"/>
        </w:rPr>
        <w:t xml:space="preserve"> Smith,</w:t>
      </w:r>
      <w:r w:rsidR="00484E67" w:rsidRPr="00944B83">
        <w:rPr>
          <w:rFonts w:ascii="Times New Roman" w:hAnsi="Times New Roman"/>
        </w:rPr>
        <w:t xml:space="preserve"> J.,</w:t>
      </w:r>
      <w:r w:rsidRPr="00944B83">
        <w:rPr>
          <w:rFonts w:ascii="Times New Roman" w:hAnsi="Times New Roman"/>
        </w:rPr>
        <w:t xml:space="preserve"> </w:t>
      </w:r>
      <w:proofErr w:type="spellStart"/>
      <w:r w:rsidRPr="00944B83">
        <w:rPr>
          <w:rFonts w:ascii="Times New Roman" w:hAnsi="Times New Roman"/>
        </w:rPr>
        <w:t>Vibhandik</w:t>
      </w:r>
      <w:proofErr w:type="spellEnd"/>
      <w:r w:rsidRPr="00944B83">
        <w:rPr>
          <w:rFonts w:ascii="Times New Roman" w:hAnsi="Times New Roman"/>
        </w:rPr>
        <w:t>,</w:t>
      </w:r>
      <w:r w:rsidR="00484E67" w:rsidRPr="00944B83">
        <w:rPr>
          <w:rFonts w:ascii="Times New Roman" w:hAnsi="Times New Roman"/>
        </w:rPr>
        <w:t xml:space="preserve"> M.</w:t>
      </w:r>
      <w:r w:rsidRPr="00944B83">
        <w:rPr>
          <w:rFonts w:ascii="Times New Roman" w:hAnsi="Times New Roman"/>
        </w:rPr>
        <w:t xml:space="preserve"> “Increasing Energy Efficiency Through Improvements in Ladle Materials and Practices,” 61</w:t>
      </w:r>
      <w:r w:rsidR="00AB5B9C">
        <w:rPr>
          <w:rFonts w:ascii="Times New Roman" w:hAnsi="Times New Roman"/>
          <w:vertAlign w:val="superscript"/>
        </w:rPr>
        <w:t xml:space="preserve">st </w:t>
      </w:r>
      <w:r w:rsidRPr="00944B83">
        <w:rPr>
          <w:rFonts w:ascii="Times New Roman" w:hAnsi="Times New Roman"/>
        </w:rPr>
        <w:t>SFSA T</w:t>
      </w:r>
      <w:r w:rsidR="00AB5B9C">
        <w:rPr>
          <w:rFonts w:ascii="Times New Roman" w:hAnsi="Times New Roman"/>
        </w:rPr>
        <w:t xml:space="preserve"> </w:t>
      </w:r>
      <w:r w:rsidRPr="00944B83">
        <w:rPr>
          <w:rFonts w:ascii="Times New Roman" w:hAnsi="Times New Roman"/>
        </w:rPr>
        <w:t>&amp;</w:t>
      </w:r>
      <w:r w:rsidR="00AB5B9C">
        <w:rPr>
          <w:rFonts w:ascii="Times New Roman" w:hAnsi="Times New Roman"/>
        </w:rPr>
        <w:t xml:space="preserve"> </w:t>
      </w:r>
      <w:r w:rsidRPr="00944B83">
        <w:rPr>
          <w:rFonts w:ascii="Times New Roman" w:hAnsi="Times New Roman"/>
        </w:rPr>
        <w:t xml:space="preserve">O </w:t>
      </w:r>
      <w:r w:rsidR="00484E67" w:rsidRPr="00944B83">
        <w:rPr>
          <w:rFonts w:ascii="Times New Roman" w:hAnsi="Times New Roman"/>
        </w:rPr>
        <w:t>Conference, Chicago, IL</w:t>
      </w:r>
      <w:r w:rsidRPr="00944B83">
        <w:rPr>
          <w:rFonts w:ascii="Times New Roman" w:hAnsi="Times New Roman"/>
        </w:rPr>
        <w:t xml:space="preserve"> </w:t>
      </w:r>
      <w:r w:rsidR="00484E67" w:rsidRPr="00944B83">
        <w:rPr>
          <w:rFonts w:ascii="Times New Roman" w:hAnsi="Times New Roman"/>
        </w:rPr>
        <w:t>(</w:t>
      </w:r>
      <w:r w:rsidRPr="00944B83">
        <w:rPr>
          <w:rFonts w:ascii="Times New Roman" w:hAnsi="Times New Roman"/>
        </w:rPr>
        <w:t>December 2007</w:t>
      </w:r>
      <w:r w:rsidR="00484E67" w:rsidRPr="00944B83">
        <w:rPr>
          <w:rFonts w:ascii="Times New Roman" w:hAnsi="Times New Roman"/>
        </w:rPr>
        <w:t>)</w:t>
      </w:r>
      <w:r w:rsidRPr="00944B83">
        <w:rPr>
          <w:rFonts w:ascii="Times New Roman" w:hAnsi="Times New Roman"/>
        </w:rPr>
        <w:t>.</w:t>
      </w:r>
    </w:p>
    <w:p w14:paraId="48285580" w14:textId="77777777" w:rsidR="008B326C" w:rsidRPr="00944B83" w:rsidRDefault="008B326C" w:rsidP="008B2A8A">
      <w:pPr>
        <w:numPr>
          <w:ilvl w:val="0"/>
          <w:numId w:val="6"/>
        </w:numPr>
        <w:ind w:left="180" w:hanging="180"/>
        <w:rPr>
          <w:rFonts w:ascii="Times New Roman" w:hAnsi="Times New Roman"/>
        </w:rPr>
      </w:pPr>
      <w:r w:rsidRPr="00944B83">
        <w:rPr>
          <w:rFonts w:ascii="Times New Roman" w:hAnsi="Times New Roman"/>
        </w:rPr>
        <w:t>Peaslee,</w:t>
      </w:r>
      <w:r w:rsidR="00484E67" w:rsidRPr="00944B83">
        <w:rPr>
          <w:rFonts w:ascii="Times New Roman" w:hAnsi="Times New Roman"/>
        </w:rPr>
        <w:t xml:space="preserve"> K.D.,</w:t>
      </w:r>
      <w:r w:rsidRPr="00944B83">
        <w:rPr>
          <w:rFonts w:ascii="Times New Roman" w:hAnsi="Times New Roman"/>
        </w:rPr>
        <w:t xml:space="preserve"> Lekakh,</w:t>
      </w:r>
      <w:r w:rsidR="00484E67" w:rsidRPr="00944B83">
        <w:rPr>
          <w:rFonts w:ascii="Times New Roman" w:hAnsi="Times New Roman"/>
        </w:rPr>
        <w:t xml:space="preserve"> S.,</w:t>
      </w:r>
      <w:r w:rsidRPr="00944B83">
        <w:rPr>
          <w:rFonts w:ascii="Times New Roman" w:hAnsi="Times New Roman"/>
        </w:rPr>
        <w:t xml:space="preserve"> Richards,</w:t>
      </w:r>
      <w:r w:rsidR="00484E67" w:rsidRPr="00944B83">
        <w:rPr>
          <w:rFonts w:ascii="Times New Roman" w:hAnsi="Times New Roman"/>
        </w:rPr>
        <w:t xml:space="preserve"> V.,</w:t>
      </w:r>
      <w:r w:rsidRPr="00944B83">
        <w:rPr>
          <w:rFonts w:ascii="Times New Roman" w:hAnsi="Times New Roman"/>
        </w:rPr>
        <w:t xml:space="preserve"> Sander,</w:t>
      </w:r>
      <w:r w:rsidR="00484E67" w:rsidRPr="00944B83">
        <w:rPr>
          <w:rFonts w:ascii="Times New Roman" w:hAnsi="Times New Roman"/>
        </w:rPr>
        <w:t xml:space="preserve"> T.,</w:t>
      </w:r>
      <w:r w:rsidRPr="00944B83">
        <w:rPr>
          <w:rFonts w:ascii="Times New Roman" w:hAnsi="Times New Roman"/>
        </w:rPr>
        <w:t xml:space="preserve"> </w:t>
      </w:r>
      <w:r w:rsidR="00484E67" w:rsidRPr="00944B83">
        <w:rPr>
          <w:rFonts w:ascii="Times New Roman" w:hAnsi="Times New Roman"/>
        </w:rPr>
        <w:t>Smith, J.,</w:t>
      </w:r>
      <w:r w:rsidRPr="00944B83">
        <w:rPr>
          <w:rFonts w:ascii="Times New Roman" w:hAnsi="Times New Roman"/>
        </w:rPr>
        <w:t xml:space="preserve"> </w:t>
      </w:r>
      <w:proofErr w:type="spellStart"/>
      <w:r w:rsidRPr="00944B83">
        <w:rPr>
          <w:rFonts w:ascii="Times New Roman" w:hAnsi="Times New Roman"/>
        </w:rPr>
        <w:t>Vibhandik</w:t>
      </w:r>
      <w:proofErr w:type="spellEnd"/>
      <w:r w:rsidRPr="00944B83">
        <w:rPr>
          <w:rFonts w:ascii="Times New Roman" w:hAnsi="Times New Roman"/>
        </w:rPr>
        <w:t>,</w:t>
      </w:r>
      <w:r w:rsidR="003C26CD" w:rsidRPr="00944B83">
        <w:rPr>
          <w:rFonts w:ascii="Times New Roman" w:hAnsi="Times New Roman"/>
        </w:rPr>
        <w:t xml:space="preserve"> M., </w:t>
      </w:r>
      <w:r w:rsidRPr="00944B83">
        <w:rPr>
          <w:rFonts w:ascii="Times New Roman" w:hAnsi="Times New Roman"/>
        </w:rPr>
        <w:t xml:space="preserve">“Improving Melting Efficiency Through the Application </w:t>
      </w:r>
      <w:r w:rsidR="003C26CD" w:rsidRPr="00944B83">
        <w:rPr>
          <w:rFonts w:ascii="Times New Roman" w:hAnsi="Times New Roman"/>
        </w:rPr>
        <w:t>of New</w:t>
      </w:r>
      <w:r w:rsidRPr="00944B83">
        <w:rPr>
          <w:rFonts w:ascii="Times New Roman" w:hAnsi="Times New Roman"/>
        </w:rPr>
        <w:t xml:space="preserve"> Refractory Materials,” 60</w:t>
      </w:r>
      <w:r w:rsidRPr="00944B83">
        <w:rPr>
          <w:rFonts w:ascii="Times New Roman" w:hAnsi="Times New Roman"/>
          <w:vertAlign w:val="superscript"/>
        </w:rPr>
        <w:t>th</w:t>
      </w:r>
      <w:r w:rsidRPr="00944B83">
        <w:rPr>
          <w:rFonts w:ascii="Times New Roman" w:hAnsi="Times New Roman"/>
        </w:rPr>
        <w:t xml:space="preserve"> S</w:t>
      </w:r>
      <w:r w:rsidR="003C26CD" w:rsidRPr="00944B83">
        <w:rPr>
          <w:rFonts w:ascii="Times New Roman" w:hAnsi="Times New Roman"/>
        </w:rPr>
        <w:t>FSA T</w:t>
      </w:r>
      <w:r w:rsidR="00944B83">
        <w:rPr>
          <w:rFonts w:ascii="Times New Roman" w:hAnsi="Times New Roman"/>
        </w:rPr>
        <w:t xml:space="preserve"> </w:t>
      </w:r>
      <w:r w:rsidR="00AB5B9C">
        <w:rPr>
          <w:rFonts w:ascii="Times New Roman" w:hAnsi="Times New Roman"/>
        </w:rPr>
        <w:t>&amp;</w:t>
      </w:r>
      <w:r w:rsidR="00944B83">
        <w:rPr>
          <w:rFonts w:ascii="Times New Roman" w:hAnsi="Times New Roman"/>
        </w:rPr>
        <w:t xml:space="preserve"> </w:t>
      </w:r>
      <w:r w:rsidR="003C26CD" w:rsidRPr="00944B83">
        <w:rPr>
          <w:rFonts w:ascii="Times New Roman" w:hAnsi="Times New Roman"/>
        </w:rPr>
        <w:t>O Conference, Chicago, IL</w:t>
      </w:r>
      <w:r w:rsidRPr="00944B83">
        <w:rPr>
          <w:rFonts w:ascii="Times New Roman" w:hAnsi="Times New Roman"/>
        </w:rPr>
        <w:t xml:space="preserve"> </w:t>
      </w:r>
      <w:r w:rsidR="003C26CD" w:rsidRPr="00944B83">
        <w:rPr>
          <w:rFonts w:ascii="Times New Roman" w:hAnsi="Times New Roman"/>
        </w:rPr>
        <w:t>(</w:t>
      </w:r>
      <w:r w:rsidRPr="00944B83">
        <w:rPr>
          <w:rFonts w:ascii="Times New Roman" w:hAnsi="Times New Roman"/>
        </w:rPr>
        <w:t>December 2006</w:t>
      </w:r>
      <w:r w:rsidR="003C26CD" w:rsidRPr="00944B83">
        <w:rPr>
          <w:rFonts w:ascii="Times New Roman" w:hAnsi="Times New Roman"/>
        </w:rPr>
        <w:t>)</w:t>
      </w:r>
      <w:r w:rsidRPr="00944B83">
        <w:rPr>
          <w:rFonts w:ascii="Times New Roman" w:hAnsi="Times New Roman"/>
        </w:rPr>
        <w:t>.</w:t>
      </w:r>
    </w:p>
    <w:p w14:paraId="4E64FBC5" w14:textId="77777777" w:rsidR="008B326C" w:rsidRPr="008B326C" w:rsidRDefault="008B326C" w:rsidP="008B2A8A">
      <w:pPr>
        <w:pStyle w:val="NoSpacing"/>
        <w:numPr>
          <w:ilvl w:val="0"/>
          <w:numId w:val="6"/>
        </w:numPr>
        <w:ind w:left="180" w:hanging="180"/>
        <w:rPr>
          <w:rFonts w:ascii="Times New Roman" w:hAnsi="Times New Roman"/>
          <w:sz w:val="20"/>
          <w:szCs w:val="20"/>
        </w:rPr>
      </w:pPr>
      <w:r w:rsidRPr="008B326C">
        <w:rPr>
          <w:rFonts w:ascii="Times New Roman" w:hAnsi="Times New Roman"/>
          <w:sz w:val="20"/>
          <w:szCs w:val="20"/>
        </w:rPr>
        <w:t>Nasr,</w:t>
      </w:r>
      <w:r w:rsidR="003C26CD" w:rsidRPr="003C26CD">
        <w:rPr>
          <w:rFonts w:ascii="Times New Roman" w:hAnsi="Times New Roman"/>
          <w:sz w:val="20"/>
          <w:szCs w:val="20"/>
        </w:rPr>
        <w:t xml:space="preserve"> </w:t>
      </w:r>
      <w:r w:rsidR="003C26CD" w:rsidRPr="008B326C">
        <w:rPr>
          <w:rFonts w:ascii="Times New Roman" w:hAnsi="Times New Roman"/>
          <w:sz w:val="20"/>
          <w:szCs w:val="20"/>
        </w:rPr>
        <w:t>K.</w:t>
      </w:r>
      <w:r w:rsidR="003C26CD">
        <w:rPr>
          <w:rFonts w:ascii="Times New Roman" w:hAnsi="Times New Roman"/>
          <w:sz w:val="20"/>
          <w:szCs w:val="20"/>
        </w:rPr>
        <w:t>,</w:t>
      </w:r>
      <w:r w:rsidR="003C26CD" w:rsidRPr="008B326C">
        <w:rPr>
          <w:rFonts w:ascii="Times New Roman" w:hAnsi="Times New Roman"/>
          <w:sz w:val="20"/>
          <w:szCs w:val="20"/>
        </w:rPr>
        <w:t xml:space="preserve"> </w:t>
      </w:r>
      <w:proofErr w:type="spellStart"/>
      <w:r w:rsidRPr="008B326C">
        <w:rPr>
          <w:rFonts w:ascii="Times New Roman" w:hAnsi="Times New Roman"/>
          <w:sz w:val="20"/>
          <w:szCs w:val="20"/>
        </w:rPr>
        <w:t>Viskanta</w:t>
      </w:r>
      <w:proofErr w:type="spellEnd"/>
      <w:r w:rsidRPr="008B326C">
        <w:rPr>
          <w:rFonts w:ascii="Times New Roman" w:hAnsi="Times New Roman"/>
          <w:sz w:val="20"/>
          <w:szCs w:val="20"/>
        </w:rPr>
        <w:t xml:space="preserve">, </w:t>
      </w:r>
      <w:r w:rsidR="003C26CD" w:rsidRPr="008B326C">
        <w:rPr>
          <w:rFonts w:ascii="Times New Roman" w:hAnsi="Times New Roman"/>
          <w:sz w:val="20"/>
          <w:szCs w:val="20"/>
        </w:rPr>
        <w:t>R.</w:t>
      </w:r>
      <w:r w:rsidR="003C26CD">
        <w:rPr>
          <w:rFonts w:ascii="Times New Roman" w:hAnsi="Times New Roman"/>
          <w:sz w:val="20"/>
          <w:szCs w:val="20"/>
        </w:rPr>
        <w:t>,</w:t>
      </w:r>
      <w:r w:rsidRPr="008B326C">
        <w:rPr>
          <w:rFonts w:ascii="Times New Roman" w:hAnsi="Times New Roman"/>
          <w:sz w:val="20"/>
          <w:szCs w:val="20"/>
        </w:rPr>
        <w:t xml:space="preserve"> </w:t>
      </w:r>
      <w:proofErr w:type="spellStart"/>
      <w:r w:rsidRPr="008B326C">
        <w:rPr>
          <w:rFonts w:ascii="Times New Roman" w:hAnsi="Times New Roman"/>
          <w:sz w:val="20"/>
          <w:szCs w:val="20"/>
        </w:rPr>
        <w:t>Ramadhyani</w:t>
      </w:r>
      <w:proofErr w:type="spellEnd"/>
      <w:r w:rsidRPr="008B326C">
        <w:rPr>
          <w:rFonts w:ascii="Times New Roman" w:hAnsi="Times New Roman"/>
          <w:sz w:val="20"/>
          <w:szCs w:val="20"/>
        </w:rPr>
        <w:t xml:space="preserve">, </w:t>
      </w:r>
      <w:r w:rsidR="003C26CD" w:rsidRPr="008B326C">
        <w:rPr>
          <w:rFonts w:ascii="Times New Roman" w:hAnsi="Times New Roman"/>
          <w:sz w:val="20"/>
          <w:szCs w:val="20"/>
        </w:rPr>
        <w:t>S.</w:t>
      </w:r>
      <w:r w:rsidR="003C26CD">
        <w:rPr>
          <w:rFonts w:ascii="Times New Roman" w:hAnsi="Times New Roman"/>
          <w:sz w:val="20"/>
          <w:szCs w:val="20"/>
        </w:rPr>
        <w:t>,</w:t>
      </w:r>
      <w:r w:rsidR="00D43004">
        <w:rPr>
          <w:rFonts w:ascii="Times New Roman" w:hAnsi="Times New Roman"/>
          <w:sz w:val="20"/>
          <w:szCs w:val="20"/>
        </w:rPr>
        <w:t xml:space="preserve"> </w:t>
      </w:r>
      <w:r w:rsidRPr="008B326C">
        <w:rPr>
          <w:rFonts w:ascii="Times New Roman" w:hAnsi="Times New Roman"/>
          <w:sz w:val="20"/>
          <w:szCs w:val="20"/>
        </w:rPr>
        <w:t xml:space="preserve">“An Experimental Evaluation of the Effective Thermal Conductivities of Packed Beds at High Temperatures,” </w:t>
      </w:r>
      <w:r w:rsidRPr="00944B83">
        <w:rPr>
          <w:rFonts w:ascii="Times New Roman" w:hAnsi="Times New Roman"/>
          <w:i/>
          <w:sz w:val="20"/>
          <w:szCs w:val="20"/>
        </w:rPr>
        <w:t>Journal of Heat Transfer</w:t>
      </w:r>
      <w:r w:rsidRPr="008B326C">
        <w:rPr>
          <w:rFonts w:ascii="Times New Roman" w:hAnsi="Times New Roman"/>
          <w:sz w:val="20"/>
          <w:szCs w:val="20"/>
        </w:rPr>
        <w:t>, vol. 116 (4), pp. 829</w:t>
      </w:r>
      <w:r w:rsidR="001D6120">
        <w:rPr>
          <w:rFonts w:ascii="Times New Roman" w:hAnsi="Times New Roman"/>
        </w:rPr>
        <w:t>‒</w:t>
      </w:r>
      <w:r w:rsidRPr="008B326C">
        <w:rPr>
          <w:rFonts w:ascii="Times New Roman" w:hAnsi="Times New Roman"/>
          <w:sz w:val="20"/>
          <w:szCs w:val="20"/>
        </w:rPr>
        <w:t xml:space="preserve">838 </w:t>
      </w:r>
      <w:r w:rsidR="003C26CD">
        <w:rPr>
          <w:rFonts w:ascii="Times New Roman" w:hAnsi="Times New Roman"/>
          <w:sz w:val="20"/>
          <w:szCs w:val="20"/>
        </w:rPr>
        <w:t>(</w:t>
      </w:r>
      <w:r w:rsidRPr="008B326C">
        <w:rPr>
          <w:rFonts w:ascii="Times New Roman" w:hAnsi="Times New Roman"/>
          <w:sz w:val="20"/>
          <w:szCs w:val="20"/>
        </w:rPr>
        <w:t>November 1994</w:t>
      </w:r>
      <w:r w:rsidR="003C26CD">
        <w:rPr>
          <w:rFonts w:ascii="Times New Roman" w:hAnsi="Times New Roman"/>
          <w:sz w:val="20"/>
          <w:szCs w:val="20"/>
        </w:rPr>
        <w:t>)</w:t>
      </w:r>
      <w:r w:rsidRPr="008B326C">
        <w:rPr>
          <w:rFonts w:ascii="Times New Roman" w:hAnsi="Times New Roman"/>
          <w:sz w:val="20"/>
          <w:szCs w:val="20"/>
        </w:rPr>
        <w:t>.</w:t>
      </w:r>
    </w:p>
    <w:p w14:paraId="131BA077" w14:textId="77777777" w:rsidR="008B326C" w:rsidRPr="008B326C" w:rsidRDefault="008B326C" w:rsidP="008B2A8A">
      <w:pPr>
        <w:numPr>
          <w:ilvl w:val="0"/>
          <w:numId w:val="6"/>
        </w:numPr>
        <w:autoSpaceDE w:val="0"/>
        <w:autoSpaceDN w:val="0"/>
        <w:adjustRightInd w:val="0"/>
        <w:ind w:left="180" w:hanging="180"/>
        <w:rPr>
          <w:rFonts w:ascii="Times New Roman" w:eastAsia="TimesNewRoman" w:hAnsi="Times New Roman"/>
        </w:rPr>
      </w:pPr>
      <w:r w:rsidRPr="008B326C">
        <w:rPr>
          <w:rFonts w:ascii="Times New Roman" w:hAnsi="Times New Roman"/>
        </w:rPr>
        <w:t xml:space="preserve"> </w:t>
      </w:r>
      <w:r w:rsidRPr="008B326C">
        <w:rPr>
          <w:rFonts w:ascii="Times New Roman" w:eastAsia="TimesNewRoman" w:hAnsi="Times New Roman"/>
        </w:rPr>
        <w:t>Aivazov,</w:t>
      </w:r>
      <w:r w:rsidR="003C26CD">
        <w:rPr>
          <w:rFonts w:ascii="Times New Roman" w:eastAsia="TimesNewRoman" w:hAnsi="Times New Roman"/>
        </w:rPr>
        <w:t xml:space="preserve"> </w:t>
      </w:r>
      <w:r w:rsidR="003C26CD" w:rsidRPr="008B326C">
        <w:rPr>
          <w:rFonts w:ascii="Times New Roman" w:eastAsia="TimesNewRoman" w:hAnsi="Times New Roman"/>
        </w:rPr>
        <w:t>M.I.</w:t>
      </w:r>
      <w:r w:rsidR="003C26CD">
        <w:rPr>
          <w:rFonts w:ascii="Times New Roman" w:eastAsia="TimesNewRoman" w:hAnsi="Times New Roman"/>
        </w:rPr>
        <w:t>,</w:t>
      </w:r>
      <w:r w:rsidR="003C26CD" w:rsidRPr="008B326C">
        <w:rPr>
          <w:rFonts w:ascii="Times New Roman" w:eastAsia="TimesNewRoman" w:hAnsi="Times New Roman"/>
        </w:rPr>
        <w:t xml:space="preserve"> </w:t>
      </w:r>
      <w:proofErr w:type="spellStart"/>
      <w:r w:rsidRPr="008B326C">
        <w:rPr>
          <w:rFonts w:ascii="Times New Roman" w:eastAsia="TimesNewRoman" w:hAnsi="Times New Roman"/>
        </w:rPr>
        <w:t>Domashhev</w:t>
      </w:r>
      <w:proofErr w:type="spellEnd"/>
      <w:r w:rsidRPr="008B326C">
        <w:rPr>
          <w:rFonts w:ascii="Times New Roman" w:eastAsia="TimesNewRoman" w:hAnsi="Times New Roman"/>
        </w:rPr>
        <w:t>,</w:t>
      </w:r>
      <w:r w:rsidR="003C26CD">
        <w:rPr>
          <w:rFonts w:ascii="Times New Roman" w:eastAsia="TimesNewRoman" w:hAnsi="Times New Roman"/>
        </w:rPr>
        <w:t xml:space="preserve"> </w:t>
      </w:r>
      <w:r w:rsidR="003C26CD" w:rsidRPr="008B326C">
        <w:rPr>
          <w:rFonts w:ascii="Times New Roman" w:eastAsia="TimesNewRoman" w:hAnsi="Times New Roman"/>
        </w:rPr>
        <w:t>I.A.</w:t>
      </w:r>
      <w:r w:rsidR="003C26CD">
        <w:rPr>
          <w:rFonts w:ascii="Times New Roman" w:eastAsia="TimesNewRoman" w:hAnsi="Times New Roman"/>
        </w:rPr>
        <w:t>,</w:t>
      </w:r>
      <w:r w:rsidR="00D43004">
        <w:rPr>
          <w:rFonts w:ascii="Times New Roman" w:eastAsia="TimesNewRoman" w:hAnsi="Times New Roman"/>
        </w:rPr>
        <w:t xml:space="preserve"> </w:t>
      </w:r>
      <w:r w:rsidRPr="008B326C">
        <w:rPr>
          <w:rFonts w:ascii="Times New Roman" w:eastAsia="TimesNewRoman" w:hAnsi="Times New Roman"/>
        </w:rPr>
        <w:t xml:space="preserve">“Influence of Porosity on the Conductivity of the </w:t>
      </w:r>
      <w:r w:rsidR="00942D1D" w:rsidRPr="008B326C">
        <w:rPr>
          <w:rFonts w:ascii="Times New Roman" w:eastAsia="TimesNewRoman" w:hAnsi="Times New Roman"/>
        </w:rPr>
        <w:t>Hot-Pressed</w:t>
      </w:r>
      <w:r w:rsidRPr="008B326C">
        <w:rPr>
          <w:rFonts w:ascii="Times New Roman" w:eastAsia="TimesNewRoman" w:hAnsi="Times New Roman"/>
        </w:rPr>
        <w:t xml:space="preserve"> Titanium Nitride Specimens,” </w:t>
      </w:r>
      <w:proofErr w:type="spellStart"/>
      <w:r w:rsidRPr="00042F20">
        <w:rPr>
          <w:rFonts w:ascii="Times New Roman" w:eastAsia="TimesNewRoman" w:hAnsi="Times New Roman"/>
          <w:i/>
        </w:rPr>
        <w:t>Poroshkovaya</w:t>
      </w:r>
      <w:proofErr w:type="spellEnd"/>
      <w:r w:rsidRPr="00042F20">
        <w:rPr>
          <w:rFonts w:ascii="Times New Roman" w:eastAsia="TimesNewRoman" w:hAnsi="Times New Roman"/>
          <w:i/>
        </w:rPr>
        <w:t xml:space="preserve"> </w:t>
      </w:r>
      <w:proofErr w:type="spellStart"/>
      <w:r w:rsidRPr="00042F20">
        <w:rPr>
          <w:rFonts w:ascii="Times New Roman" w:eastAsia="TimesNewRoman" w:hAnsi="Times New Roman"/>
          <w:i/>
        </w:rPr>
        <w:t>Metallurgiya</w:t>
      </w:r>
      <w:proofErr w:type="spellEnd"/>
      <w:r w:rsidRPr="00042F20">
        <w:rPr>
          <w:rFonts w:ascii="Times New Roman" w:eastAsia="TimesNewRoman" w:hAnsi="Times New Roman"/>
          <w:i/>
        </w:rPr>
        <w:t xml:space="preserve"> (Soviet P/M and Metal </w:t>
      </w:r>
      <w:r w:rsidR="003C26CD" w:rsidRPr="00042F20">
        <w:rPr>
          <w:rFonts w:ascii="Times New Roman" w:eastAsia="TimesNewRoman" w:hAnsi="Times New Roman"/>
          <w:i/>
        </w:rPr>
        <w:t>Ceramics)</w:t>
      </w:r>
      <w:r w:rsidR="003C26CD">
        <w:rPr>
          <w:rFonts w:ascii="Times New Roman" w:eastAsia="TimesNewRoman" w:hAnsi="Times New Roman"/>
        </w:rPr>
        <w:t>, vol. 8(9), pp. 51</w:t>
      </w:r>
      <w:r w:rsidR="001D6120">
        <w:rPr>
          <w:rFonts w:ascii="Times New Roman" w:hAnsi="Times New Roman"/>
        </w:rPr>
        <w:t>‒</w:t>
      </w:r>
      <w:r w:rsidR="003C26CD">
        <w:rPr>
          <w:rFonts w:ascii="Times New Roman" w:eastAsia="TimesNewRoman" w:hAnsi="Times New Roman"/>
        </w:rPr>
        <w:t>54</w:t>
      </w:r>
      <w:r w:rsidRPr="008B326C">
        <w:rPr>
          <w:rFonts w:ascii="Times New Roman" w:eastAsia="TimesNewRoman" w:hAnsi="Times New Roman"/>
        </w:rPr>
        <w:t xml:space="preserve"> </w:t>
      </w:r>
      <w:r w:rsidR="003C26CD">
        <w:rPr>
          <w:rFonts w:ascii="Times New Roman" w:eastAsia="TimesNewRoman" w:hAnsi="Times New Roman"/>
        </w:rPr>
        <w:t>(</w:t>
      </w:r>
      <w:r w:rsidRPr="008B326C">
        <w:rPr>
          <w:rFonts w:ascii="Times New Roman" w:eastAsia="TimesNewRoman" w:hAnsi="Times New Roman"/>
        </w:rPr>
        <w:t>1968</w:t>
      </w:r>
      <w:r w:rsidR="003C26CD">
        <w:rPr>
          <w:rFonts w:ascii="Times New Roman" w:eastAsia="TimesNewRoman" w:hAnsi="Times New Roman"/>
        </w:rPr>
        <w:t>)</w:t>
      </w:r>
      <w:r w:rsidRPr="008B326C">
        <w:rPr>
          <w:rFonts w:ascii="Times New Roman" w:eastAsia="TimesNewRoman" w:hAnsi="Times New Roman"/>
        </w:rPr>
        <w:t>.</w:t>
      </w:r>
    </w:p>
    <w:p w14:paraId="25E7BE4A" w14:textId="77777777" w:rsidR="001E4CF1" w:rsidRDefault="008B326C" w:rsidP="008B2A8A">
      <w:pPr>
        <w:numPr>
          <w:ilvl w:val="0"/>
          <w:numId w:val="6"/>
        </w:numPr>
        <w:ind w:left="180" w:hanging="180"/>
        <w:rPr>
          <w:rFonts w:ascii="Times New Roman" w:hAnsi="Times New Roman"/>
        </w:rPr>
      </w:pPr>
      <w:r w:rsidRPr="008B326C">
        <w:rPr>
          <w:rFonts w:ascii="Times New Roman" w:hAnsi="Times New Roman"/>
        </w:rPr>
        <w:t xml:space="preserve"> Lee,</w:t>
      </w:r>
      <w:r w:rsidR="003C26CD" w:rsidRPr="003C26CD">
        <w:rPr>
          <w:rFonts w:ascii="Times New Roman" w:hAnsi="Times New Roman"/>
        </w:rPr>
        <w:t xml:space="preserve"> </w:t>
      </w:r>
      <w:r w:rsidR="003C26CD" w:rsidRPr="008B326C">
        <w:rPr>
          <w:rFonts w:ascii="Times New Roman" w:hAnsi="Times New Roman"/>
        </w:rPr>
        <w:t>W.E.</w:t>
      </w:r>
      <w:r w:rsidR="003C26CD">
        <w:rPr>
          <w:rFonts w:ascii="Times New Roman" w:hAnsi="Times New Roman"/>
        </w:rPr>
        <w:t>,</w:t>
      </w:r>
      <w:r w:rsidRPr="008B326C">
        <w:rPr>
          <w:rFonts w:ascii="Times New Roman" w:hAnsi="Times New Roman"/>
        </w:rPr>
        <w:t xml:space="preserve"> Zhang,</w:t>
      </w:r>
      <w:r w:rsidR="003C26CD" w:rsidRPr="008B326C">
        <w:rPr>
          <w:rFonts w:ascii="Times New Roman" w:hAnsi="Times New Roman"/>
        </w:rPr>
        <w:t xml:space="preserve"> S.</w:t>
      </w:r>
      <w:r w:rsidR="003C26CD">
        <w:rPr>
          <w:rFonts w:ascii="Times New Roman" w:hAnsi="Times New Roman"/>
        </w:rPr>
        <w:t>,</w:t>
      </w:r>
      <w:r w:rsidRPr="008B326C">
        <w:rPr>
          <w:rFonts w:ascii="Times New Roman" w:hAnsi="Times New Roman"/>
        </w:rPr>
        <w:t xml:space="preserve"> “Melt Corrosion of Oxide and Oxide-Carbon Refractories,” </w:t>
      </w:r>
      <w:r w:rsidRPr="00042F20">
        <w:rPr>
          <w:rFonts w:ascii="Times New Roman" w:hAnsi="Times New Roman"/>
          <w:i/>
        </w:rPr>
        <w:t xml:space="preserve">International Materials Review, </w:t>
      </w:r>
      <w:r w:rsidRPr="00042F20">
        <w:rPr>
          <w:rFonts w:ascii="Times New Roman" w:hAnsi="Times New Roman"/>
        </w:rPr>
        <w:t>vol. 44(</w:t>
      </w:r>
      <w:r w:rsidRPr="008B326C">
        <w:rPr>
          <w:rFonts w:ascii="Times New Roman" w:hAnsi="Times New Roman"/>
        </w:rPr>
        <w:t xml:space="preserve">3), </w:t>
      </w:r>
      <w:r w:rsidR="008218E6">
        <w:rPr>
          <w:rFonts w:ascii="Times New Roman" w:eastAsia="TimesNewRoman" w:hAnsi="Times New Roman"/>
        </w:rPr>
        <w:t>pp.</w:t>
      </w:r>
      <w:r w:rsidRPr="008B326C">
        <w:rPr>
          <w:rFonts w:ascii="Times New Roman" w:hAnsi="Times New Roman"/>
        </w:rPr>
        <w:t xml:space="preserve"> 77</w:t>
      </w:r>
      <w:r w:rsidR="001D6120">
        <w:rPr>
          <w:rFonts w:ascii="Times New Roman" w:hAnsi="Times New Roman"/>
        </w:rPr>
        <w:t>‒</w:t>
      </w:r>
      <w:r w:rsidRPr="008B326C">
        <w:rPr>
          <w:rFonts w:ascii="Times New Roman" w:hAnsi="Times New Roman"/>
        </w:rPr>
        <w:t xml:space="preserve">105 </w:t>
      </w:r>
      <w:r w:rsidR="00484E67">
        <w:rPr>
          <w:rFonts w:ascii="Times New Roman" w:hAnsi="Times New Roman"/>
        </w:rPr>
        <w:t>(</w:t>
      </w:r>
      <w:r w:rsidRPr="008B326C">
        <w:rPr>
          <w:rFonts w:ascii="Times New Roman" w:hAnsi="Times New Roman"/>
        </w:rPr>
        <w:t>1999</w:t>
      </w:r>
      <w:r w:rsidR="00484E67">
        <w:rPr>
          <w:rFonts w:ascii="Times New Roman" w:hAnsi="Times New Roman"/>
        </w:rPr>
        <w:t>)</w:t>
      </w:r>
      <w:r w:rsidRPr="008B326C">
        <w:rPr>
          <w:rFonts w:ascii="Times New Roman" w:hAnsi="Times New Roman"/>
        </w:rPr>
        <w:t>.</w:t>
      </w:r>
    </w:p>
    <w:p w14:paraId="467BD42E" w14:textId="77777777" w:rsidR="008218E6" w:rsidRPr="002F0A57" w:rsidRDefault="008218E6" w:rsidP="008218E6">
      <w:pPr>
        <w:rPr>
          <w:rFonts w:ascii="Times New Roman" w:hAnsi="Times New Roman"/>
        </w:rPr>
      </w:pPr>
    </w:p>
    <w:sectPr w:rsidR="008218E6" w:rsidRPr="002F0A57" w:rsidSect="001E4CF1">
      <w:type w:val="continuous"/>
      <w:pgSz w:w="12240" w:h="15840"/>
      <w:pgMar w:top="1080" w:right="1080" w:bottom="1080" w:left="1080" w:header="720" w:footer="720" w:gutter="0"/>
      <w:cols w:num="2" w:space="720" w:equalWidth="0">
        <w:col w:w="4680" w:space="720"/>
        <w:col w:w="4680" w:space="7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B90E7" w14:textId="77777777" w:rsidR="00DF57E6" w:rsidRDefault="00DF57E6">
      <w:r>
        <w:separator/>
      </w:r>
    </w:p>
  </w:endnote>
  <w:endnote w:type="continuationSeparator" w:id="0">
    <w:p w14:paraId="3845D3E1" w14:textId="77777777" w:rsidR="00DF57E6" w:rsidRDefault="00DF5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
    <w:altName w:val="MS PMincho"/>
    <w:panose1 w:val="00000000000000000000"/>
    <w:charset w:val="80"/>
    <w:family w:val="auto"/>
    <w:notTrueType/>
    <w:pitch w:val="default"/>
    <w:sig w:usb0="00000000" w:usb1="08070000" w:usb2="00000010" w:usb3="00000000" w:csb0="0002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BBBCC" w14:textId="32E58F85" w:rsidR="00D45AC8" w:rsidRPr="00D45AC8" w:rsidRDefault="00D45AC8">
    <w:pPr>
      <w:pStyle w:val="Footer"/>
      <w:rPr>
        <w:rFonts w:ascii="Arial" w:hAnsi="Arial" w:cs="Arial"/>
        <w:sz w:val="16"/>
        <w:szCs w:val="16"/>
      </w:rPr>
    </w:pPr>
    <w:r>
      <w:rPr>
        <w:rFonts w:ascii="Arial" w:hAnsi="Arial" w:cs="Arial"/>
        <w:sz w:val="16"/>
        <w:szCs w:val="16"/>
      </w:rPr>
      <w:tab/>
    </w:r>
    <w:r>
      <w:rPr>
        <w:rFonts w:ascii="Arial" w:hAnsi="Arial" w:cs="Arial"/>
        <w:sz w:val="16"/>
        <w:szCs w:val="16"/>
      </w:rPr>
      <w:tab/>
    </w:r>
    <w:r w:rsidRPr="00D45AC8">
      <w:rPr>
        <w:rFonts w:ascii="Arial" w:hAnsi="Arial" w:cs="Arial"/>
        <w:sz w:val="16"/>
        <w:szCs w:val="16"/>
      </w:rPr>
      <w:t>5-21-2024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F7A18" w14:textId="77777777" w:rsidR="00DF57E6" w:rsidRDefault="00DF57E6">
      <w:r>
        <w:separator/>
      </w:r>
    </w:p>
  </w:footnote>
  <w:footnote w:type="continuationSeparator" w:id="0">
    <w:p w14:paraId="34DF8544" w14:textId="77777777" w:rsidR="00DF57E6" w:rsidRDefault="00DF5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DCFE3" w14:textId="77777777" w:rsidR="006969ED" w:rsidRPr="002F0A57" w:rsidRDefault="006969ED" w:rsidP="006969ED">
    <w:pPr>
      <w:rPr>
        <w:rFonts w:ascii="Times New Roman" w:hAnsi="Times New Roman"/>
        <w:sz w:val="16"/>
        <w:szCs w:val="16"/>
      </w:rPr>
    </w:pPr>
    <w:r w:rsidRPr="00F47D27">
      <w:rPr>
        <w:rFonts w:ascii="Times New Roman" w:hAnsi="Times New Roman"/>
        <w:sz w:val="16"/>
        <w:szCs w:val="16"/>
      </w:rPr>
      <w:t>This sample is based on an actual paper that was submit</w:t>
    </w:r>
    <w:r w:rsidR="00942D1D" w:rsidRPr="00F47D27">
      <w:rPr>
        <w:rFonts w:ascii="Times New Roman" w:hAnsi="Times New Roman"/>
        <w:sz w:val="16"/>
        <w:szCs w:val="16"/>
      </w:rPr>
      <w:t>ted in 2013.</w:t>
    </w:r>
    <w:r w:rsidR="002F0A57" w:rsidRPr="00F47D27">
      <w:rPr>
        <w:rFonts w:ascii="Times New Roman" w:hAnsi="Times New Roman"/>
        <w:sz w:val="16"/>
        <w:szCs w:val="16"/>
      </w:rPr>
      <w:t xml:space="preserve"> It </w:t>
    </w:r>
    <w:r w:rsidRPr="00F47D27">
      <w:rPr>
        <w:rFonts w:ascii="Times New Roman" w:hAnsi="Times New Roman"/>
        <w:sz w:val="16"/>
        <w:szCs w:val="16"/>
      </w:rPr>
      <w:t>contains the elements that reflect how you should style your paper when submitting it for the</w:t>
    </w:r>
    <w:r w:rsidRPr="00F47D27">
      <w:rPr>
        <w:rFonts w:ascii="Times New Roman" w:hAnsi="Times New Roman"/>
        <w:strike/>
        <w:sz w:val="16"/>
        <w:szCs w:val="16"/>
      </w:rPr>
      <w:t xml:space="preserve"> </w:t>
    </w:r>
    <w:r w:rsidR="00B53665" w:rsidRPr="00F47D27">
      <w:rPr>
        <w:rFonts w:ascii="Times New Roman" w:hAnsi="Times New Roman"/>
        <w:sz w:val="16"/>
        <w:szCs w:val="16"/>
      </w:rPr>
      <w:t>202</w:t>
    </w:r>
    <w:r w:rsidR="00392654">
      <w:rPr>
        <w:rFonts w:ascii="Times New Roman" w:hAnsi="Times New Roman"/>
        <w:sz w:val="16"/>
        <w:szCs w:val="16"/>
      </w:rPr>
      <w:t>4</w:t>
    </w:r>
    <w:r w:rsidR="0050225E" w:rsidRPr="00F47D27">
      <w:rPr>
        <w:rFonts w:ascii="Times New Roman" w:hAnsi="Times New Roman"/>
        <w:sz w:val="16"/>
        <w:szCs w:val="16"/>
      </w:rPr>
      <w:t xml:space="preserve"> </w:t>
    </w:r>
    <w:r w:rsidR="008D2241" w:rsidRPr="00F47D27">
      <w:rPr>
        <w:rFonts w:ascii="Times New Roman" w:hAnsi="Times New Roman"/>
        <w:sz w:val="16"/>
        <w:szCs w:val="16"/>
      </w:rPr>
      <w:t>AFS</w:t>
    </w:r>
    <w:r w:rsidRPr="00F47D27">
      <w:rPr>
        <w:rFonts w:ascii="Times New Roman" w:hAnsi="Times New Roman"/>
        <w:sz w:val="16"/>
        <w:szCs w:val="16"/>
      </w:rPr>
      <w:t xml:space="preserve"> Metalcasting Congress</w:t>
    </w:r>
    <w:r w:rsidR="00203551" w:rsidRPr="00F47D27">
      <w:rPr>
        <w:rFonts w:ascii="Times New Roman" w:hAnsi="Times New Roman"/>
        <w:sz w:val="16"/>
        <w:szCs w:val="16"/>
      </w:rPr>
      <w:t xml:space="preserve">; therefore, it should </w:t>
    </w:r>
    <w:r w:rsidR="00203551" w:rsidRPr="00F47D27">
      <w:rPr>
        <w:rFonts w:ascii="Times New Roman" w:hAnsi="Times New Roman"/>
        <w:sz w:val="16"/>
        <w:szCs w:val="16"/>
        <w:u w:val="single"/>
      </w:rPr>
      <w:t>not</w:t>
    </w:r>
    <w:r w:rsidR="00203551" w:rsidRPr="00F47D27">
      <w:rPr>
        <w:rFonts w:ascii="Times New Roman" w:hAnsi="Times New Roman"/>
        <w:sz w:val="16"/>
        <w:szCs w:val="16"/>
      </w:rPr>
      <w:t xml:space="preserve"> be judged as a complete paper</w:t>
    </w:r>
    <w:r w:rsidRPr="00F47D27">
      <w:rPr>
        <w:rFonts w:ascii="Times New Roman" w:hAnsi="Times New Roman"/>
        <w:sz w:val="16"/>
        <w:szCs w:val="16"/>
      </w:rPr>
      <w:t>.</w:t>
    </w:r>
    <w:r w:rsidR="00203551" w:rsidRPr="00F47D27">
      <w:rPr>
        <w:rFonts w:ascii="Times New Roman" w:hAnsi="Times New Roman"/>
        <w:sz w:val="16"/>
        <w:szCs w:val="16"/>
      </w:rPr>
      <w:t xml:space="preserve"> </w:t>
    </w:r>
    <w:r w:rsidRPr="00F47D27">
      <w:rPr>
        <w:rFonts w:ascii="Times New Roman" w:hAnsi="Times New Roman"/>
        <w:sz w:val="16"/>
        <w:szCs w:val="16"/>
      </w:rPr>
      <w:t xml:space="preserve">You can use this paper as a template or follow the guidelines available through the Congress website, </w:t>
    </w:r>
    <w:hyperlink r:id="rId1" w:history="1">
      <w:r w:rsidRPr="00F47D27">
        <w:rPr>
          <w:rStyle w:val="Hyperlink"/>
          <w:rFonts w:ascii="Times New Roman" w:hAnsi="Times New Roman"/>
          <w:sz w:val="16"/>
          <w:szCs w:val="16"/>
        </w:rPr>
        <w:t>www.metalcastingcongress.org</w:t>
      </w:r>
    </w:hyperlink>
    <w:r w:rsidR="00BB28D0" w:rsidRPr="00F47D27">
      <w:rPr>
        <w:rFonts w:ascii="Times New Roman" w:hAnsi="Times New Roman"/>
        <w:sz w:val="16"/>
        <w:szCs w:val="16"/>
      </w:rPr>
      <w:t xml:space="preserve">. If you use this </w:t>
    </w:r>
    <w:r w:rsidR="008D2241" w:rsidRPr="00F47D27">
      <w:rPr>
        <w:rFonts w:ascii="Times New Roman" w:hAnsi="Times New Roman"/>
        <w:sz w:val="16"/>
        <w:szCs w:val="16"/>
      </w:rPr>
      <w:t>S</w:t>
    </w:r>
    <w:r w:rsidR="00BB28D0" w:rsidRPr="00F47D27">
      <w:rPr>
        <w:rFonts w:ascii="Times New Roman" w:hAnsi="Times New Roman"/>
        <w:sz w:val="16"/>
        <w:szCs w:val="16"/>
      </w:rPr>
      <w:t xml:space="preserve">ample </w:t>
    </w:r>
    <w:r w:rsidR="008D2241" w:rsidRPr="00F47D27">
      <w:rPr>
        <w:rFonts w:ascii="Times New Roman" w:hAnsi="Times New Roman"/>
        <w:sz w:val="16"/>
        <w:szCs w:val="16"/>
      </w:rPr>
      <w:t>P</w:t>
    </w:r>
    <w:r w:rsidR="00BB28D0" w:rsidRPr="00F47D27">
      <w:rPr>
        <w:rFonts w:ascii="Times New Roman" w:hAnsi="Times New Roman"/>
        <w:sz w:val="16"/>
        <w:szCs w:val="16"/>
      </w:rPr>
      <w:t>aper, remove th</w:t>
    </w:r>
    <w:r w:rsidR="008D2241" w:rsidRPr="00F47D27">
      <w:rPr>
        <w:rFonts w:ascii="Times New Roman" w:hAnsi="Times New Roman"/>
        <w:sz w:val="16"/>
        <w:szCs w:val="16"/>
      </w:rPr>
      <w:t>is</w:t>
    </w:r>
    <w:r w:rsidR="00BB28D0" w:rsidRPr="00F47D27">
      <w:rPr>
        <w:rFonts w:ascii="Times New Roman" w:hAnsi="Times New Roman"/>
        <w:sz w:val="16"/>
        <w:szCs w:val="16"/>
      </w:rPr>
      <w:t xml:space="preserve"> header.</w:t>
    </w:r>
  </w:p>
  <w:p w14:paraId="2AECF7D4" w14:textId="77777777" w:rsidR="00185835" w:rsidRPr="006969ED" w:rsidRDefault="00185835" w:rsidP="006969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B2469"/>
    <w:multiLevelType w:val="hybridMultilevel"/>
    <w:tmpl w:val="2CFE5E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7913C0"/>
    <w:multiLevelType w:val="singleLevel"/>
    <w:tmpl w:val="D79E424A"/>
    <w:lvl w:ilvl="0">
      <w:start w:val="1"/>
      <w:numFmt w:val="decimal"/>
      <w:pStyle w:val="OrdList"/>
      <w:lvlText w:val="%1."/>
      <w:lvlJc w:val="left"/>
      <w:pPr>
        <w:tabs>
          <w:tab w:val="num" w:pos="360"/>
        </w:tabs>
        <w:ind w:left="360" w:hanging="360"/>
      </w:pPr>
    </w:lvl>
  </w:abstractNum>
  <w:abstractNum w:abstractNumId="2" w15:restartNumberingAfterBreak="0">
    <w:nsid w:val="0CCB6FE1"/>
    <w:multiLevelType w:val="hybridMultilevel"/>
    <w:tmpl w:val="AF2A921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D663E29"/>
    <w:multiLevelType w:val="hybridMultilevel"/>
    <w:tmpl w:val="5BE8508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2404B5B"/>
    <w:multiLevelType w:val="hybridMultilevel"/>
    <w:tmpl w:val="33FE0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7641B"/>
    <w:multiLevelType w:val="hybridMultilevel"/>
    <w:tmpl w:val="5B4E5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11AF5"/>
    <w:multiLevelType w:val="hybridMultilevel"/>
    <w:tmpl w:val="9FB8059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3FE1619A"/>
    <w:multiLevelType w:val="hybridMultilevel"/>
    <w:tmpl w:val="2F30D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661EA"/>
    <w:multiLevelType w:val="singleLevel"/>
    <w:tmpl w:val="FA262B3E"/>
    <w:lvl w:ilvl="0">
      <w:start w:val="1"/>
      <w:numFmt w:val="bullet"/>
      <w:pStyle w:val="UnordList"/>
      <w:lvlText w:val=""/>
      <w:lvlJc w:val="left"/>
      <w:pPr>
        <w:tabs>
          <w:tab w:val="num" w:pos="360"/>
        </w:tabs>
        <w:ind w:left="360" w:hanging="360"/>
      </w:pPr>
      <w:rPr>
        <w:rFonts w:ascii="Symbol" w:hAnsi="Symbol" w:hint="default"/>
      </w:rPr>
    </w:lvl>
  </w:abstractNum>
  <w:abstractNum w:abstractNumId="9" w15:restartNumberingAfterBreak="0">
    <w:nsid w:val="461C5672"/>
    <w:multiLevelType w:val="hybridMultilevel"/>
    <w:tmpl w:val="664CE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88773B"/>
    <w:multiLevelType w:val="hybridMultilevel"/>
    <w:tmpl w:val="E188A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1C061F"/>
    <w:multiLevelType w:val="hybridMultilevel"/>
    <w:tmpl w:val="2A9CF9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7F86DEF"/>
    <w:multiLevelType w:val="hybridMultilevel"/>
    <w:tmpl w:val="79949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ED6C50"/>
    <w:multiLevelType w:val="hybridMultilevel"/>
    <w:tmpl w:val="F7700FF4"/>
    <w:lvl w:ilvl="0" w:tplc="0FFCAD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2087801830">
    <w:abstractNumId w:val="8"/>
  </w:num>
  <w:num w:numId="2" w16cid:durableId="1476725852">
    <w:abstractNumId w:val="1"/>
  </w:num>
  <w:num w:numId="3" w16cid:durableId="1356230337">
    <w:abstractNumId w:val="1"/>
    <w:lvlOverride w:ilvl="0">
      <w:startOverride w:val="1"/>
    </w:lvlOverride>
  </w:num>
  <w:num w:numId="4" w16cid:durableId="544876191">
    <w:abstractNumId w:val="3"/>
  </w:num>
  <w:num w:numId="5" w16cid:durableId="1361010647">
    <w:abstractNumId w:val="11"/>
  </w:num>
  <w:num w:numId="6" w16cid:durableId="272833463">
    <w:abstractNumId w:val="9"/>
  </w:num>
  <w:num w:numId="7" w16cid:durableId="1397756">
    <w:abstractNumId w:val="4"/>
  </w:num>
  <w:num w:numId="8" w16cid:durableId="1031541210">
    <w:abstractNumId w:val="12"/>
  </w:num>
  <w:num w:numId="9" w16cid:durableId="2044596548">
    <w:abstractNumId w:val="7"/>
  </w:num>
  <w:num w:numId="10" w16cid:durableId="7683777">
    <w:abstractNumId w:val="10"/>
  </w:num>
  <w:num w:numId="11" w16cid:durableId="1010058685">
    <w:abstractNumId w:val="5"/>
  </w:num>
  <w:num w:numId="12" w16cid:durableId="352464825">
    <w:abstractNumId w:val="0"/>
  </w:num>
  <w:num w:numId="13" w16cid:durableId="392122440">
    <w:abstractNumId w:val="2"/>
  </w:num>
  <w:num w:numId="14" w16cid:durableId="666060755">
    <w:abstractNumId w:val="13"/>
  </w:num>
  <w:num w:numId="15" w16cid:durableId="8313325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56"/>
    <w:rsid w:val="0000042C"/>
    <w:rsid w:val="0000158C"/>
    <w:rsid w:val="00002056"/>
    <w:rsid w:val="0000316C"/>
    <w:rsid w:val="00003323"/>
    <w:rsid w:val="00005277"/>
    <w:rsid w:val="0001046B"/>
    <w:rsid w:val="0001130C"/>
    <w:rsid w:val="000131D8"/>
    <w:rsid w:val="00016D04"/>
    <w:rsid w:val="000245BA"/>
    <w:rsid w:val="0003130F"/>
    <w:rsid w:val="00031491"/>
    <w:rsid w:val="00032118"/>
    <w:rsid w:val="00032159"/>
    <w:rsid w:val="00034EA9"/>
    <w:rsid w:val="00042F20"/>
    <w:rsid w:val="000433A3"/>
    <w:rsid w:val="000449A2"/>
    <w:rsid w:val="00050EA4"/>
    <w:rsid w:val="000523B6"/>
    <w:rsid w:val="00052D0A"/>
    <w:rsid w:val="00054DA5"/>
    <w:rsid w:val="000555D7"/>
    <w:rsid w:val="00064D10"/>
    <w:rsid w:val="00066395"/>
    <w:rsid w:val="00067ED7"/>
    <w:rsid w:val="00070AA8"/>
    <w:rsid w:val="000746C9"/>
    <w:rsid w:val="00074ACA"/>
    <w:rsid w:val="00083832"/>
    <w:rsid w:val="00083B45"/>
    <w:rsid w:val="00083BDE"/>
    <w:rsid w:val="00083DAC"/>
    <w:rsid w:val="000844F2"/>
    <w:rsid w:val="00085C0D"/>
    <w:rsid w:val="00085D62"/>
    <w:rsid w:val="00086A9B"/>
    <w:rsid w:val="000876F7"/>
    <w:rsid w:val="0009089C"/>
    <w:rsid w:val="00095918"/>
    <w:rsid w:val="000A06E1"/>
    <w:rsid w:val="000A6B1A"/>
    <w:rsid w:val="000A7039"/>
    <w:rsid w:val="000B5336"/>
    <w:rsid w:val="000B72FD"/>
    <w:rsid w:val="000C0151"/>
    <w:rsid w:val="000C2F26"/>
    <w:rsid w:val="000C364D"/>
    <w:rsid w:val="000C6A16"/>
    <w:rsid w:val="000D0101"/>
    <w:rsid w:val="000D02B9"/>
    <w:rsid w:val="000D02BC"/>
    <w:rsid w:val="000D1F88"/>
    <w:rsid w:val="000D44B0"/>
    <w:rsid w:val="000D6199"/>
    <w:rsid w:val="000D7794"/>
    <w:rsid w:val="000E1CF5"/>
    <w:rsid w:val="000E4D70"/>
    <w:rsid w:val="000E687C"/>
    <w:rsid w:val="000F3E08"/>
    <w:rsid w:val="000F4808"/>
    <w:rsid w:val="000F7660"/>
    <w:rsid w:val="00100582"/>
    <w:rsid w:val="00102125"/>
    <w:rsid w:val="0010716A"/>
    <w:rsid w:val="0011124E"/>
    <w:rsid w:val="00111C52"/>
    <w:rsid w:val="00111D05"/>
    <w:rsid w:val="0011227C"/>
    <w:rsid w:val="00113444"/>
    <w:rsid w:val="0011542B"/>
    <w:rsid w:val="0011622F"/>
    <w:rsid w:val="00122594"/>
    <w:rsid w:val="00126E0B"/>
    <w:rsid w:val="00135FAB"/>
    <w:rsid w:val="00140D20"/>
    <w:rsid w:val="00144542"/>
    <w:rsid w:val="00146580"/>
    <w:rsid w:val="00147009"/>
    <w:rsid w:val="00160254"/>
    <w:rsid w:val="0016328E"/>
    <w:rsid w:val="001632B4"/>
    <w:rsid w:val="00165872"/>
    <w:rsid w:val="00167571"/>
    <w:rsid w:val="001747BC"/>
    <w:rsid w:val="00185428"/>
    <w:rsid w:val="00185835"/>
    <w:rsid w:val="001866E7"/>
    <w:rsid w:val="00186FF1"/>
    <w:rsid w:val="0018732D"/>
    <w:rsid w:val="0019503A"/>
    <w:rsid w:val="00197F7A"/>
    <w:rsid w:val="001A15AD"/>
    <w:rsid w:val="001A1EE7"/>
    <w:rsid w:val="001A2B03"/>
    <w:rsid w:val="001A5401"/>
    <w:rsid w:val="001A637C"/>
    <w:rsid w:val="001A688C"/>
    <w:rsid w:val="001A774A"/>
    <w:rsid w:val="001B130D"/>
    <w:rsid w:val="001B62B5"/>
    <w:rsid w:val="001B6F6B"/>
    <w:rsid w:val="001B76AA"/>
    <w:rsid w:val="001C197B"/>
    <w:rsid w:val="001C1F81"/>
    <w:rsid w:val="001C37D2"/>
    <w:rsid w:val="001C5234"/>
    <w:rsid w:val="001D1B54"/>
    <w:rsid w:val="001D4730"/>
    <w:rsid w:val="001D6120"/>
    <w:rsid w:val="001D6C70"/>
    <w:rsid w:val="001D74C0"/>
    <w:rsid w:val="001E2150"/>
    <w:rsid w:val="001E2A48"/>
    <w:rsid w:val="001E3291"/>
    <w:rsid w:val="001E4CF1"/>
    <w:rsid w:val="001E616F"/>
    <w:rsid w:val="001E7104"/>
    <w:rsid w:val="001F0042"/>
    <w:rsid w:val="001F1721"/>
    <w:rsid w:val="001F209E"/>
    <w:rsid w:val="001F2A9C"/>
    <w:rsid w:val="001F4108"/>
    <w:rsid w:val="001F41B2"/>
    <w:rsid w:val="001F4947"/>
    <w:rsid w:val="001F5EF1"/>
    <w:rsid w:val="001F677E"/>
    <w:rsid w:val="001F7160"/>
    <w:rsid w:val="001F7559"/>
    <w:rsid w:val="00200233"/>
    <w:rsid w:val="00201B70"/>
    <w:rsid w:val="00201CB7"/>
    <w:rsid w:val="00202672"/>
    <w:rsid w:val="002033F9"/>
    <w:rsid w:val="00203413"/>
    <w:rsid w:val="00203551"/>
    <w:rsid w:val="00203FFF"/>
    <w:rsid w:val="002042B0"/>
    <w:rsid w:val="00204FCD"/>
    <w:rsid w:val="00213F9C"/>
    <w:rsid w:val="0021499C"/>
    <w:rsid w:val="00217ED6"/>
    <w:rsid w:val="00222CC9"/>
    <w:rsid w:val="002234B1"/>
    <w:rsid w:val="002259AE"/>
    <w:rsid w:val="00225B56"/>
    <w:rsid w:val="0023032C"/>
    <w:rsid w:val="0023303F"/>
    <w:rsid w:val="00235299"/>
    <w:rsid w:val="00241F52"/>
    <w:rsid w:val="00242A97"/>
    <w:rsid w:val="0024311E"/>
    <w:rsid w:val="0025211D"/>
    <w:rsid w:val="00255134"/>
    <w:rsid w:val="00257E9F"/>
    <w:rsid w:val="00261737"/>
    <w:rsid w:val="00262883"/>
    <w:rsid w:val="00262EB1"/>
    <w:rsid w:val="00264463"/>
    <w:rsid w:val="00266FB6"/>
    <w:rsid w:val="002717C0"/>
    <w:rsid w:val="0027275B"/>
    <w:rsid w:val="00274B7F"/>
    <w:rsid w:val="0027699B"/>
    <w:rsid w:val="00277F85"/>
    <w:rsid w:val="0028048E"/>
    <w:rsid w:val="00281C5C"/>
    <w:rsid w:val="00285713"/>
    <w:rsid w:val="0029429D"/>
    <w:rsid w:val="002956BA"/>
    <w:rsid w:val="002959FE"/>
    <w:rsid w:val="00297D6B"/>
    <w:rsid w:val="002A1747"/>
    <w:rsid w:val="002A2335"/>
    <w:rsid w:val="002A25D0"/>
    <w:rsid w:val="002B073D"/>
    <w:rsid w:val="002B3FA8"/>
    <w:rsid w:val="002B4A32"/>
    <w:rsid w:val="002B66E0"/>
    <w:rsid w:val="002C089D"/>
    <w:rsid w:val="002C1592"/>
    <w:rsid w:val="002C2A6C"/>
    <w:rsid w:val="002C33CA"/>
    <w:rsid w:val="002C351D"/>
    <w:rsid w:val="002C4EE3"/>
    <w:rsid w:val="002C6EC6"/>
    <w:rsid w:val="002D0D41"/>
    <w:rsid w:val="002D1C14"/>
    <w:rsid w:val="002D2204"/>
    <w:rsid w:val="002D2CAE"/>
    <w:rsid w:val="002E1222"/>
    <w:rsid w:val="002E1709"/>
    <w:rsid w:val="002E30E3"/>
    <w:rsid w:val="002E7FF3"/>
    <w:rsid w:val="002F0A57"/>
    <w:rsid w:val="002F10BA"/>
    <w:rsid w:val="002F3514"/>
    <w:rsid w:val="002F5BAD"/>
    <w:rsid w:val="002F5E6D"/>
    <w:rsid w:val="002F647B"/>
    <w:rsid w:val="002F79B0"/>
    <w:rsid w:val="003020EB"/>
    <w:rsid w:val="003030BA"/>
    <w:rsid w:val="0030347C"/>
    <w:rsid w:val="00304E37"/>
    <w:rsid w:val="00304E8B"/>
    <w:rsid w:val="00305FB2"/>
    <w:rsid w:val="00306B8F"/>
    <w:rsid w:val="00310413"/>
    <w:rsid w:val="00310CF2"/>
    <w:rsid w:val="00310DF5"/>
    <w:rsid w:val="003119F3"/>
    <w:rsid w:val="00314162"/>
    <w:rsid w:val="00322469"/>
    <w:rsid w:val="00322A98"/>
    <w:rsid w:val="00327C2C"/>
    <w:rsid w:val="00331DFC"/>
    <w:rsid w:val="003320F4"/>
    <w:rsid w:val="00334C8A"/>
    <w:rsid w:val="00337B38"/>
    <w:rsid w:val="00340002"/>
    <w:rsid w:val="00340BAA"/>
    <w:rsid w:val="00342341"/>
    <w:rsid w:val="00346322"/>
    <w:rsid w:val="00347B9D"/>
    <w:rsid w:val="00353230"/>
    <w:rsid w:val="00355B27"/>
    <w:rsid w:val="0035668F"/>
    <w:rsid w:val="0036052A"/>
    <w:rsid w:val="00360558"/>
    <w:rsid w:val="0036196D"/>
    <w:rsid w:val="00361990"/>
    <w:rsid w:val="00361CF3"/>
    <w:rsid w:val="00365663"/>
    <w:rsid w:val="00370133"/>
    <w:rsid w:val="003736F9"/>
    <w:rsid w:val="003752F5"/>
    <w:rsid w:val="00376C29"/>
    <w:rsid w:val="0038032A"/>
    <w:rsid w:val="00383265"/>
    <w:rsid w:val="00386DA8"/>
    <w:rsid w:val="003870F9"/>
    <w:rsid w:val="003878C7"/>
    <w:rsid w:val="00392654"/>
    <w:rsid w:val="00393FDB"/>
    <w:rsid w:val="003943FA"/>
    <w:rsid w:val="00395FC4"/>
    <w:rsid w:val="003A30C4"/>
    <w:rsid w:val="003A4407"/>
    <w:rsid w:val="003A6821"/>
    <w:rsid w:val="003A7075"/>
    <w:rsid w:val="003B106C"/>
    <w:rsid w:val="003B1B3F"/>
    <w:rsid w:val="003B1B4C"/>
    <w:rsid w:val="003B270B"/>
    <w:rsid w:val="003B3681"/>
    <w:rsid w:val="003B7FD1"/>
    <w:rsid w:val="003C09A0"/>
    <w:rsid w:val="003C2149"/>
    <w:rsid w:val="003C26CD"/>
    <w:rsid w:val="003D06DD"/>
    <w:rsid w:val="003D190E"/>
    <w:rsid w:val="003D2A0C"/>
    <w:rsid w:val="003E07CE"/>
    <w:rsid w:val="003E1CFC"/>
    <w:rsid w:val="003E6DD2"/>
    <w:rsid w:val="003E6EF0"/>
    <w:rsid w:val="003F00B2"/>
    <w:rsid w:val="003F14DB"/>
    <w:rsid w:val="003F1BDA"/>
    <w:rsid w:val="003F3F61"/>
    <w:rsid w:val="003F4894"/>
    <w:rsid w:val="003F6945"/>
    <w:rsid w:val="003F6B63"/>
    <w:rsid w:val="003F720B"/>
    <w:rsid w:val="003F7A60"/>
    <w:rsid w:val="00401BE9"/>
    <w:rsid w:val="00404798"/>
    <w:rsid w:val="0040605D"/>
    <w:rsid w:val="0040685E"/>
    <w:rsid w:val="00412489"/>
    <w:rsid w:val="00413C7D"/>
    <w:rsid w:val="0041477D"/>
    <w:rsid w:val="0041661B"/>
    <w:rsid w:val="0042004D"/>
    <w:rsid w:val="004218AC"/>
    <w:rsid w:val="00424441"/>
    <w:rsid w:val="00425054"/>
    <w:rsid w:val="004329FE"/>
    <w:rsid w:val="004336A6"/>
    <w:rsid w:val="00436B9F"/>
    <w:rsid w:val="00437966"/>
    <w:rsid w:val="004424EA"/>
    <w:rsid w:val="004431B3"/>
    <w:rsid w:val="00445822"/>
    <w:rsid w:val="0044622F"/>
    <w:rsid w:val="0045777D"/>
    <w:rsid w:val="00460AC8"/>
    <w:rsid w:val="004711D7"/>
    <w:rsid w:val="00471247"/>
    <w:rsid w:val="00474BAC"/>
    <w:rsid w:val="0047514C"/>
    <w:rsid w:val="00483298"/>
    <w:rsid w:val="00483C12"/>
    <w:rsid w:val="00484E67"/>
    <w:rsid w:val="00486467"/>
    <w:rsid w:val="00492106"/>
    <w:rsid w:val="00494930"/>
    <w:rsid w:val="00495B44"/>
    <w:rsid w:val="00495D42"/>
    <w:rsid w:val="004972C6"/>
    <w:rsid w:val="004A0933"/>
    <w:rsid w:val="004A0DC2"/>
    <w:rsid w:val="004A2976"/>
    <w:rsid w:val="004A3D9F"/>
    <w:rsid w:val="004A6C69"/>
    <w:rsid w:val="004B0192"/>
    <w:rsid w:val="004B2BB1"/>
    <w:rsid w:val="004B6991"/>
    <w:rsid w:val="004B7D89"/>
    <w:rsid w:val="004C124A"/>
    <w:rsid w:val="004C2A1A"/>
    <w:rsid w:val="004C5F51"/>
    <w:rsid w:val="004D103F"/>
    <w:rsid w:val="004D21E5"/>
    <w:rsid w:val="004D3D8D"/>
    <w:rsid w:val="004D5391"/>
    <w:rsid w:val="004E051C"/>
    <w:rsid w:val="004F2D6D"/>
    <w:rsid w:val="004F3EE5"/>
    <w:rsid w:val="004F504A"/>
    <w:rsid w:val="0050225E"/>
    <w:rsid w:val="005040DB"/>
    <w:rsid w:val="00506019"/>
    <w:rsid w:val="00507E7E"/>
    <w:rsid w:val="00510920"/>
    <w:rsid w:val="00510ADF"/>
    <w:rsid w:val="00513518"/>
    <w:rsid w:val="005156E1"/>
    <w:rsid w:val="005165DE"/>
    <w:rsid w:val="005173EC"/>
    <w:rsid w:val="00520ABE"/>
    <w:rsid w:val="005219D3"/>
    <w:rsid w:val="0052257F"/>
    <w:rsid w:val="005234D3"/>
    <w:rsid w:val="00527EA8"/>
    <w:rsid w:val="005308A3"/>
    <w:rsid w:val="005308E5"/>
    <w:rsid w:val="0053434E"/>
    <w:rsid w:val="00534521"/>
    <w:rsid w:val="00535A26"/>
    <w:rsid w:val="0054045A"/>
    <w:rsid w:val="00540488"/>
    <w:rsid w:val="00541AE2"/>
    <w:rsid w:val="005432EE"/>
    <w:rsid w:val="00544D41"/>
    <w:rsid w:val="00547E49"/>
    <w:rsid w:val="0055605E"/>
    <w:rsid w:val="00557F84"/>
    <w:rsid w:val="00560A6C"/>
    <w:rsid w:val="005635D2"/>
    <w:rsid w:val="00563ADF"/>
    <w:rsid w:val="00563B71"/>
    <w:rsid w:val="0056477A"/>
    <w:rsid w:val="005651D8"/>
    <w:rsid w:val="005713AF"/>
    <w:rsid w:val="005733ED"/>
    <w:rsid w:val="005760C0"/>
    <w:rsid w:val="00576A17"/>
    <w:rsid w:val="00577100"/>
    <w:rsid w:val="00583642"/>
    <w:rsid w:val="005852CC"/>
    <w:rsid w:val="00587B2B"/>
    <w:rsid w:val="00587CEA"/>
    <w:rsid w:val="0059244D"/>
    <w:rsid w:val="005928C0"/>
    <w:rsid w:val="005953CF"/>
    <w:rsid w:val="005973C2"/>
    <w:rsid w:val="005A2905"/>
    <w:rsid w:val="005A48B1"/>
    <w:rsid w:val="005A725A"/>
    <w:rsid w:val="005B15CB"/>
    <w:rsid w:val="005B47A5"/>
    <w:rsid w:val="005B6407"/>
    <w:rsid w:val="005B7024"/>
    <w:rsid w:val="005C44A1"/>
    <w:rsid w:val="005C7FC2"/>
    <w:rsid w:val="005D214A"/>
    <w:rsid w:val="005D64C6"/>
    <w:rsid w:val="005E244D"/>
    <w:rsid w:val="005E2540"/>
    <w:rsid w:val="005E4B99"/>
    <w:rsid w:val="005F0C0E"/>
    <w:rsid w:val="005F1C18"/>
    <w:rsid w:val="005F2D72"/>
    <w:rsid w:val="005F471C"/>
    <w:rsid w:val="005F4B07"/>
    <w:rsid w:val="005F6CDC"/>
    <w:rsid w:val="005F73E1"/>
    <w:rsid w:val="00603054"/>
    <w:rsid w:val="00604851"/>
    <w:rsid w:val="00606142"/>
    <w:rsid w:val="00610708"/>
    <w:rsid w:val="00612439"/>
    <w:rsid w:val="00616F4E"/>
    <w:rsid w:val="00617301"/>
    <w:rsid w:val="006204EF"/>
    <w:rsid w:val="00620B43"/>
    <w:rsid w:val="0062130D"/>
    <w:rsid w:val="0062569B"/>
    <w:rsid w:val="00630A84"/>
    <w:rsid w:val="00633CB6"/>
    <w:rsid w:val="0064156B"/>
    <w:rsid w:val="0064229C"/>
    <w:rsid w:val="0064454E"/>
    <w:rsid w:val="00652088"/>
    <w:rsid w:val="006529F3"/>
    <w:rsid w:val="00655A6D"/>
    <w:rsid w:val="006608B5"/>
    <w:rsid w:val="00660EE1"/>
    <w:rsid w:val="0066100B"/>
    <w:rsid w:val="00662D6A"/>
    <w:rsid w:val="006637EB"/>
    <w:rsid w:val="006754E6"/>
    <w:rsid w:val="0067566E"/>
    <w:rsid w:val="00675F71"/>
    <w:rsid w:val="00682C88"/>
    <w:rsid w:val="00684899"/>
    <w:rsid w:val="00690A03"/>
    <w:rsid w:val="00692A8F"/>
    <w:rsid w:val="006933AD"/>
    <w:rsid w:val="00694154"/>
    <w:rsid w:val="006969ED"/>
    <w:rsid w:val="00696A0C"/>
    <w:rsid w:val="006A6CA7"/>
    <w:rsid w:val="006A7359"/>
    <w:rsid w:val="006B4B22"/>
    <w:rsid w:val="006C0196"/>
    <w:rsid w:val="006C3F1A"/>
    <w:rsid w:val="006C433B"/>
    <w:rsid w:val="006D158B"/>
    <w:rsid w:val="006D7410"/>
    <w:rsid w:val="006D7426"/>
    <w:rsid w:val="006D7C68"/>
    <w:rsid w:val="006E0543"/>
    <w:rsid w:val="006E2B61"/>
    <w:rsid w:val="006E6B0F"/>
    <w:rsid w:val="006E79D1"/>
    <w:rsid w:val="006F6470"/>
    <w:rsid w:val="006F7EEC"/>
    <w:rsid w:val="007076C7"/>
    <w:rsid w:val="00714354"/>
    <w:rsid w:val="0071511F"/>
    <w:rsid w:val="0071543B"/>
    <w:rsid w:val="007204BC"/>
    <w:rsid w:val="0072237A"/>
    <w:rsid w:val="0072254D"/>
    <w:rsid w:val="00732A07"/>
    <w:rsid w:val="00734564"/>
    <w:rsid w:val="00734CD1"/>
    <w:rsid w:val="00734D7E"/>
    <w:rsid w:val="00735843"/>
    <w:rsid w:val="00737172"/>
    <w:rsid w:val="007377F4"/>
    <w:rsid w:val="00737EDB"/>
    <w:rsid w:val="0074124C"/>
    <w:rsid w:val="007412FF"/>
    <w:rsid w:val="00742AA7"/>
    <w:rsid w:val="00743AC7"/>
    <w:rsid w:val="00747374"/>
    <w:rsid w:val="00747EB5"/>
    <w:rsid w:val="00750487"/>
    <w:rsid w:val="00755325"/>
    <w:rsid w:val="00756F38"/>
    <w:rsid w:val="00762149"/>
    <w:rsid w:val="00762C98"/>
    <w:rsid w:val="00762F19"/>
    <w:rsid w:val="00764711"/>
    <w:rsid w:val="00764C16"/>
    <w:rsid w:val="007653AA"/>
    <w:rsid w:val="00767880"/>
    <w:rsid w:val="00771B67"/>
    <w:rsid w:val="00774ADF"/>
    <w:rsid w:val="007766A2"/>
    <w:rsid w:val="007827BD"/>
    <w:rsid w:val="0078436C"/>
    <w:rsid w:val="0078481A"/>
    <w:rsid w:val="00787107"/>
    <w:rsid w:val="0078772B"/>
    <w:rsid w:val="00790661"/>
    <w:rsid w:val="0079092E"/>
    <w:rsid w:val="00792ACE"/>
    <w:rsid w:val="00793A2A"/>
    <w:rsid w:val="00794CD3"/>
    <w:rsid w:val="00796CCC"/>
    <w:rsid w:val="007970B4"/>
    <w:rsid w:val="00797462"/>
    <w:rsid w:val="00797952"/>
    <w:rsid w:val="007A0A4F"/>
    <w:rsid w:val="007A2964"/>
    <w:rsid w:val="007B1B4B"/>
    <w:rsid w:val="007B3762"/>
    <w:rsid w:val="007B3C40"/>
    <w:rsid w:val="007C19DF"/>
    <w:rsid w:val="007C220F"/>
    <w:rsid w:val="007C332D"/>
    <w:rsid w:val="007C462F"/>
    <w:rsid w:val="007C499A"/>
    <w:rsid w:val="007C4DD0"/>
    <w:rsid w:val="007C6A7C"/>
    <w:rsid w:val="007D41E6"/>
    <w:rsid w:val="007D5D88"/>
    <w:rsid w:val="007D76CE"/>
    <w:rsid w:val="007E3186"/>
    <w:rsid w:val="007E3D0E"/>
    <w:rsid w:val="007E6776"/>
    <w:rsid w:val="007E7745"/>
    <w:rsid w:val="007E7B52"/>
    <w:rsid w:val="007E7C57"/>
    <w:rsid w:val="007F060D"/>
    <w:rsid w:val="007F0BCC"/>
    <w:rsid w:val="007F4BCE"/>
    <w:rsid w:val="007F4BF0"/>
    <w:rsid w:val="007F4E9F"/>
    <w:rsid w:val="007F6E40"/>
    <w:rsid w:val="008026F1"/>
    <w:rsid w:val="00802798"/>
    <w:rsid w:val="00804018"/>
    <w:rsid w:val="00804C5A"/>
    <w:rsid w:val="008065A4"/>
    <w:rsid w:val="0080728C"/>
    <w:rsid w:val="00810E35"/>
    <w:rsid w:val="00813221"/>
    <w:rsid w:val="008137E8"/>
    <w:rsid w:val="008156DB"/>
    <w:rsid w:val="008164CA"/>
    <w:rsid w:val="00817EA8"/>
    <w:rsid w:val="008218E6"/>
    <w:rsid w:val="00823326"/>
    <w:rsid w:val="00826285"/>
    <w:rsid w:val="00826DE8"/>
    <w:rsid w:val="008302E7"/>
    <w:rsid w:val="008351B0"/>
    <w:rsid w:val="0083627E"/>
    <w:rsid w:val="00837374"/>
    <w:rsid w:val="00840899"/>
    <w:rsid w:val="008438EE"/>
    <w:rsid w:val="00846B27"/>
    <w:rsid w:val="008473B6"/>
    <w:rsid w:val="008473FC"/>
    <w:rsid w:val="008477EE"/>
    <w:rsid w:val="008505E4"/>
    <w:rsid w:val="00853996"/>
    <w:rsid w:val="00853C06"/>
    <w:rsid w:val="00854655"/>
    <w:rsid w:val="00860879"/>
    <w:rsid w:val="008610BD"/>
    <w:rsid w:val="00865256"/>
    <w:rsid w:val="00865624"/>
    <w:rsid w:val="00865D08"/>
    <w:rsid w:val="008700F6"/>
    <w:rsid w:val="008707B0"/>
    <w:rsid w:val="008711BF"/>
    <w:rsid w:val="008722F7"/>
    <w:rsid w:val="00876C4B"/>
    <w:rsid w:val="00877362"/>
    <w:rsid w:val="008804F1"/>
    <w:rsid w:val="00882C33"/>
    <w:rsid w:val="00892B57"/>
    <w:rsid w:val="00894410"/>
    <w:rsid w:val="0089599D"/>
    <w:rsid w:val="008A0972"/>
    <w:rsid w:val="008A1010"/>
    <w:rsid w:val="008A2165"/>
    <w:rsid w:val="008A313E"/>
    <w:rsid w:val="008A346E"/>
    <w:rsid w:val="008A44A4"/>
    <w:rsid w:val="008A6F70"/>
    <w:rsid w:val="008B296F"/>
    <w:rsid w:val="008B2A8A"/>
    <w:rsid w:val="008B326C"/>
    <w:rsid w:val="008B46B0"/>
    <w:rsid w:val="008B4B54"/>
    <w:rsid w:val="008B7DE7"/>
    <w:rsid w:val="008C0348"/>
    <w:rsid w:val="008C17E9"/>
    <w:rsid w:val="008C3FD8"/>
    <w:rsid w:val="008C47A5"/>
    <w:rsid w:val="008C6F3D"/>
    <w:rsid w:val="008D0C7B"/>
    <w:rsid w:val="008D14E7"/>
    <w:rsid w:val="008D1A76"/>
    <w:rsid w:val="008D2241"/>
    <w:rsid w:val="008D2454"/>
    <w:rsid w:val="008D27AD"/>
    <w:rsid w:val="008D2B81"/>
    <w:rsid w:val="008D44AF"/>
    <w:rsid w:val="008D5FE1"/>
    <w:rsid w:val="008D686B"/>
    <w:rsid w:val="008E10A9"/>
    <w:rsid w:val="008E3BCC"/>
    <w:rsid w:val="008E4040"/>
    <w:rsid w:val="008E59D8"/>
    <w:rsid w:val="008E6BE5"/>
    <w:rsid w:val="008F2982"/>
    <w:rsid w:val="008F64BA"/>
    <w:rsid w:val="008F7783"/>
    <w:rsid w:val="00900295"/>
    <w:rsid w:val="00902642"/>
    <w:rsid w:val="00905BF4"/>
    <w:rsid w:val="00910950"/>
    <w:rsid w:val="009115B1"/>
    <w:rsid w:val="00916C30"/>
    <w:rsid w:val="009224A7"/>
    <w:rsid w:val="00922854"/>
    <w:rsid w:val="00923801"/>
    <w:rsid w:val="00923C53"/>
    <w:rsid w:val="00925032"/>
    <w:rsid w:val="00926726"/>
    <w:rsid w:val="0092727F"/>
    <w:rsid w:val="00927526"/>
    <w:rsid w:val="00931F69"/>
    <w:rsid w:val="00933161"/>
    <w:rsid w:val="009378B6"/>
    <w:rsid w:val="009414BE"/>
    <w:rsid w:val="009423B6"/>
    <w:rsid w:val="00942D1D"/>
    <w:rsid w:val="00943162"/>
    <w:rsid w:val="00944B83"/>
    <w:rsid w:val="00950433"/>
    <w:rsid w:val="00951FDB"/>
    <w:rsid w:val="00951FE1"/>
    <w:rsid w:val="00957FEE"/>
    <w:rsid w:val="009604C8"/>
    <w:rsid w:val="00963007"/>
    <w:rsid w:val="00964C1F"/>
    <w:rsid w:val="00972EDA"/>
    <w:rsid w:val="00974A60"/>
    <w:rsid w:val="0097772D"/>
    <w:rsid w:val="00981D44"/>
    <w:rsid w:val="0098620B"/>
    <w:rsid w:val="0098786C"/>
    <w:rsid w:val="009911DE"/>
    <w:rsid w:val="00991AEB"/>
    <w:rsid w:val="00991C7F"/>
    <w:rsid w:val="0099499D"/>
    <w:rsid w:val="00994A5B"/>
    <w:rsid w:val="00995F90"/>
    <w:rsid w:val="00997765"/>
    <w:rsid w:val="009A11F8"/>
    <w:rsid w:val="009A2690"/>
    <w:rsid w:val="009A5061"/>
    <w:rsid w:val="009B26ED"/>
    <w:rsid w:val="009B755E"/>
    <w:rsid w:val="009C0D2F"/>
    <w:rsid w:val="009C32E6"/>
    <w:rsid w:val="009C464D"/>
    <w:rsid w:val="009C6C07"/>
    <w:rsid w:val="009D1EA3"/>
    <w:rsid w:val="009D2F45"/>
    <w:rsid w:val="009D322E"/>
    <w:rsid w:val="009D3730"/>
    <w:rsid w:val="009D3C4F"/>
    <w:rsid w:val="009D59EC"/>
    <w:rsid w:val="009D7FB5"/>
    <w:rsid w:val="009E0321"/>
    <w:rsid w:val="009E49AB"/>
    <w:rsid w:val="009E5840"/>
    <w:rsid w:val="009E591E"/>
    <w:rsid w:val="009E68CB"/>
    <w:rsid w:val="009F1142"/>
    <w:rsid w:val="009F47D6"/>
    <w:rsid w:val="009F527E"/>
    <w:rsid w:val="009F58AD"/>
    <w:rsid w:val="009F6456"/>
    <w:rsid w:val="009F6857"/>
    <w:rsid w:val="009F6D74"/>
    <w:rsid w:val="00A01BDB"/>
    <w:rsid w:val="00A0418A"/>
    <w:rsid w:val="00A073C7"/>
    <w:rsid w:val="00A10DBA"/>
    <w:rsid w:val="00A1338F"/>
    <w:rsid w:val="00A144F3"/>
    <w:rsid w:val="00A145CA"/>
    <w:rsid w:val="00A1645E"/>
    <w:rsid w:val="00A21B93"/>
    <w:rsid w:val="00A22132"/>
    <w:rsid w:val="00A22BA9"/>
    <w:rsid w:val="00A232C9"/>
    <w:rsid w:val="00A238CC"/>
    <w:rsid w:val="00A23D42"/>
    <w:rsid w:val="00A27D8C"/>
    <w:rsid w:val="00A30396"/>
    <w:rsid w:val="00A32B50"/>
    <w:rsid w:val="00A34515"/>
    <w:rsid w:val="00A36591"/>
    <w:rsid w:val="00A36D70"/>
    <w:rsid w:val="00A36F73"/>
    <w:rsid w:val="00A372BE"/>
    <w:rsid w:val="00A40730"/>
    <w:rsid w:val="00A42851"/>
    <w:rsid w:val="00A43276"/>
    <w:rsid w:val="00A47A11"/>
    <w:rsid w:val="00A503CA"/>
    <w:rsid w:val="00A50E73"/>
    <w:rsid w:val="00A52C92"/>
    <w:rsid w:val="00A533C5"/>
    <w:rsid w:val="00A537F2"/>
    <w:rsid w:val="00A53C02"/>
    <w:rsid w:val="00A577E6"/>
    <w:rsid w:val="00A6621E"/>
    <w:rsid w:val="00A6753E"/>
    <w:rsid w:val="00A7172B"/>
    <w:rsid w:val="00A71C46"/>
    <w:rsid w:val="00A7282E"/>
    <w:rsid w:val="00A73960"/>
    <w:rsid w:val="00A7488C"/>
    <w:rsid w:val="00A76B4E"/>
    <w:rsid w:val="00A77A2F"/>
    <w:rsid w:val="00A80E3F"/>
    <w:rsid w:val="00A874B4"/>
    <w:rsid w:val="00A912A6"/>
    <w:rsid w:val="00A9152D"/>
    <w:rsid w:val="00A937E4"/>
    <w:rsid w:val="00A96C44"/>
    <w:rsid w:val="00A979CE"/>
    <w:rsid w:val="00AA03FD"/>
    <w:rsid w:val="00AA3290"/>
    <w:rsid w:val="00AA3B05"/>
    <w:rsid w:val="00AA61C3"/>
    <w:rsid w:val="00AA6638"/>
    <w:rsid w:val="00AA6C54"/>
    <w:rsid w:val="00AA7E6E"/>
    <w:rsid w:val="00AB221A"/>
    <w:rsid w:val="00AB5B34"/>
    <w:rsid w:val="00AB5B9C"/>
    <w:rsid w:val="00AB7FC4"/>
    <w:rsid w:val="00AC168F"/>
    <w:rsid w:val="00AC3A13"/>
    <w:rsid w:val="00AC7DEA"/>
    <w:rsid w:val="00AD68A2"/>
    <w:rsid w:val="00AE0FE6"/>
    <w:rsid w:val="00AE1315"/>
    <w:rsid w:val="00AE32CF"/>
    <w:rsid w:val="00AE592F"/>
    <w:rsid w:val="00AE5D80"/>
    <w:rsid w:val="00AE7402"/>
    <w:rsid w:val="00AF1CB2"/>
    <w:rsid w:val="00AF326A"/>
    <w:rsid w:val="00AF3478"/>
    <w:rsid w:val="00AF360C"/>
    <w:rsid w:val="00AF4FEC"/>
    <w:rsid w:val="00AF602D"/>
    <w:rsid w:val="00AF612D"/>
    <w:rsid w:val="00AF6A12"/>
    <w:rsid w:val="00AF77A3"/>
    <w:rsid w:val="00B00AEF"/>
    <w:rsid w:val="00B03A2E"/>
    <w:rsid w:val="00B10ED2"/>
    <w:rsid w:val="00B10F95"/>
    <w:rsid w:val="00B152AD"/>
    <w:rsid w:val="00B16BDE"/>
    <w:rsid w:val="00B2032E"/>
    <w:rsid w:val="00B24859"/>
    <w:rsid w:val="00B314D2"/>
    <w:rsid w:val="00B32C23"/>
    <w:rsid w:val="00B3545E"/>
    <w:rsid w:val="00B35B4D"/>
    <w:rsid w:val="00B36B84"/>
    <w:rsid w:val="00B37589"/>
    <w:rsid w:val="00B401D6"/>
    <w:rsid w:val="00B4059D"/>
    <w:rsid w:val="00B41867"/>
    <w:rsid w:val="00B424C6"/>
    <w:rsid w:val="00B42BEA"/>
    <w:rsid w:val="00B45CA0"/>
    <w:rsid w:val="00B46383"/>
    <w:rsid w:val="00B514E5"/>
    <w:rsid w:val="00B53665"/>
    <w:rsid w:val="00B53B41"/>
    <w:rsid w:val="00B55645"/>
    <w:rsid w:val="00B6349C"/>
    <w:rsid w:val="00B666F1"/>
    <w:rsid w:val="00B725BF"/>
    <w:rsid w:val="00B7602E"/>
    <w:rsid w:val="00B765FC"/>
    <w:rsid w:val="00B809F2"/>
    <w:rsid w:val="00B80CEA"/>
    <w:rsid w:val="00B817DF"/>
    <w:rsid w:val="00B823D8"/>
    <w:rsid w:val="00B83E73"/>
    <w:rsid w:val="00B85B9A"/>
    <w:rsid w:val="00B85C9C"/>
    <w:rsid w:val="00B91CA6"/>
    <w:rsid w:val="00B92CC1"/>
    <w:rsid w:val="00B9639D"/>
    <w:rsid w:val="00BA0FD2"/>
    <w:rsid w:val="00BA1ADE"/>
    <w:rsid w:val="00BA2406"/>
    <w:rsid w:val="00BA309B"/>
    <w:rsid w:val="00BA72E3"/>
    <w:rsid w:val="00BB258B"/>
    <w:rsid w:val="00BB2881"/>
    <w:rsid w:val="00BB28D0"/>
    <w:rsid w:val="00BB2EA1"/>
    <w:rsid w:val="00BB30CE"/>
    <w:rsid w:val="00BB40FD"/>
    <w:rsid w:val="00BB418F"/>
    <w:rsid w:val="00BB4365"/>
    <w:rsid w:val="00BB4491"/>
    <w:rsid w:val="00BB635B"/>
    <w:rsid w:val="00BB6AF0"/>
    <w:rsid w:val="00BB7AB0"/>
    <w:rsid w:val="00BB7F39"/>
    <w:rsid w:val="00BC4843"/>
    <w:rsid w:val="00BC4B2C"/>
    <w:rsid w:val="00BC58E1"/>
    <w:rsid w:val="00BC5E8A"/>
    <w:rsid w:val="00BC6ABF"/>
    <w:rsid w:val="00BD1C80"/>
    <w:rsid w:val="00BE2679"/>
    <w:rsid w:val="00BE3445"/>
    <w:rsid w:val="00BF068E"/>
    <w:rsid w:val="00BF1913"/>
    <w:rsid w:val="00BF3E38"/>
    <w:rsid w:val="00BF3E5A"/>
    <w:rsid w:val="00C0299E"/>
    <w:rsid w:val="00C02F58"/>
    <w:rsid w:val="00C032E3"/>
    <w:rsid w:val="00C0448A"/>
    <w:rsid w:val="00C04CFA"/>
    <w:rsid w:val="00C1060E"/>
    <w:rsid w:val="00C111A4"/>
    <w:rsid w:val="00C1146C"/>
    <w:rsid w:val="00C12360"/>
    <w:rsid w:val="00C149E9"/>
    <w:rsid w:val="00C16139"/>
    <w:rsid w:val="00C21B62"/>
    <w:rsid w:val="00C25B3D"/>
    <w:rsid w:val="00C26E48"/>
    <w:rsid w:val="00C27F0D"/>
    <w:rsid w:val="00C30A50"/>
    <w:rsid w:val="00C33471"/>
    <w:rsid w:val="00C34115"/>
    <w:rsid w:val="00C356A5"/>
    <w:rsid w:val="00C36BAD"/>
    <w:rsid w:val="00C462DE"/>
    <w:rsid w:val="00C555EF"/>
    <w:rsid w:val="00C60A3A"/>
    <w:rsid w:val="00C62036"/>
    <w:rsid w:val="00C62E62"/>
    <w:rsid w:val="00C723F2"/>
    <w:rsid w:val="00C7381D"/>
    <w:rsid w:val="00C74930"/>
    <w:rsid w:val="00C76E68"/>
    <w:rsid w:val="00C7726F"/>
    <w:rsid w:val="00C84A2F"/>
    <w:rsid w:val="00C8504F"/>
    <w:rsid w:val="00C856A4"/>
    <w:rsid w:val="00C85A9E"/>
    <w:rsid w:val="00C9482F"/>
    <w:rsid w:val="00C94C20"/>
    <w:rsid w:val="00C9578A"/>
    <w:rsid w:val="00C9757C"/>
    <w:rsid w:val="00CA170F"/>
    <w:rsid w:val="00CA4567"/>
    <w:rsid w:val="00CA641D"/>
    <w:rsid w:val="00CA79C0"/>
    <w:rsid w:val="00CB5B61"/>
    <w:rsid w:val="00CB688F"/>
    <w:rsid w:val="00CC19BF"/>
    <w:rsid w:val="00CC450F"/>
    <w:rsid w:val="00CC498A"/>
    <w:rsid w:val="00CD1AC4"/>
    <w:rsid w:val="00CD1F94"/>
    <w:rsid w:val="00CD22C7"/>
    <w:rsid w:val="00CD5256"/>
    <w:rsid w:val="00CD5A1F"/>
    <w:rsid w:val="00CE050C"/>
    <w:rsid w:val="00CE2CEA"/>
    <w:rsid w:val="00CE4D17"/>
    <w:rsid w:val="00CE5CB0"/>
    <w:rsid w:val="00CE5EE1"/>
    <w:rsid w:val="00CE62BE"/>
    <w:rsid w:val="00CE670E"/>
    <w:rsid w:val="00CF2174"/>
    <w:rsid w:val="00CF3E33"/>
    <w:rsid w:val="00CF697F"/>
    <w:rsid w:val="00CF6A80"/>
    <w:rsid w:val="00D003A8"/>
    <w:rsid w:val="00D0103D"/>
    <w:rsid w:val="00D0114B"/>
    <w:rsid w:val="00D01E95"/>
    <w:rsid w:val="00D0348E"/>
    <w:rsid w:val="00D05DEC"/>
    <w:rsid w:val="00D1139B"/>
    <w:rsid w:val="00D11A6C"/>
    <w:rsid w:val="00D20259"/>
    <w:rsid w:val="00D2532D"/>
    <w:rsid w:val="00D32D0E"/>
    <w:rsid w:val="00D33F72"/>
    <w:rsid w:val="00D3481D"/>
    <w:rsid w:val="00D34F06"/>
    <w:rsid w:val="00D35235"/>
    <w:rsid w:val="00D359F8"/>
    <w:rsid w:val="00D35AAD"/>
    <w:rsid w:val="00D37498"/>
    <w:rsid w:val="00D43004"/>
    <w:rsid w:val="00D4380F"/>
    <w:rsid w:val="00D45AC8"/>
    <w:rsid w:val="00D46CC9"/>
    <w:rsid w:val="00D47A2E"/>
    <w:rsid w:val="00D53058"/>
    <w:rsid w:val="00D5676C"/>
    <w:rsid w:val="00D62135"/>
    <w:rsid w:val="00D6414F"/>
    <w:rsid w:val="00D662B0"/>
    <w:rsid w:val="00D70665"/>
    <w:rsid w:val="00D715B5"/>
    <w:rsid w:val="00D731C6"/>
    <w:rsid w:val="00D762C2"/>
    <w:rsid w:val="00D77A5E"/>
    <w:rsid w:val="00D80E3E"/>
    <w:rsid w:val="00D80F9C"/>
    <w:rsid w:val="00D8250C"/>
    <w:rsid w:val="00D865F3"/>
    <w:rsid w:val="00D872CE"/>
    <w:rsid w:val="00D91CA1"/>
    <w:rsid w:val="00D94CD1"/>
    <w:rsid w:val="00D94DCE"/>
    <w:rsid w:val="00DA0517"/>
    <w:rsid w:val="00DA1704"/>
    <w:rsid w:val="00DA2996"/>
    <w:rsid w:val="00DB00F0"/>
    <w:rsid w:val="00DB1EF4"/>
    <w:rsid w:val="00DB303C"/>
    <w:rsid w:val="00DB4A3A"/>
    <w:rsid w:val="00DB7325"/>
    <w:rsid w:val="00DC1BE6"/>
    <w:rsid w:val="00DC417C"/>
    <w:rsid w:val="00DC496D"/>
    <w:rsid w:val="00DC5873"/>
    <w:rsid w:val="00DC6714"/>
    <w:rsid w:val="00DD1B31"/>
    <w:rsid w:val="00DD1F9C"/>
    <w:rsid w:val="00DD3EC1"/>
    <w:rsid w:val="00DD4665"/>
    <w:rsid w:val="00DD7BD0"/>
    <w:rsid w:val="00DE2F73"/>
    <w:rsid w:val="00DE5687"/>
    <w:rsid w:val="00DF57E6"/>
    <w:rsid w:val="00DF7F9F"/>
    <w:rsid w:val="00E01537"/>
    <w:rsid w:val="00E02620"/>
    <w:rsid w:val="00E04F45"/>
    <w:rsid w:val="00E10C75"/>
    <w:rsid w:val="00E11114"/>
    <w:rsid w:val="00E113AF"/>
    <w:rsid w:val="00E11851"/>
    <w:rsid w:val="00E1343E"/>
    <w:rsid w:val="00E14602"/>
    <w:rsid w:val="00E16C28"/>
    <w:rsid w:val="00E17C76"/>
    <w:rsid w:val="00E208A5"/>
    <w:rsid w:val="00E20985"/>
    <w:rsid w:val="00E218E8"/>
    <w:rsid w:val="00E23BA6"/>
    <w:rsid w:val="00E24A66"/>
    <w:rsid w:val="00E27120"/>
    <w:rsid w:val="00E27CAD"/>
    <w:rsid w:val="00E27D15"/>
    <w:rsid w:val="00E3075A"/>
    <w:rsid w:val="00E31BAF"/>
    <w:rsid w:val="00E32319"/>
    <w:rsid w:val="00E447D5"/>
    <w:rsid w:val="00E44C23"/>
    <w:rsid w:val="00E45A67"/>
    <w:rsid w:val="00E45DBC"/>
    <w:rsid w:val="00E46A5A"/>
    <w:rsid w:val="00E526E4"/>
    <w:rsid w:val="00E558B3"/>
    <w:rsid w:val="00E56A3F"/>
    <w:rsid w:val="00E6205E"/>
    <w:rsid w:val="00E6287C"/>
    <w:rsid w:val="00E62F38"/>
    <w:rsid w:val="00E65398"/>
    <w:rsid w:val="00E6686C"/>
    <w:rsid w:val="00E7361A"/>
    <w:rsid w:val="00E74064"/>
    <w:rsid w:val="00E7650D"/>
    <w:rsid w:val="00E8140A"/>
    <w:rsid w:val="00E836A9"/>
    <w:rsid w:val="00E85641"/>
    <w:rsid w:val="00E869F1"/>
    <w:rsid w:val="00EA1F38"/>
    <w:rsid w:val="00EA32D9"/>
    <w:rsid w:val="00EA6A62"/>
    <w:rsid w:val="00EB4A3A"/>
    <w:rsid w:val="00EB5D80"/>
    <w:rsid w:val="00EB5E24"/>
    <w:rsid w:val="00EC32C9"/>
    <w:rsid w:val="00EC3954"/>
    <w:rsid w:val="00EC515D"/>
    <w:rsid w:val="00EC7560"/>
    <w:rsid w:val="00EC7A24"/>
    <w:rsid w:val="00ED03CB"/>
    <w:rsid w:val="00ED05BE"/>
    <w:rsid w:val="00ED0CF4"/>
    <w:rsid w:val="00ED548F"/>
    <w:rsid w:val="00ED58C7"/>
    <w:rsid w:val="00EE3939"/>
    <w:rsid w:val="00EE3D79"/>
    <w:rsid w:val="00EE515D"/>
    <w:rsid w:val="00EE639E"/>
    <w:rsid w:val="00EF0D90"/>
    <w:rsid w:val="00EF1CDC"/>
    <w:rsid w:val="00EF2AF7"/>
    <w:rsid w:val="00EF47B3"/>
    <w:rsid w:val="00EF4CF8"/>
    <w:rsid w:val="00F0254A"/>
    <w:rsid w:val="00F054C0"/>
    <w:rsid w:val="00F056C2"/>
    <w:rsid w:val="00F06BC0"/>
    <w:rsid w:val="00F073D0"/>
    <w:rsid w:val="00F1214B"/>
    <w:rsid w:val="00F1263B"/>
    <w:rsid w:val="00F165A5"/>
    <w:rsid w:val="00F27252"/>
    <w:rsid w:val="00F33296"/>
    <w:rsid w:val="00F34909"/>
    <w:rsid w:val="00F35BC0"/>
    <w:rsid w:val="00F4013E"/>
    <w:rsid w:val="00F43224"/>
    <w:rsid w:val="00F4699F"/>
    <w:rsid w:val="00F47D27"/>
    <w:rsid w:val="00F53248"/>
    <w:rsid w:val="00F533B0"/>
    <w:rsid w:val="00F5720F"/>
    <w:rsid w:val="00F57452"/>
    <w:rsid w:val="00F6433A"/>
    <w:rsid w:val="00F67439"/>
    <w:rsid w:val="00F675AA"/>
    <w:rsid w:val="00F67ACB"/>
    <w:rsid w:val="00F7241F"/>
    <w:rsid w:val="00F73C2E"/>
    <w:rsid w:val="00F74118"/>
    <w:rsid w:val="00F74E3D"/>
    <w:rsid w:val="00F74FCD"/>
    <w:rsid w:val="00F77156"/>
    <w:rsid w:val="00F77E5F"/>
    <w:rsid w:val="00F824D1"/>
    <w:rsid w:val="00F827B7"/>
    <w:rsid w:val="00F91B12"/>
    <w:rsid w:val="00F925BC"/>
    <w:rsid w:val="00F946EC"/>
    <w:rsid w:val="00F96EF3"/>
    <w:rsid w:val="00FA0167"/>
    <w:rsid w:val="00FA2425"/>
    <w:rsid w:val="00FA2C94"/>
    <w:rsid w:val="00FA52F0"/>
    <w:rsid w:val="00FB0BB2"/>
    <w:rsid w:val="00FB181E"/>
    <w:rsid w:val="00FB25DE"/>
    <w:rsid w:val="00FB2E91"/>
    <w:rsid w:val="00FB562B"/>
    <w:rsid w:val="00FB58C0"/>
    <w:rsid w:val="00FC12A2"/>
    <w:rsid w:val="00FC2CE7"/>
    <w:rsid w:val="00FC3B9E"/>
    <w:rsid w:val="00FC4FF8"/>
    <w:rsid w:val="00FC567C"/>
    <w:rsid w:val="00FC695E"/>
    <w:rsid w:val="00FD5432"/>
    <w:rsid w:val="00FD717E"/>
    <w:rsid w:val="00FE0751"/>
    <w:rsid w:val="00FE14E1"/>
    <w:rsid w:val="00FE1525"/>
    <w:rsid w:val="00FE4012"/>
    <w:rsid w:val="00FE605A"/>
    <w:rsid w:val="00FE710C"/>
    <w:rsid w:val="00FF11FF"/>
    <w:rsid w:val="00FF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F7C7EB"/>
  <w15:chartTrackingRefBased/>
  <w15:docId w15:val="{6E551D93-6001-419D-9084-23C66556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2056"/>
    <w:rPr>
      <w:rFonts w:ascii="Courier New" w:eastAsia="Times" w:hAnsi="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Head">
    <w:name w:val="Abst Head"/>
    <w:basedOn w:val="Normal"/>
    <w:rsid w:val="00002056"/>
    <w:rPr>
      <w:rFonts w:ascii="Arial" w:hAnsi="Arial"/>
      <w:b/>
      <w:caps/>
    </w:rPr>
  </w:style>
  <w:style w:type="paragraph" w:customStyle="1" w:styleId="Affiliation">
    <w:name w:val="Affiliation"/>
    <w:basedOn w:val="Normal"/>
    <w:rsid w:val="00002056"/>
    <w:pPr>
      <w:jc w:val="center"/>
    </w:pPr>
    <w:rPr>
      <w:rFonts w:ascii="Times" w:hAnsi="Times"/>
    </w:rPr>
  </w:style>
  <w:style w:type="paragraph" w:customStyle="1" w:styleId="Author">
    <w:name w:val="Author"/>
    <w:basedOn w:val="Normal"/>
    <w:rsid w:val="00002056"/>
    <w:pPr>
      <w:jc w:val="center"/>
    </w:pPr>
    <w:rPr>
      <w:rFonts w:ascii="Times" w:hAnsi="Times"/>
      <w:sz w:val="24"/>
    </w:rPr>
  </w:style>
  <w:style w:type="paragraph" w:customStyle="1" w:styleId="Body">
    <w:name w:val="Body"/>
    <w:basedOn w:val="Normal"/>
    <w:link w:val="BodyChar"/>
    <w:rsid w:val="00002056"/>
    <w:rPr>
      <w:rFonts w:ascii="Times" w:hAnsi="Times"/>
    </w:rPr>
  </w:style>
  <w:style w:type="paragraph" w:customStyle="1" w:styleId="Copyright">
    <w:name w:val="Copyright"/>
    <w:basedOn w:val="Normal"/>
    <w:rsid w:val="00002056"/>
    <w:rPr>
      <w:rFonts w:ascii="Times" w:hAnsi="Times"/>
    </w:rPr>
  </w:style>
  <w:style w:type="paragraph" w:customStyle="1" w:styleId="Figure">
    <w:name w:val="Figure"/>
    <w:basedOn w:val="Normal"/>
    <w:rsid w:val="00002056"/>
    <w:rPr>
      <w:rFonts w:ascii="Arial" w:hAnsi="Arial"/>
      <w:b/>
      <w:i/>
      <w:sz w:val="18"/>
    </w:rPr>
  </w:style>
  <w:style w:type="paragraph" w:customStyle="1" w:styleId="Head1">
    <w:name w:val="Head1"/>
    <w:basedOn w:val="Normal"/>
    <w:rsid w:val="00002056"/>
    <w:rPr>
      <w:rFonts w:ascii="Arial" w:hAnsi="Arial"/>
      <w:b/>
      <w:caps/>
    </w:rPr>
  </w:style>
  <w:style w:type="paragraph" w:customStyle="1" w:styleId="Head2">
    <w:name w:val="Head2"/>
    <w:basedOn w:val="Normal"/>
    <w:rsid w:val="00002056"/>
    <w:rPr>
      <w:rFonts w:ascii="Arial" w:hAnsi="Arial"/>
      <w:caps/>
    </w:rPr>
  </w:style>
  <w:style w:type="paragraph" w:customStyle="1" w:styleId="Head3">
    <w:name w:val="Head3"/>
    <w:basedOn w:val="Normal"/>
    <w:rsid w:val="00002056"/>
    <w:rPr>
      <w:rFonts w:ascii="Arial" w:hAnsi="Arial"/>
      <w:u w:val="single"/>
    </w:rPr>
  </w:style>
  <w:style w:type="paragraph" w:customStyle="1" w:styleId="Head4">
    <w:name w:val="Head4"/>
    <w:basedOn w:val="Normal"/>
    <w:rsid w:val="00002056"/>
    <w:rPr>
      <w:rFonts w:ascii="Arial" w:hAnsi="Arial"/>
    </w:rPr>
  </w:style>
  <w:style w:type="paragraph" w:customStyle="1" w:styleId="OrdList">
    <w:name w:val="Ord List"/>
    <w:basedOn w:val="Normal"/>
    <w:rsid w:val="00002056"/>
    <w:pPr>
      <w:numPr>
        <w:numId w:val="2"/>
      </w:numPr>
    </w:pPr>
    <w:rPr>
      <w:rFonts w:ascii="Times" w:hAnsi="Times"/>
    </w:rPr>
  </w:style>
  <w:style w:type="paragraph" w:customStyle="1" w:styleId="ReferHead">
    <w:name w:val="Refer Head"/>
    <w:basedOn w:val="Normal"/>
    <w:link w:val="ReferHeadChar"/>
    <w:rsid w:val="00002056"/>
    <w:rPr>
      <w:rFonts w:ascii="Arial" w:hAnsi="Arial"/>
      <w:b/>
      <w:caps/>
    </w:rPr>
  </w:style>
  <w:style w:type="paragraph" w:customStyle="1" w:styleId="UnordList">
    <w:name w:val="Unord List"/>
    <w:basedOn w:val="Normal"/>
    <w:rsid w:val="00002056"/>
    <w:pPr>
      <w:numPr>
        <w:numId w:val="1"/>
      </w:numPr>
    </w:pPr>
    <w:rPr>
      <w:rFonts w:ascii="Times" w:hAnsi="Times"/>
    </w:rPr>
  </w:style>
  <w:style w:type="paragraph" w:customStyle="1" w:styleId="Ref">
    <w:name w:val="Ref"/>
    <w:basedOn w:val="Normal"/>
    <w:rsid w:val="00002056"/>
    <w:pPr>
      <w:tabs>
        <w:tab w:val="left" w:pos="360"/>
      </w:tabs>
      <w:ind w:left="360" w:hanging="360"/>
    </w:pPr>
    <w:rPr>
      <w:rFonts w:ascii="Times" w:hAnsi="Times"/>
      <w:snapToGrid w:val="0"/>
    </w:rPr>
  </w:style>
  <w:style w:type="paragraph" w:styleId="Title">
    <w:name w:val="Title"/>
    <w:basedOn w:val="Normal"/>
    <w:qFormat/>
    <w:rsid w:val="00002056"/>
    <w:pPr>
      <w:spacing w:line="480" w:lineRule="auto"/>
      <w:jc w:val="center"/>
    </w:pPr>
    <w:rPr>
      <w:rFonts w:ascii="Arial" w:eastAsia="Times New Roman" w:hAnsi="Arial"/>
      <w:b/>
      <w:sz w:val="28"/>
    </w:rPr>
  </w:style>
  <w:style w:type="character" w:customStyle="1" w:styleId="BodyChar">
    <w:name w:val="Body Char"/>
    <w:link w:val="Body"/>
    <w:rsid w:val="00EC3954"/>
    <w:rPr>
      <w:rFonts w:ascii="Times" w:eastAsia="Times" w:hAnsi="Times"/>
      <w:lang w:val="en-US" w:eastAsia="en-US" w:bidi="ar-SA"/>
    </w:rPr>
  </w:style>
  <w:style w:type="character" w:customStyle="1" w:styleId="ReferHeadChar">
    <w:name w:val="Refer Head Char"/>
    <w:link w:val="ReferHead"/>
    <w:rsid w:val="00EC3954"/>
    <w:rPr>
      <w:rFonts w:ascii="Arial" w:eastAsia="Times" w:hAnsi="Arial"/>
      <w:b/>
      <w:caps/>
      <w:lang w:val="en-US" w:eastAsia="en-US" w:bidi="ar-SA"/>
    </w:rPr>
  </w:style>
  <w:style w:type="character" w:styleId="Hyperlink">
    <w:name w:val="Hyperlink"/>
    <w:rsid w:val="00340BAA"/>
    <w:rPr>
      <w:color w:val="0000FF"/>
      <w:u w:val="single"/>
    </w:rPr>
  </w:style>
  <w:style w:type="character" w:styleId="FollowedHyperlink">
    <w:name w:val="FollowedHyperlink"/>
    <w:rsid w:val="00340BAA"/>
    <w:rPr>
      <w:color w:val="800080"/>
      <w:u w:val="single"/>
    </w:rPr>
  </w:style>
  <w:style w:type="paragraph" w:styleId="DocumentMap">
    <w:name w:val="Document Map"/>
    <w:basedOn w:val="Normal"/>
    <w:link w:val="DocumentMapChar"/>
    <w:rsid w:val="00C856A4"/>
    <w:rPr>
      <w:rFonts w:ascii="Tahoma" w:hAnsi="Tahoma"/>
      <w:sz w:val="16"/>
      <w:szCs w:val="16"/>
      <w:lang w:val="x-none" w:eastAsia="x-none"/>
    </w:rPr>
  </w:style>
  <w:style w:type="character" w:customStyle="1" w:styleId="DocumentMapChar">
    <w:name w:val="Document Map Char"/>
    <w:link w:val="DocumentMap"/>
    <w:rsid w:val="00C856A4"/>
    <w:rPr>
      <w:rFonts w:ascii="Tahoma" w:eastAsia="Times" w:hAnsi="Tahoma" w:cs="Tahoma"/>
      <w:sz w:val="16"/>
      <w:szCs w:val="16"/>
    </w:rPr>
  </w:style>
  <w:style w:type="paragraph" w:styleId="Header">
    <w:name w:val="header"/>
    <w:basedOn w:val="Normal"/>
    <w:link w:val="HeaderChar"/>
    <w:uiPriority w:val="99"/>
    <w:rsid w:val="00735843"/>
    <w:pPr>
      <w:tabs>
        <w:tab w:val="center" w:pos="4680"/>
        <w:tab w:val="right" w:pos="9360"/>
      </w:tabs>
    </w:pPr>
    <w:rPr>
      <w:lang w:val="x-none" w:eastAsia="x-none"/>
    </w:rPr>
  </w:style>
  <w:style w:type="character" w:customStyle="1" w:styleId="HeaderChar">
    <w:name w:val="Header Char"/>
    <w:link w:val="Header"/>
    <w:uiPriority w:val="99"/>
    <w:rsid w:val="00735843"/>
    <w:rPr>
      <w:rFonts w:ascii="Courier New" w:eastAsia="Times" w:hAnsi="Courier New"/>
    </w:rPr>
  </w:style>
  <w:style w:type="paragraph" w:styleId="Footer">
    <w:name w:val="footer"/>
    <w:basedOn w:val="Normal"/>
    <w:link w:val="FooterChar"/>
    <w:rsid w:val="00735843"/>
    <w:pPr>
      <w:tabs>
        <w:tab w:val="center" w:pos="4680"/>
        <w:tab w:val="right" w:pos="9360"/>
      </w:tabs>
    </w:pPr>
    <w:rPr>
      <w:lang w:val="x-none" w:eastAsia="x-none"/>
    </w:rPr>
  </w:style>
  <w:style w:type="character" w:customStyle="1" w:styleId="FooterChar">
    <w:name w:val="Footer Char"/>
    <w:link w:val="Footer"/>
    <w:rsid w:val="00735843"/>
    <w:rPr>
      <w:rFonts w:ascii="Courier New" w:eastAsia="Times" w:hAnsi="Courier New"/>
    </w:rPr>
  </w:style>
  <w:style w:type="paragraph" w:styleId="BalloonText">
    <w:name w:val="Balloon Text"/>
    <w:basedOn w:val="Normal"/>
    <w:link w:val="BalloonTextChar"/>
    <w:rsid w:val="00735843"/>
    <w:rPr>
      <w:rFonts w:ascii="Tahoma" w:hAnsi="Tahoma"/>
      <w:sz w:val="16"/>
      <w:szCs w:val="16"/>
      <w:lang w:val="x-none" w:eastAsia="x-none"/>
    </w:rPr>
  </w:style>
  <w:style w:type="character" w:customStyle="1" w:styleId="BalloonTextChar">
    <w:name w:val="Balloon Text Char"/>
    <w:link w:val="BalloonText"/>
    <w:rsid w:val="00735843"/>
    <w:rPr>
      <w:rFonts w:ascii="Tahoma" w:eastAsia="Times" w:hAnsi="Tahoma" w:cs="Tahoma"/>
      <w:sz w:val="16"/>
      <w:szCs w:val="16"/>
    </w:rPr>
  </w:style>
  <w:style w:type="paragraph" w:styleId="NoSpacing">
    <w:name w:val="No Spacing"/>
    <w:uiPriority w:val="1"/>
    <w:qFormat/>
    <w:rsid w:val="00527EA8"/>
    <w:rPr>
      <w:rFonts w:ascii="Calibri" w:eastAsia="Calibri" w:hAnsi="Calibri"/>
      <w:sz w:val="22"/>
      <w:szCs w:val="22"/>
    </w:rPr>
  </w:style>
  <w:style w:type="character" w:customStyle="1" w:styleId="st">
    <w:name w:val="st"/>
    <w:basedOn w:val="DefaultParagraphFont"/>
    <w:rsid w:val="00527EA8"/>
  </w:style>
  <w:style w:type="table" w:styleId="TableGrid">
    <w:name w:val="Table Grid"/>
    <w:basedOn w:val="TableNormal"/>
    <w:uiPriority w:val="59"/>
    <w:rsid w:val="00EF1CDC"/>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14">
    <w:name w:val="med14"/>
    <w:rsid w:val="00D43004"/>
    <w:rPr>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metalcastingcongre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30F833AF34B448940B58C00E19DD19" ma:contentTypeVersion="18" ma:contentTypeDescription="Create a new document." ma:contentTypeScope="" ma:versionID="0b7a78601bad3f03907ac5ec13235a02">
  <xsd:schema xmlns:xsd="http://www.w3.org/2001/XMLSchema" xmlns:xs="http://www.w3.org/2001/XMLSchema" xmlns:p="http://schemas.microsoft.com/office/2006/metadata/properties" xmlns:ns2="b6805fb3-3c03-4038-a1cf-8ffdb5b353d2" xmlns:ns3="b6d4a5f1-edea-4e4b-9ab9-12bc463c50a2" targetNamespace="http://schemas.microsoft.com/office/2006/metadata/properties" ma:root="true" ma:fieldsID="54fafa159d9e99e99d3f5bed882d69ed" ns2:_="" ns3:_="">
    <xsd:import namespace="b6805fb3-3c03-4038-a1cf-8ffdb5b353d2"/>
    <xsd:import namespace="b6d4a5f1-edea-4e4b-9ab9-12bc463c50a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LengthInSeconds"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05fb3-3c03-4038-a1cf-8ffdb5b35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4c53b95-28c4-408a-ba67-00240586268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d4a5f1-edea-4e4b-9ab9-12bc463c50a2"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9cf40077-bb2b-44ec-a8cb-dced3e538f8b}" ma:internalName="TaxCatchAll" ma:showField="CatchAllData" ma:web="b6d4a5f1-edea-4e4b-9ab9-12bc463c50a2">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6d4a5f1-edea-4e4b-9ab9-12bc463c50a2" xsi:nil="true"/>
    <lcf76f155ced4ddcb4097134ff3c332f xmlns="b6805fb3-3c03-4038-a1cf-8ffdb5b35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DF29330-9C91-4A09-A9CA-F492DD898B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805fb3-3c03-4038-a1cf-8ffdb5b353d2"/>
    <ds:schemaRef ds:uri="b6d4a5f1-edea-4e4b-9ab9-12bc463c50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1AEAE0-6E3E-4007-84E3-6AD63BE36610}">
  <ds:schemaRefs>
    <ds:schemaRef ds:uri="http://schemas.openxmlformats.org/officeDocument/2006/bibliography"/>
  </ds:schemaRefs>
</ds:datastoreItem>
</file>

<file path=customXml/itemProps3.xml><?xml version="1.0" encoding="utf-8"?>
<ds:datastoreItem xmlns:ds="http://schemas.openxmlformats.org/officeDocument/2006/customXml" ds:itemID="{E46D11F6-F401-4E65-B97C-ACEF3DF0A553}">
  <ds:schemaRefs>
    <ds:schemaRef ds:uri="http://schemas.microsoft.com/sharepoint/v3/contenttype/forms"/>
  </ds:schemaRefs>
</ds:datastoreItem>
</file>

<file path=customXml/itemProps4.xml><?xml version="1.0" encoding="utf-8"?>
<ds:datastoreItem xmlns:ds="http://schemas.openxmlformats.org/officeDocument/2006/customXml" ds:itemID="{91A3A20C-DE2A-4358-BBF4-BD1189792458}">
  <ds:schemaRefs>
    <ds:schemaRef ds:uri="http://schemas.microsoft.com/office/2006/metadata/properties"/>
    <ds:schemaRef ds:uri="http://schemas.microsoft.com/office/infopath/2007/PartnerControls"/>
    <ds:schemaRef ds:uri="b6d4a5f1-edea-4e4b-9ab9-12bc463c50a2"/>
    <ds:schemaRef ds:uri="b6805fb3-3c03-4038-a1cf-8ffdb5b353d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2878</Words>
  <Characters>16405</Characters>
  <Application>Microsoft Office Word</Application>
  <DocSecurity>0</DocSecurity>
  <Lines>136</Lines>
  <Paragraphs>38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Title (Type Title of Paper Here)</vt:lpstr>
      <vt:lpstr/>
      <vt:lpstr>Sample Paper</vt:lpstr>
      <vt:lpstr>Copyright 2024 American Foundry Society</vt:lpstr>
      <vt:lpstr/>
    </vt:vector>
  </TitlesOfParts>
  <Company>AFS</Company>
  <LinksUpToDate>false</LinksUpToDate>
  <CharactersWithSpaces>19245</CharactersWithSpaces>
  <SharedDoc>false</SharedDoc>
  <HLinks>
    <vt:vector size="6" baseType="variant">
      <vt:variant>
        <vt:i4>5898332</vt:i4>
      </vt:variant>
      <vt:variant>
        <vt:i4>0</vt:i4>
      </vt:variant>
      <vt:variant>
        <vt:i4>0</vt:i4>
      </vt:variant>
      <vt:variant>
        <vt:i4>5</vt:i4>
      </vt:variant>
      <vt:variant>
        <vt:lpwstr>http://www.metalcastingcongress.org/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(Type Title of Paper Here)</dc:title>
  <dc:subject/>
  <dc:creator>AFS</dc:creator>
  <cp:keywords/>
  <cp:lastModifiedBy>Kimberly Perna</cp:lastModifiedBy>
  <cp:revision>2</cp:revision>
  <cp:lastPrinted>2017-06-06T17:36:00Z</cp:lastPrinted>
  <dcterms:created xsi:type="dcterms:W3CDTF">2024-05-24T14:57:00Z</dcterms:created>
  <dcterms:modified xsi:type="dcterms:W3CDTF">2024-05-24T14:57:00Z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0x0101005530F833AF34B448940B58C00E19DD19</vt:lpwstr>
  </property>
</Properties>
</file>