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大学生创新创业计划书</w:t>
      </w:r>
    </w:p>
    <w:p/>
    <w:p>
      <w:pPr>
        <w:jc w:val="center"/>
      </w:pPr>
      <w:r>
        <w:rPr>
          <w:rFonts w:ascii="黑体" w:hAnsi="黑体" w:eastAsia="黑体"/>
          <w:b/>
          <w:sz w:val="36"/>
        </w:rPr>
        <w:t>智教领航：基于 AI 的师范生试讲全流程智能赋能系统</w:t>
      </w:r>
    </w:p>
    <w:p/>
    <w:p/>
    <w:p/>
    <w:p/>
    <w:p>
      <w:pPr>
        <w:jc w:val="center"/>
      </w:pPr>
      <w:r>
        <w:rPr>
          <w:rFonts w:ascii="宋体" w:hAnsi="宋体" w:eastAsia="宋体"/>
          <w:sz w:val="28"/>
        </w:rPr>
        <w:t>所在班级：_______________</w:t>
      </w:r>
    </w:p>
    <w:p>
      <w:pPr>
        <w:jc w:val="center"/>
      </w:pPr>
      <w:r>
        <w:rPr>
          <w:rFonts w:ascii="宋体" w:hAnsi="宋体" w:eastAsia="宋体"/>
          <w:sz w:val="28"/>
        </w:rPr>
        <w:t>学生学号：_______________</w:t>
      </w:r>
    </w:p>
    <w:p>
      <w:pPr>
        <w:jc w:val="center"/>
      </w:pPr>
      <w:r>
        <w:rPr>
          <w:rFonts w:ascii="宋体" w:hAnsi="宋体" w:eastAsia="宋体"/>
          <w:sz w:val="28"/>
        </w:rPr>
        <w:t>学生姓名：_______________</w:t>
      </w:r>
    </w:p>
    <w:p>
      <w:pPr>
        <w:jc w:val="center"/>
      </w:pPr>
      <w:r>
        <w:rPr>
          <w:rFonts w:ascii="宋体" w:hAnsi="宋体" w:eastAsia="宋体"/>
          <w:sz w:val="28"/>
        </w:rPr>
        <w:t>撰写日期：_____ 年 _____ 月 _____ 日</w:t>
      </w:r>
    </w:p>
    <w:p>
      <w:r>
        <w:br w:type="page"/>
      </w:r>
    </w:p>
    <w:p>
      <w:pPr>
        <w:pStyle w:val="Heading1"/>
        <w:jc w:val="center"/>
      </w:pPr>
      <w:r>
        <w:rPr>
          <w:rFonts w:ascii="黑体" w:hAnsi="黑体" w:eastAsia="黑体"/>
          <w:color w:val="000000"/>
          <w:sz w:val="32"/>
        </w:rPr>
        <w:t>目  录</w:t>
      </w:r>
    </w:p>
    <w:p>
      <w:r>
        <w:rPr>
          <w:b/>
          <w:sz w:val="24"/>
        </w:rPr>
        <w:t>第一章  项目摘要</w:t>
      </w:r>
    </w:p>
    <w:p>
      <w:r>
        <w:rPr>
          <w:sz w:val="24"/>
        </w:rPr>
        <w:t xml:space="preserve">  1.1 产品介绍</w:t>
      </w:r>
    </w:p>
    <w:p>
      <w:r>
        <w:rPr>
          <w:sz w:val="24"/>
        </w:rPr>
        <w:t xml:space="preserve">  1.2 市场分析</w:t>
      </w:r>
    </w:p>
    <w:p>
      <w:r>
        <w:rPr>
          <w:sz w:val="24"/>
        </w:rPr>
        <w:t xml:space="preserve">  1.3 盈利模式</w:t>
      </w:r>
    </w:p>
    <w:p>
      <w:r>
        <w:rPr>
          <w:sz w:val="24"/>
        </w:rPr>
        <w:t xml:space="preserve">  1.4 风险管理</w:t>
      </w:r>
    </w:p>
    <w:p>
      <w:r>
        <w:rPr>
          <w:b/>
          <w:sz w:val="24"/>
        </w:rPr>
        <w:t>第二章  公司概况</w:t>
      </w:r>
    </w:p>
    <w:p>
      <w:r>
        <w:rPr>
          <w:sz w:val="24"/>
        </w:rPr>
        <w:t xml:space="preserve">  2.1 公司介绍</w:t>
      </w:r>
    </w:p>
    <w:p>
      <w:r>
        <w:rPr>
          <w:sz w:val="24"/>
        </w:rPr>
        <w:t xml:space="preserve">  2.2 公司目前职工情况</w:t>
      </w:r>
    </w:p>
    <w:p>
      <w:r>
        <w:rPr>
          <w:sz w:val="24"/>
        </w:rPr>
        <w:t xml:space="preserve">  2.3 组织架构</w:t>
      </w:r>
    </w:p>
    <w:p>
      <w:r>
        <w:rPr>
          <w:sz w:val="24"/>
        </w:rPr>
        <w:t xml:space="preserve">  2.4 公司宗旨</w:t>
      </w:r>
    </w:p>
    <w:p>
      <w:r>
        <w:rPr>
          <w:b/>
          <w:sz w:val="24"/>
        </w:rPr>
        <w:t>第三章  市场分析</w:t>
      </w:r>
    </w:p>
    <w:p>
      <w:r>
        <w:rPr>
          <w:sz w:val="24"/>
        </w:rPr>
        <w:t xml:space="preserve">  3.1 行业背景概述</w:t>
      </w:r>
    </w:p>
    <w:p>
      <w:r>
        <w:rPr>
          <w:sz w:val="24"/>
        </w:rPr>
        <w:t xml:space="preserve">  3.2 目标客户</w:t>
      </w:r>
    </w:p>
    <w:p>
      <w:r>
        <w:rPr>
          <w:sz w:val="24"/>
        </w:rPr>
        <w:t xml:space="preserve">  3.3 目标客户面临问题</w:t>
      </w:r>
    </w:p>
    <w:p>
      <w:r>
        <w:rPr>
          <w:sz w:val="24"/>
        </w:rPr>
        <w:t xml:space="preserve">  3.4 行业发展趋势</w:t>
      </w:r>
    </w:p>
    <w:p>
      <w:r>
        <w:rPr>
          <w:sz w:val="24"/>
        </w:rPr>
        <w:t xml:space="preserve">  3.5 竞争分析</w:t>
      </w:r>
    </w:p>
    <w:p>
      <w:r>
        <w:rPr>
          <w:b/>
          <w:sz w:val="24"/>
        </w:rPr>
        <w:t>第四章  产品与技术分析</w:t>
      </w:r>
    </w:p>
    <w:p>
      <w:r>
        <w:rPr>
          <w:sz w:val="24"/>
        </w:rPr>
        <w:t xml:space="preserve">  4.1 产品概述</w:t>
      </w:r>
    </w:p>
    <w:p>
      <w:r>
        <w:rPr>
          <w:sz w:val="24"/>
        </w:rPr>
        <w:t xml:space="preserve">  4.2 产品核心技术优势</w:t>
      </w:r>
    </w:p>
    <w:p>
      <w:r>
        <w:rPr>
          <w:sz w:val="24"/>
        </w:rPr>
        <w:t xml:space="preserve">  4.3 产品可行性分析</w:t>
      </w:r>
    </w:p>
    <w:p>
      <w:r>
        <w:rPr>
          <w:b/>
          <w:sz w:val="24"/>
        </w:rPr>
        <w:t>第五章  商业模式</w:t>
      </w:r>
    </w:p>
    <w:p>
      <w:r>
        <w:rPr>
          <w:sz w:val="24"/>
        </w:rPr>
        <w:t xml:space="preserve">  5.1 商业模式概述</w:t>
      </w:r>
    </w:p>
    <w:p>
      <w:r>
        <w:rPr>
          <w:sz w:val="24"/>
        </w:rPr>
        <w:t xml:space="preserve">  5.2 商业模式画布</w:t>
      </w:r>
    </w:p>
    <w:p>
      <w:r>
        <w:rPr>
          <w:sz w:val="24"/>
        </w:rPr>
        <w:t xml:space="preserve">  5.3 盈利模式</w:t>
      </w:r>
    </w:p>
    <w:p>
      <w:r>
        <w:rPr>
          <w:sz w:val="24"/>
        </w:rPr>
        <w:t xml:space="preserve">  5.4 未来发展</w:t>
      </w:r>
    </w:p>
    <w:p>
      <w:r>
        <w:rPr>
          <w:b/>
          <w:sz w:val="24"/>
        </w:rPr>
        <w:t>第六章  营销策略</w:t>
      </w:r>
    </w:p>
    <w:p>
      <w:r>
        <w:rPr>
          <w:sz w:val="24"/>
        </w:rPr>
        <w:t xml:space="preserve">  6.1 主要推广策略</w:t>
      </w:r>
    </w:p>
    <w:p>
      <w:r>
        <w:rPr>
          <w:b/>
          <w:sz w:val="24"/>
        </w:rPr>
        <w:t>第七章  财务分析</w:t>
      </w:r>
    </w:p>
    <w:p>
      <w:r>
        <w:rPr>
          <w:sz w:val="24"/>
        </w:rPr>
        <w:t xml:space="preserve">  7.1 公司财务基本情况与资金使用计划</w:t>
      </w:r>
    </w:p>
    <w:p>
      <w:r>
        <w:rPr>
          <w:sz w:val="24"/>
        </w:rPr>
        <w:t xml:space="preserve">  7.2 销售预计表</w:t>
      </w:r>
    </w:p>
    <w:p>
      <w:r>
        <w:rPr>
          <w:sz w:val="24"/>
        </w:rPr>
        <w:t xml:space="preserve">  7.3 成本费用核算</w:t>
      </w:r>
    </w:p>
    <w:p>
      <w:r>
        <w:rPr>
          <w:sz w:val="24"/>
        </w:rPr>
        <w:t xml:space="preserve">  7.4 利润表</w:t>
      </w:r>
    </w:p>
    <w:p>
      <w:r>
        <w:rPr>
          <w:sz w:val="24"/>
        </w:rPr>
        <w:t xml:space="preserve">  7.5 财务分析</w:t>
      </w:r>
    </w:p>
    <w:p>
      <w:r>
        <w:br w:type="page"/>
      </w:r>
    </w:p>
    <w:p>
      <w:pPr>
        <w:pStyle w:val="Heading1"/>
        <w:jc w:val="center"/>
      </w:pPr>
      <w:r>
        <w:rPr>
          <w:rFonts w:ascii="黑体" w:hAnsi="黑体" w:eastAsia="黑体"/>
          <w:color w:val="000000"/>
          <w:sz w:val="32"/>
        </w:rPr>
        <w:t>第一章  项目摘要</w:t>
      </w:r>
    </w:p>
    <w:p>
      <w:pPr>
        <w:pStyle w:val="Heading2"/>
      </w:pPr>
      <w:r>
        <w:rPr>
          <w:rFonts w:ascii="黑体" w:hAnsi="黑体" w:eastAsia="黑体"/>
          <w:color w:val="000000"/>
          <w:sz w:val="28"/>
        </w:rPr>
        <w:t>1.1 产品介绍</w:t>
      </w:r>
    </w:p>
    <w:p>
      <w:pPr>
        <w:ind w:firstLine="480"/>
      </w:pPr>
      <w:r>
        <w:rPr>
          <w:rFonts w:ascii="宋体" w:hAnsi="宋体" w:eastAsia="宋体"/>
          <w:sz w:val="24"/>
        </w:rPr>
        <w:t>当前我国高等师范教育正面临一个结构性矛盾：师范生在校人数已突破300万，而指导教师数量增长有限，一位导师通常需要指导20至40名学生。每轮试讲作业包含教案文档和10至15分钟的试讲视频，人工逐一批改每人需要20至30分钟，一轮批改耗费数天甚至一周以上。与此同时，传统评价以主观判断为主，缺乏统一量化标准，学生也缺少模拟课堂互动的备课训练手段。</w:t>
      </w:r>
    </w:p>
    <w:p>
      <w:pPr>
        <w:ind w:firstLine="480"/>
      </w:pPr>
      <w:r>
        <w:rPr>
          <w:rFonts w:ascii="宋体" w:hAnsi="宋体" w:eastAsia="宋体"/>
          <w:sz w:val="24"/>
        </w:rPr>
        <w:t>针对上述问题，项目利用大语言模型与多模态人工智能技术，构建了线上智慧试讲训练平台——"智教领航"。系统将社会上已经成熟的AI文本分析、语音识别和视觉理解能力整合到师范教育的具体场景中，围绕"教案智能分析—试讲视频多模态评估—AI对话式备课—AI辅助批改—学生成长画像"五个环节形成完整的训练闭环。系统支持管理员、指导老师、学生三种角色的差异化使用，通过Docker容器化方式部署于自有服务器，已完成全部功能开发并上线试运行，覆盖33个功能页面和80余个API接口。</w:t>
      </w:r>
    </w:p>
    <w:p>
      <w:pPr>
        <w:pStyle w:val="Heading2"/>
      </w:pPr>
      <w:r>
        <w:rPr>
          <w:rFonts w:ascii="黑体" w:hAnsi="黑体" w:eastAsia="黑体"/>
          <w:color w:val="000000"/>
          <w:sz w:val="28"/>
        </w:rPr>
        <w:t>1.2 市场分析</w:t>
      </w:r>
    </w:p>
    <w:p>
      <w:pPr>
        <w:ind w:firstLine="480"/>
      </w:pPr>
      <w:r>
        <w:rPr>
          <w:rFonts w:ascii="宋体" w:hAnsi="宋体" w:eastAsia="宋体"/>
          <w:sz w:val="24"/>
        </w:rPr>
        <w:t>根据教育部统计数据和行业研究报告，全国现有师范类高校200余所，开设教育类专业的综合性高校400余所，在校师范生约300万人，指导教师约5万人。随着《教育部教育信息化2.0行动计划》《新时代基础教育强师计划》等政策的持续推进，以及2024年政府工作报告首次提出"人工智能+"行动，AI赋能师范教育的市场需求正在快速增长。目前国内外尚无一款产品能够将AI教案分析、多模态视频评估、对话式备课训练、教务管理闭环和成长画像追踪集成于一体，本项目定位于这一精准细分领域，市场空白明显，先发优势显著。</w:t>
      </w:r>
    </w:p>
    <w:p>
      <w:pPr>
        <w:pStyle w:val="Heading2"/>
      </w:pPr>
      <w:r>
        <w:rPr>
          <w:rFonts w:ascii="黑体" w:hAnsi="黑体" w:eastAsia="黑体"/>
          <w:color w:val="000000"/>
          <w:sz w:val="28"/>
        </w:rPr>
        <w:t>1.3 盈利模式</w:t>
      </w:r>
    </w:p>
    <w:p>
      <w:pPr>
        <w:ind w:firstLine="480"/>
      </w:pPr>
      <w:r>
        <w:rPr>
          <w:rFonts w:ascii="宋体" w:hAnsi="宋体" w:eastAsia="宋体"/>
          <w:sz w:val="24"/>
        </w:rPr>
        <w:t>项目盈利模式有三类：</w:t>
      </w:r>
    </w:p>
    <w:p>
      <w:pPr>
        <w:ind w:firstLine="480"/>
      </w:pPr>
      <w:r>
        <w:rPr>
          <w:rFonts w:ascii="宋体" w:hAnsi="宋体" w:eastAsia="宋体"/>
          <w:b/>
          <w:sz w:val="24"/>
        </w:rPr>
        <w:t>1. SaaS订阅收入</w:t>
      </w:r>
    </w:p>
    <w:p>
      <w:pPr>
        <w:ind w:firstLine="480"/>
      </w:pPr>
      <w:r>
        <w:rPr>
          <w:rFonts w:ascii="宋体" w:hAnsi="宋体" w:eastAsia="宋体"/>
          <w:sz w:val="24"/>
        </w:rPr>
        <w:t>按学院和年度向高校师范学院收取系统使用订阅费用，包含系统使用权、AI调用额度和技术支持服务。这是项目的基础收入来源，适合中小规模院校。按全国600余所相关院校估算，即使初期渗透率仅为5%，年订阅收入也相当可观。</w:t>
      </w:r>
    </w:p>
    <w:p>
      <w:pPr>
        <w:ind w:firstLine="480"/>
      </w:pPr>
      <w:r>
        <w:rPr>
          <w:rFonts w:ascii="宋体" w:hAnsi="宋体" w:eastAsia="宋体"/>
          <w:b/>
          <w:sz w:val="24"/>
        </w:rPr>
        <w:t>2. 私有化部署与定制服务收入</w:t>
      </w:r>
    </w:p>
    <w:p>
      <w:pPr>
        <w:ind w:firstLine="480"/>
      </w:pPr>
      <w:r>
        <w:rPr>
          <w:rFonts w:ascii="宋体" w:hAnsi="宋体" w:eastAsia="宋体"/>
          <w:sz w:val="24"/>
        </w:rPr>
        <w:t>为对数据安全性和个性化要求较高的大型院校提供Docker私有化部署方案，可根据院校需求定制评价维度、Rubric评分标准配置和系统界面。此类服务以项目制收费，单价较高，利润率可观。</w:t>
      </w:r>
    </w:p>
    <w:p>
      <w:pPr>
        <w:ind w:firstLine="480"/>
      </w:pPr>
      <w:r>
        <w:rPr>
          <w:rFonts w:ascii="宋体" w:hAnsi="宋体" w:eastAsia="宋体"/>
          <w:b/>
          <w:sz w:val="24"/>
        </w:rPr>
        <w:t>3. AI能力开放与技术授权收入</w:t>
      </w:r>
    </w:p>
    <w:p>
      <w:pPr>
        <w:ind w:firstLine="480"/>
      </w:pPr>
      <w:r>
        <w:rPr>
          <w:rFonts w:ascii="宋体" w:hAnsi="宋体" w:eastAsia="宋体"/>
          <w:sz w:val="24"/>
        </w:rPr>
        <w:t>将教案分析API、视频多模态分析API作为独立服务向其他教育平台和培训机构开放，按调用量收费。随着AI+教育市场的扩大，此类收入具有较强的增长潜力。</w:t>
      </w:r>
    </w:p>
    <w:p>
      <w:pPr>
        <w:pStyle w:val="Heading2"/>
      </w:pPr>
      <w:r>
        <w:rPr>
          <w:rFonts w:ascii="黑体" w:hAnsi="黑体" w:eastAsia="黑体"/>
          <w:color w:val="000000"/>
          <w:sz w:val="28"/>
        </w:rPr>
        <w:t>1.4 风险管理</w:t>
      </w:r>
    </w:p>
    <w:p>
      <w:pPr>
        <w:pStyle w:val="Heading3"/>
      </w:pPr>
      <w:r>
        <w:rPr>
          <w:rFonts w:ascii="黑体" w:hAnsi="黑体" w:eastAsia="黑体"/>
          <w:color w:val="000000"/>
          <w:sz w:val="24"/>
        </w:rPr>
        <w:t>1.4.1 技术风险</w:t>
      </w:r>
    </w:p>
    <w:p>
      <w:pPr>
        <w:ind w:firstLine="480"/>
      </w:pPr>
      <w:r>
        <w:rPr>
          <w:rFonts w:ascii="宋体" w:hAnsi="宋体" w:eastAsia="宋体"/>
          <w:b/>
          <w:sz w:val="24"/>
        </w:rPr>
        <w:t>（1）风险识别</w:t>
      </w:r>
    </w:p>
    <w:p>
      <w:pPr>
        <w:ind w:firstLine="480"/>
      </w:pPr>
      <w:r>
        <w:rPr>
          <w:rFonts w:ascii="宋体" w:hAnsi="宋体" w:eastAsia="宋体"/>
          <w:sz w:val="24"/>
        </w:rPr>
        <w:t>系统的AI能力依赖第三方大模型API（通义千问系列），存在服务中断、模型升级导致接口变化、以及AI分析结果准确性波动等技术风险。此外，视频分析涉及较大的计算资源消耗，Token成本可能超出预算。</w:t>
      </w:r>
    </w:p>
    <w:p>
      <w:pPr>
        <w:ind w:firstLine="480"/>
      </w:pPr>
      <w:r>
        <w:rPr>
          <w:rFonts w:ascii="宋体" w:hAnsi="宋体" w:eastAsia="宋体"/>
          <w:b/>
          <w:sz w:val="24"/>
        </w:rPr>
        <w:t>（2）风险管理措施</w:t>
      </w:r>
    </w:p>
    <w:p>
      <w:pPr>
        <w:ind w:firstLine="480"/>
      </w:pPr>
      <w:r>
        <w:rPr>
          <w:rFonts w:ascii="宋体" w:hAnsi="宋体" w:eastAsia="宋体"/>
          <w:sz w:val="24"/>
        </w:rPr>
        <w:t>在服务可用性方面，系统设计了多服务商热切换机制，通过环境变量配置即可在通义千问、DeepSeek和OpenAI兼容接口之间无缝切换，不修改一行业务代码。同时，AI服务层与业务层采用抽象解耦设计，当AI功能不可用时自动降级，不影响教务管理等基础功能的正常使用。在分析准确性方面，采用"AI先行分析+老师审核确认"的人机协同模式，AI的输出始终作为"建议"而非"决定"，教师保留最终判断权。在成本控制方面，每次AI调用都记录token_usage并汇入运营看板，支持配置用量阈值告警，同时设置最大输入长度限制以防止异常消耗。</w:t>
      </w:r>
    </w:p>
    <w:p>
      <w:pPr>
        <w:pStyle w:val="Heading3"/>
      </w:pPr>
      <w:r>
        <w:rPr>
          <w:rFonts w:ascii="黑体" w:hAnsi="黑体" w:eastAsia="黑体"/>
          <w:color w:val="000000"/>
          <w:sz w:val="24"/>
        </w:rPr>
        <w:t>1.4.2 管理风险</w:t>
      </w:r>
    </w:p>
    <w:p>
      <w:pPr>
        <w:ind w:firstLine="480"/>
      </w:pPr>
      <w:r>
        <w:rPr>
          <w:rFonts w:ascii="宋体" w:hAnsi="宋体" w:eastAsia="宋体"/>
          <w:b/>
          <w:sz w:val="24"/>
        </w:rPr>
        <w:t>（1）风险识别</w:t>
      </w:r>
    </w:p>
    <w:p>
      <w:pPr>
        <w:ind w:firstLine="480"/>
      </w:pPr>
      <w:r>
        <w:rPr>
          <w:rFonts w:ascii="宋体" w:hAnsi="宋体" w:eastAsia="宋体"/>
          <w:sz w:val="24"/>
        </w:rPr>
        <w:t>项目创立初期团队规模有限，在产品迭代、用户支持和市场推广等方面可能面临人力不足的压力。同时，作为面向高校的教育信息化产品，需要与学校行政体系对接，推广周期可能较长。</w:t>
      </w:r>
    </w:p>
    <w:p>
      <w:pPr>
        <w:ind w:firstLine="480"/>
      </w:pPr>
      <w:r>
        <w:rPr>
          <w:rFonts w:ascii="宋体" w:hAnsi="宋体" w:eastAsia="宋体"/>
          <w:b/>
          <w:sz w:val="24"/>
        </w:rPr>
        <w:t>（2）风险管理措施</w:t>
      </w:r>
    </w:p>
    <w:p>
      <w:pPr>
        <w:ind w:firstLine="480"/>
      </w:pPr>
      <w:r>
        <w:rPr>
          <w:rFonts w:ascii="宋体" w:hAnsi="宋体" w:eastAsia="宋体"/>
          <w:sz w:val="24"/>
        </w:rPr>
        <w:t>在团队建设方面，充分发挥团队成员跨学科（计算机+教育学）的协作优势，建立清晰的分工体系和项目管理流程。在推广策略方面，采用渐进式推广路径——先在本校师范学院试点积累数据和口碑，再通过教育信息化联盟向区域内高校扩展，最后依托竞赛成果和用户案例向全国推广。</w:t>
      </w:r>
    </w:p>
    <w:p>
      <w:pPr>
        <w:pStyle w:val="Heading3"/>
      </w:pPr>
      <w:r>
        <w:rPr>
          <w:rFonts w:ascii="黑体" w:hAnsi="黑体" w:eastAsia="黑体"/>
          <w:color w:val="000000"/>
          <w:sz w:val="24"/>
        </w:rPr>
        <w:t>1.4.3 市场风险</w:t>
      </w:r>
    </w:p>
    <w:p>
      <w:pPr>
        <w:ind w:firstLine="480"/>
      </w:pPr>
      <w:r>
        <w:rPr>
          <w:rFonts w:ascii="宋体" w:hAnsi="宋体" w:eastAsia="宋体"/>
          <w:b/>
          <w:sz w:val="24"/>
        </w:rPr>
        <w:t>（1）风险识别</w:t>
      </w:r>
    </w:p>
    <w:p>
      <w:pPr>
        <w:ind w:firstLine="480"/>
      </w:pPr>
      <w:r>
        <w:rPr>
          <w:rFonts w:ascii="宋体" w:hAnsi="宋体" w:eastAsia="宋体"/>
          <w:sz w:val="24"/>
        </w:rPr>
        <w:t>尽管目前该细分领域尚无直接竞品，但互联网大厂和教育科技公司具备资金和技术优势，一旦看到市场机会可能快速入局。此外，教育政策的调整也可能影响市场需求和产品定位。</w:t>
      </w:r>
    </w:p>
    <w:p>
      <w:pPr>
        <w:ind w:firstLine="480"/>
      </w:pPr>
      <w:r>
        <w:rPr>
          <w:rFonts w:ascii="宋体" w:hAnsi="宋体" w:eastAsia="宋体"/>
          <w:b/>
          <w:sz w:val="24"/>
        </w:rPr>
        <w:t>（2）风险管理措施</w:t>
      </w:r>
    </w:p>
    <w:p>
      <w:pPr>
        <w:ind w:firstLine="480"/>
      </w:pPr>
      <w:r>
        <w:rPr>
          <w:rFonts w:ascii="宋体" w:hAnsi="宋体" w:eastAsia="宋体"/>
          <w:sz w:val="24"/>
        </w:rPr>
        <w:t>在竞争壁垒方面，项目通过五大技术创新点（多模态深度融合、可解释维度化评价、首创角色扮演式备课助手、画像快照过程性评价、三端AI全覆盖）构建差异化竞争力。同时，系统已取得软件著作权，知识产权保护到位。在用户粘性方面，系统的成长画像功能会随着学生使用时间的增长积累越来越丰富的能力数据，形成数据壁垒，迁移成本较高。</w:t>
      </w:r>
    </w:p>
    <w:p>
      <w:pPr>
        <w:pStyle w:val="Heading3"/>
      </w:pPr>
      <w:r>
        <w:rPr>
          <w:rFonts w:ascii="黑体" w:hAnsi="黑体" w:eastAsia="黑体"/>
          <w:color w:val="000000"/>
          <w:sz w:val="24"/>
        </w:rPr>
        <w:t>1.4.4 数据安全风险</w:t>
      </w:r>
    </w:p>
    <w:p>
      <w:pPr>
        <w:ind w:firstLine="480"/>
      </w:pPr>
      <w:r>
        <w:rPr>
          <w:rFonts w:ascii="宋体" w:hAnsi="宋体" w:eastAsia="宋体"/>
          <w:b/>
          <w:sz w:val="24"/>
        </w:rPr>
        <w:t>（1）风险识别</w:t>
      </w:r>
    </w:p>
    <w:p>
      <w:pPr>
        <w:ind w:firstLine="480"/>
      </w:pPr>
      <w:r>
        <w:rPr>
          <w:rFonts w:ascii="宋体" w:hAnsi="宋体" w:eastAsia="宋体"/>
          <w:sz w:val="24"/>
        </w:rPr>
        <w:t>学生的教案文档和试讲视频涉及个人学业信息，高校对数据安全和隐私保护有较高要求。</w:t>
      </w:r>
    </w:p>
    <w:p>
      <w:pPr>
        <w:ind w:firstLine="480"/>
      </w:pPr>
      <w:r>
        <w:rPr>
          <w:rFonts w:ascii="宋体" w:hAnsi="宋体" w:eastAsia="宋体"/>
          <w:b/>
          <w:sz w:val="24"/>
        </w:rPr>
        <w:t>（2）风险管理措施</w:t>
      </w:r>
    </w:p>
    <w:p>
      <w:pPr>
        <w:ind w:firstLine="480"/>
      </w:pPr>
      <w:r>
        <w:rPr>
          <w:rFonts w:ascii="宋体" w:hAnsi="宋体" w:eastAsia="宋体"/>
          <w:sz w:val="24"/>
        </w:rPr>
        <w:t>系统支持Docker私有化部署，确保数据不出校园网。在技术层面，采用JWT鉴权配合角色级权限控制保证访问安全，HTTPS加密传输保护数据在网络中的安全性，API密钥等敏感信息严格不入代码仓库。在制度层面，与合作院校签署数据安全协议，明确数据所有权归属和使用范围。</w:t>
      </w:r>
    </w:p>
    <w:p>
      <w:r>
        <w:br w:type="page"/>
      </w:r>
    </w:p>
    <w:p>
      <w:pPr>
        <w:pStyle w:val="Heading1"/>
        <w:jc w:val="center"/>
      </w:pPr>
      <w:r>
        <w:rPr>
          <w:rFonts w:ascii="黑体" w:hAnsi="黑体" w:eastAsia="黑体"/>
          <w:color w:val="000000"/>
          <w:sz w:val="32"/>
        </w:rPr>
        <w:t>第二章  公司概况</w:t>
      </w:r>
    </w:p>
    <w:p>
      <w:pPr>
        <w:pStyle w:val="Heading2"/>
      </w:pPr>
      <w:r>
        <w:rPr>
          <w:rFonts w:ascii="黑体" w:hAnsi="黑体" w:eastAsia="黑体"/>
          <w:color w:val="000000"/>
          <w:sz w:val="28"/>
        </w:rPr>
        <w:t>2.1 公司介绍</w:t>
      </w:r>
    </w:p>
    <w:p>
      <w:pPr>
        <w:ind w:firstLine="480"/>
      </w:pPr>
      <w:r>
        <w:rPr>
          <w:rFonts w:ascii="宋体" w:hAnsi="宋体" w:eastAsia="宋体"/>
          <w:sz w:val="24"/>
        </w:rPr>
        <w:t>"智教领航"教育科技团队成立于2024年9月，由在校学生组建。团队以"用多模态AI技术重塑师范生试讲训练"为使命，致力于开发面向高校师范学院的智慧试讲训练系统。经过六个多月的研发，团队已完成系统的全部核心功能开发、Docker容器化部署和服务器上线试运行，并已申请软件著作权《高校师范生试讲智慧管理系统》。</w:t>
      </w:r>
    </w:p>
    <w:p>
      <w:pPr>
        <w:pStyle w:val="Heading2"/>
      </w:pPr>
      <w:r>
        <w:rPr>
          <w:rFonts w:ascii="黑体" w:hAnsi="黑体" w:eastAsia="黑体"/>
          <w:color w:val="000000"/>
          <w:sz w:val="28"/>
        </w:rPr>
        <w:t>2.2 公司目前职工情况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角色</w:t>
            </w:r>
          </w:p>
        </w:tc>
        <w:tc>
          <w:tcPr>
            <w:tcW w:type="dxa" w:w="2351"/>
          </w:tcPr>
          <w:p>
            <w:pPr>
              <w:jc w:val="center"/>
            </w:pPr>
            <w:r>
              <w:rPr>
                <w:b/>
                <w:sz w:val="20"/>
              </w:rPr>
              <w:t>姓名</w:t>
            </w:r>
          </w:p>
        </w:tc>
        <w:tc>
          <w:tcPr>
            <w:tcW w:type="dxa" w:w="2351"/>
          </w:tcPr>
          <w:p>
            <w:pPr>
              <w:jc w:val="center"/>
            </w:pPr>
            <w:r>
              <w:rPr>
                <w:b/>
                <w:sz w:val="20"/>
              </w:rPr>
              <w:t>专业/年级</w:t>
            </w:r>
          </w:p>
        </w:tc>
        <w:tc>
          <w:tcPr>
            <w:tcW w:type="dxa" w:w="2351"/>
          </w:tcPr>
          <w:p>
            <w:pPr>
              <w:jc w:val="center"/>
            </w:pPr>
            <w:r>
              <w:rPr>
                <w:b/>
                <w:sz w:val="20"/>
              </w:rPr>
              <w:t>主要职责</w:t>
            </w:r>
          </w:p>
        </w:tc>
      </w:tr>
      <w:tr>
        <w:tc>
          <w:tcPr>
            <w:tcW w:type="dxa" w:w="2351"/>
          </w:tcPr>
          <w:p>
            <w:pPr>
              <w:jc w:val="center"/>
            </w:pPr>
            <w:r>
              <w:rPr>
                <w:sz w:val="20"/>
              </w:rPr>
              <w:t>项目负责人</w:t>
            </w:r>
          </w:p>
        </w:tc>
        <w:tc>
          <w:tcPr>
            <w:tcW w:type="dxa" w:w="2351"/>
          </w:tcPr>
          <w:p>
            <w:pPr>
              <w:jc w:val="center"/>
            </w:pPr>
            <w:r>
              <w:rPr>
                <w:sz w:val="20"/>
              </w:rPr>
              <w:t>（请填写）</w:t>
            </w:r>
          </w:p>
        </w:tc>
        <w:tc>
          <w:tcPr>
            <w:tcW w:type="dxa" w:w="2351"/>
          </w:tcPr>
          <w:p>
            <w:pPr>
              <w:jc w:val="center"/>
            </w:pPr>
            <w:r>
              <w:rPr>
                <w:sz w:val="20"/>
              </w:rPr>
              <w:t>（请填写）</w:t>
            </w:r>
          </w:p>
        </w:tc>
        <w:tc>
          <w:tcPr>
            <w:tcW w:type="dxa" w:w="2351"/>
          </w:tcPr>
          <w:p>
            <w:pPr>
              <w:jc w:val="center"/>
            </w:pPr>
            <w:r>
              <w:rPr>
                <w:sz w:val="20"/>
              </w:rPr>
              <w:t>项目统筹、系统设计、核心开发</w:t>
            </w:r>
          </w:p>
        </w:tc>
      </w:tr>
      <w:tr>
        <w:tc>
          <w:tcPr>
            <w:tcW w:type="dxa" w:w="2351"/>
          </w:tcPr>
          <w:p>
            <w:pPr>
              <w:jc w:val="center"/>
            </w:pPr>
            <w:r>
              <w:rPr>
                <w:sz w:val="20"/>
              </w:rPr>
              <w:t>技术负责人</w:t>
            </w:r>
          </w:p>
        </w:tc>
        <w:tc>
          <w:tcPr>
            <w:tcW w:type="dxa" w:w="2351"/>
          </w:tcPr>
          <w:p>
            <w:pPr>
              <w:jc w:val="center"/>
            </w:pPr>
            <w:r>
              <w:rPr>
                <w:sz w:val="20"/>
              </w:rPr>
              <w:t>（请填写）</w:t>
            </w:r>
          </w:p>
        </w:tc>
        <w:tc>
          <w:tcPr>
            <w:tcW w:type="dxa" w:w="2351"/>
          </w:tcPr>
          <w:p>
            <w:pPr>
              <w:jc w:val="center"/>
            </w:pPr>
            <w:r>
              <w:rPr>
                <w:sz w:val="20"/>
              </w:rPr>
              <w:t>（请填写）</w:t>
            </w:r>
          </w:p>
        </w:tc>
        <w:tc>
          <w:tcPr>
            <w:tcW w:type="dxa" w:w="2351"/>
          </w:tcPr>
          <w:p>
            <w:pPr>
              <w:jc w:val="center"/>
            </w:pPr>
            <w:r>
              <w:rPr>
                <w:sz w:val="20"/>
              </w:rPr>
              <w:t>后端架构、AI服务集成、数据库设计</w:t>
            </w:r>
          </w:p>
        </w:tc>
      </w:tr>
      <w:tr>
        <w:tc>
          <w:tcPr>
            <w:tcW w:type="dxa" w:w="2351"/>
          </w:tcPr>
          <w:p>
            <w:pPr>
              <w:jc w:val="center"/>
            </w:pPr>
            <w:r>
              <w:rPr>
                <w:sz w:val="20"/>
              </w:rPr>
              <w:t>前端开发</w:t>
            </w:r>
          </w:p>
        </w:tc>
        <w:tc>
          <w:tcPr>
            <w:tcW w:type="dxa" w:w="2351"/>
          </w:tcPr>
          <w:p>
            <w:pPr>
              <w:jc w:val="center"/>
            </w:pPr>
            <w:r>
              <w:rPr>
                <w:sz w:val="20"/>
              </w:rPr>
              <w:t>（请填写）</w:t>
            </w:r>
          </w:p>
        </w:tc>
        <w:tc>
          <w:tcPr>
            <w:tcW w:type="dxa" w:w="2351"/>
          </w:tcPr>
          <w:p>
            <w:pPr>
              <w:jc w:val="center"/>
            </w:pPr>
            <w:r>
              <w:rPr>
                <w:sz w:val="20"/>
              </w:rPr>
              <w:t>（请填写）</w:t>
            </w:r>
          </w:p>
        </w:tc>
        <w:tc>
          <w:tcPr>
            <w:tcW w:type="dxa" w:w="2351"/>
          </w:tcPr>
          <w:p>
            <w:pPr>
              <w:jc w:val="center"/>
            </w:pPr>
            <w:r>
              <w:rPr>
                <w:sz w:val="20"/>
              </w:rPr>
              <w:t>前端界面开发、交互设计、数据可视化</w:t>
            </w:r>
          </w:p>
        </w:tc>
      </w:tr>
      <w:tr>
        <w:tc>
          <w:tcPr>
            <w:tcW w:type="dxa" w:w="2351"/>
          </w:tcPr>
          <w:p>
            <w:pPr>
              <w:jc w:val="center"/>
            </w:pPr>
            <w:r>
              <w:rPr>
                <w:sz w:val="20"/>
              </w:rPr>
              <w:t>产品与测试</w:t>
            </w:r>
          </w:p>
        </w:tc>
        <w:tc>
          <w:tcPr>
            <w:tcW w:type="dxa" w:w="2351"/>
          </w:tcPr>
          <w:p>
            <w:pPr>
              <w:jc w:val="center"/>
            </w:pPr>
            <w:r>
              <w:rPr>
                <w:sz w:val="20"/>
              </w:rPr>
              <w:t>（请填写）</w:t>
            </w:r>
          </w:p>
        </w:tc>
        <w:tc>
          <w:tcPr>
            <w:tcW w:type="dxa" w:w="2351"/>
          </w:tcPr>
          <w:p>
            <w:pPr>
              <w:jc w:val="center"/>
            </w:pPr>
            <w:r>
              <w:rPr>
                <w:sz w:val="20"/>
              </w:rPr>
              <w:t>（请填写）</w:t>
            </w:r>
          </w:p>
        </w:tc>
        <w:tc>
          <w:tcPr>
            <w:tcW w:type="dxa" w:w="2351"/>
          </w:tcPr>
          <w:p>
            <w:pPr>
              <w:jc w:val="center"/>
            </w:pPr>
            <w:r>
              <w:rPr>
                <w:sz w:val="20"/>
              </w:rPr>
              <w:t>需求调研、产品设计、系统测试</w:t>
            </w:r>
          </w:p>
        </w:tc>
      </w:tr>
      <w:tr>
        <w:tc>
          <w:tcPr>
            <w:tcW w:type="dxa" w:w="2351"/>
          </w:tcPr>
          <w:p>
            <w:pPr>
              <w:jc w:val="center"/>
            </w:pPr>
            <w:r>
              <w:rPr>
                <w:sz w:val="20"/>
              </w:rPr>
              <w:t>指导教师</w:t>
            </w:r>
          </w:p>
        </w:tc>
        <w:tc>
          <w:tcPr>
            <w:tcW w:type="dxa" w:w="2351"/>
          </w:tcPr>
          <w:p>
            <w:pPr>
              <w:jc w:val="center"/>
            </w:pPr>
            <w:r>
              <w:rPr>
                <w:sz w:val="20"/>
              </w:rPr>
              <w:t>（请填写）</w:t>
            </w:r>
          </w:p>
        </w:tc>
        <w:tc>
          <w:tcPr>
            <w:tcW w:type="dxa" w:w="2351"/>
          </w:tcPr>
          <w:p>
            <w:pPr>
              <w:jc w:val="center"/>
            </w:pPr>
            <w:r>
              <w:rPr>
                <w:sz w:val="20"/>
              </w:rPr>
              <w:t>（请填写）</w:t>
            </w:r>
          </w:p>
        </w:tc>
        <w:tc>
          <w:tcPr>
            <w:tcW w:type="dxa" w:w="2351"/>
          </w:tcPr>
          <w:p>
            <w:pPr>
              <w:jc w:val="center"/>
            </w:pPr>
            <w:r>
              <w:rPr>
                <w:sz w:val="20"/>
              </w:rPr>
              <w:t>技术指导、教育领域专业指导</w:t>
            </w:r>
          </w:p>
        </w:tc>
      </w:tr>
    </w:tbl>
    <w:p>
      <w:pPr>
        <w:ind w:firstLine="480"/>
      </w:pPr>
      <w:r>
        <w:rPr>
          <w:rFonts w:ascii="宋体" w:hAnsi="宋体" w:eastAsia="宋体"/>
          <w:sz w:val="24"/>
        </w:rPr>
        <w:t>团队成员的专业背景覆盖计算机科学、软件工程与教育学，具备跨学科协作能力，在Web全栈开发和AI应用开发方面积累了丰富的实践经验。</w:t>
      </w:r>
    </w:p>
    <w:p>
      <w:pPr>
        <w:pStyle w:val="Heading2"/>
      </w:pPr>
      <w:r>
        <w:rPr>
          <w:rFonts w:ascii="黑体" w:hAnsi="黑体" w:eastAsia="黑体"/>
          <w:color w:val="000000"/>
          <w:sz w:val="28"/>
        </w:rPr>
        <w:t>2.3 组织架构</w:t>
      </w:r>
    </w:p>
    <w:p>
      <w:pPr>
        <w:jc w:val="center"/>
      </w:pPr>
      <w:r>
        <w:drawing>
          <wp:inline xmlns:a="http://schemas.openxmlformats.org/drawingml/2006/main" xmlns:pic="http://schemas.openxmlformats.org/drawingml/2006/picture">
            <wp:extent cx="4572000" cy="2516013"/>
            <wp:docPr id="1" name="Picture 1"/>
            <wp:cNvGraphicFramePr>
              <a:graphicFrameLocks noChangeAspect="1"/>
            </wp:cNvGraphicFramePr>
            <a:graphic>
              <a:graphicData uri="http://schemas.openxmlformats.org/drawingml/2006/picture">
                <pic:pic>
                  <pic:nvPicPr>
                    <pic:cNvPr id="0" name="chart_2_1.png"/>
                    <pic:cNvPicPr/>
                  </pic:nvPicPr>
                  <pic:blipFill>
                    <a:blip r:embed="rId9"/>
                    <a:stretch>
                      <a:fillRect/>
                    </a:stretch>
                  </pic:blipFill>
                  <pic:spPr>
                    <a:xfrm>
                      <a:off x="0" y="0"/>
                      <a:ext cx="4572000" cy="2516013"/>
                    </a:xfrm>
                    <a:prstGeom prst="rect"/>
                  </pic:spPr>
                </pic:pic>
              </a:graphicData>
            </a:graphic>
          </wp:inline>
        </w:drawing>
      </w:r>
    </w:p>
    <w:p>
      <w:pPr>
        <w:ind w:firstLine="480"/>
      </w:pPr>
      <w:r>
        <w:rPr>
          <w:rFonts w:ascii="宋体" w:hAnsi="宋体" w:eastAsia="宋体"/>
          <w:sz w:val="24"/>
        </w:rPr>
        <w:t>团队采用扁平化管理结构，项目负责人统筹全局，下设技术组、产品组和运营组三个职能模块。技术组负责前后端开发、AI服务集成和系统运维；产品组负责需求调研、产品设计、测试验收和文档编写；运营组负责市场推广、用户支持和竞赛材料准备。各组之间通过每周例会和即时通讯保持高效协作。</w:t>
      </w:r>
    </w:p>
    <w:p>
      <w:pPr>
        <w:pStyle w:val="Heading2"/>
      </w:pPr>
      <w:r>
        <w:rPr>
          <w:rFonts w:ascii="黑体" w:hAnsi="黑体" w:eastAsia="黑体"/>
          <w:color w:val="000000"/>
          <w:sz w:val="28"/>
        </w:rPr>
        <w:t>2.4 公司宗旨</w:t>
      </w:r>
    </w:p>
    <w:p>
      <w:pPr>
        <w:ind w:firstLine="480"/>
      </w:pPr>
      <w:r>
        <w:rPr>
          <w:rFonts w:ascii="宋体" w:hAnsi="宋体" w:eastAsia="宋体"/>
          <w:sz w:val="24"/>
        </w:rPr>
        <w:t>项目的核心使命是通过多模态AI技术赋能师范教育，让每一位师范生都能获得及时、专业、个性化的试讲训练反馈。项目属于教育信息化公益事业与商业化运营相结合的模式，社会效益明显——减轻指导教师批改负担，缓解师范教育中师生比失衡的结构性矛盾，推动教育评价从"主观经验"向"数据驱动"转变，最终提升未来教师的培养质量，让更多基础教育阶段的学生受益于更高素质的师资队伍。</w:t>
      </w:r>
    </w:p>
    <w:p>
      <w:r>
        <w:br w:type="page"/>
      </w:r>
    </w:p>
    <w:p>
      <w:pPr>
        <w:pStyle w:val="Heading1"/>
        <w:jc w:val="center"/>
      </w:pPr>
      <w:r>
        <w:rPr>
          <w:rFonts w:ascii="黑体" w:hAnsi="黑体" w:eastAsia="黑体"/>
          <w:color w:val="000000"/>
          <w:sz w:val="32"/>
        </w:rPr>
        <w:t>第三章  市场分析</w:t>
      </w:r>
    </w:p>
    <w:p>
      <w:pPr>
        <w:pStyle w:val="Heading2"/>
      </w:pPr>
      <w:r>
        <w:rPr>
          <w:rFonts w:ascii="黑体" w:hAnsi="黑体" w:eastAsia="黑体"/>
          <w:color w:val="000000"/>
          <w:sz w:val="28"/>
        </w:rPr>
        <w:t>3.1 行业背景概述</w:t>
      </w:r>
    </w:p>
    <w:p>
      <w:pPr>
        <w:pStyle w:val="Heading3"/>
      </w:pPr>
      <w:r>
        <w:rPr>
          <w:rFonts w:ascii="黑体" w:hAnsi="黑体" w:eastAsia="黑体"/>
          <w:color w:val="000000"/>
          <w:sz w:val="24"/>
        </w:rPr>
        <w:t>3.1.1 师范教育规模持续扩大，师资培养压力凸显</w:t>
      </w:r>
    </w:p>
    <w:p>
      <w:pPr>
        <w:ind w:firstLine="480"/>
      </w:pPr>
      <w:r>
        <w:rPr>
          <w:rFonts w:ascii="宋体" w:hAnsi="宋体" w:eastAsia="宋体"/>
          <w:sz w:val="24"/>
        </w:rPr>
        <w:t>进入21世纪以来，我国高度重视教师队伍建设。全国师范类本科招生规模持续扩大，2024年师范生在校人数已突破300万，较十年前增长了近一倍。然而，高校指导教师的数量增长远远跟不上学生规模的扩张。据调研统计，当前一位指导教师通常需要同时指导25至35名师范生，部分院校甚至达到40人以上。试讲训练作为师范生教学能力培养的核心实践环节，需要教师对每位学生的教案和试讲视频进行逐一批改和反馈，工作量极为繁重。按每人20至30分钟的批改时间计算，指导30名学生的一轮批改至少需要10至15个小时的纯工作量，加上备课和反馈沟通的时间，实际投入更大。这种高强度的工作负荷不仅影响了教师的教学质量，也导致学生获得反馈的等待周期过长，平均达到5至10天，严重削弱了训练的时效性。</w:t>
      </w:r>
    </w:p>
    <w:p>
      <w:pPr>
        <w:jc w:val="center"/>
      </w:pPr>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chart_3_1.png"/>
                    <pic:cNvPicPr/>
                  </pic:nvPicPr>
                  <pic:blipFill>
                    <a:blip r:embed="rId10"/>
                    <a:stretch>
                      <a:fillRect/>
                    </a:stretch>
                  </pic:blipFill>
                  <pic:spPr>
                    <a:xfrm>
                      <a:off x="0" y="0"/>
                      <a:ext cx="4572000" cy="2571750"/>
                    </a:xfrm>
                    <a:prstGeom prst="rect"/>
                  </pic:spPr>
                </pic:pic>
              </a:graphicData>
            </a:graphic>
          </wp:inline>
        </w:drawing>
      </w:r>
    </w:p>
    <w:p>
      <w:pPr>
        <w:jc w:val="center"/>
      </w:pPr>
      <w:r>
        <w:drawing>
          <wp:inline xmlns:a="http://schemas.openxmlformats.org/drawingml/2006/main" xmlns:pic="http://schemas.openxmlformats.org/drawingml/2006/picture">
            <wp:extent cx="3474720" cy="3474720"/>
            <wp:docPr id="3" name="Picture 3"/>
            <wp:cNvGraphicFramePr>
              <a:graphicFrameLocks noChangeAspect="1"/>
            </wp:cNvGraphicFramePr>
            <a:graphic>
              <a:graphicData uri="http://schemas.openxmlformats.org/drawingml/2006/picture">
                <pic:pic>
                  <pic:nvPicPr>
                    <pic:cNvPr id="0" name="chart_3_2.png"/>
                    <pic:cNvPicPr/>
                  </pic:nvPicPr>
                  <pic:blipFill>
                    <a:blip r:embed="rId11"/>
                    <a:stretch>
                      <a:fillRect/>
                    </a:stretch>
                  </pic:blipFill>
                  <pic:spPr>
                    <a:xfrm>
                      <a:off x="0" y="0"/>
                      <a:ext cx="3474720" cy="3474720"/>
                    </a:xfrm>
                    <a:prstGeom prst="rect"/>
                  </pic:spPr>
                </pic:pic>
              </a:graphicData>
            </a:graphic>
          </wp:inline>
        </w:drawing>
      </w:r>
    </w:p>
    <w:p>
      <w:pPr>
        <w:pStyle w:val="Heading3"/>
      </w:pPr>
      <w:r>
        <w:rPr>
          <w:rFonts w:ascii="黑体" w:hAnsi="黑体" w:eastAsia="黑体"/>
          <w:color w:val="000000"/>
          <w:sz w:val="24"/>
        </w:rPr>
        <w:t>3.1.2 教育评价改革对过程性评价提出迫切需求</w:t>
      </w:r>
    </w:p>
    <w:p>
      <w:pPr>
        <w:ind w:firstLine="480"/>
      </w:pPr>
      <w:r>
        <w:rPr>
          <w:rFonts w:ascii="宋体" w:hAnsi="宋体" w:eastAsia="宋体"/>
          <w:sz w:val="24"/>
        </w:rPr>
        <w:t>长期以来，我国师范生试讲训练的评价方式以"终结性评价"为主——教师在学生试讲结束后给出一个总体分数和简短评语，缺乏对训练过程中多维度能力变化的持续记录和分析。《关于深化新时代教育评价改革总体方案》明确提出"改进结果评价，强化过程评价"的要求，但目前绝大多数高校的试讲训练管理系统仅支持成绩录入功能，不具备结构化数据采集和可视化分析能力，无法支撑过程性评价的落地实施。学生无法追踪自己在多次试讲中的能力变化趋势，教师也难以基于数据为学生提供个性化的指导建议。</w:t>
      </w:r>
    </w:p>
    <w:p>
      <w:pPr>
        <w:jc w:val="center"/>
      </w:pPr>
      <w:r>
        <w:drawing>
          <wp:inline xmlns:a="http://schemas.openxmlformats.org/drawingml/2006/main" xmlns:pic="http://schemas.openxmlformats.org/drawingml/2006/picture">
            <wp:extent cx="5029200" cy="2876733"/>
            <wp:docPr id="4" name="Picture 4"/>
            <wp:cNvGraphicFramePr>
              <a:graphicFrameLocks noChangeAspect="1"/>
            </wp:cNvGraphicFramePr>
            <a:graphic>
              <a:graphicData uri="http://schemas.openxmlformats.org/drawingml/2006/picture">
                <pic:pic>
                  <pic:nvPicPr>
                    <pic:cNvPr id="0" name="chart_3_3.png"/>
                    <pic:cNvPicPr/>
                  </pic:nvPicPr>
                  <pic:blipFill>
                    <a:blip r:embed="rId12"/>
                    <a:stretch>
                      <a:fillRect/>
                    </a:stretch>
                  </pic:blipFill>
                  <pic:spPr>
                    <a:xfrm>
                      <a:off x="0" y="0"/>
                      <a:ext cx="5029200" cy="2876733"/>
                    </a:xfrm>
                    <a:prstGeom prst="rect"/>
                  </pic:spPr>
                </pic:pic>
              </a:graphicData>
            </a:graphic>
          </wp:inline>
        </w:drawing>
      </w:r>
    </w:p>
    <w:p>
      <w:pPr>
        <w:pStyle w:val="Heading3"/>
      </w:pPr>
      <w:r>
        <w:rPr>
          <w:rFonts w:ascii="黑体" w:hAnsi="黑体" w:eastAsia="黑体"/>
          <w:color w:val="000000"/>
          <w:sz w:val="24"/>
        </w:rPr>
        <w:t>3.1.3 国家政策大力推动AI与教育深度融合</w:t>
      </w:r>
    </w:p>
    <w:p>
      <w:pPr>
        <w:ind w:firstLine="480"/>
      </w:pPr>
      <w:r>
        <w:rPr>
          <w:rFonts w:ascii="宋体" w:hAnsi="宋体" w:eastAsia="宋体"/>
          <w:sz w:val="24"/>
        </w:rPr>
        <w:t>近年来，国家出台了一系列重大政策为AI赋能教育提供战略支撑。《教育部教育信息化2.0行动计划》要求"推动人工智能在教学、管理、资源建设等全流程应用"。《新时代基础教育强师计划》强调"改革师范生培养模式，强化教学实践能力训练"。2024年政府工作报告首次提出"人工智能+"行动，将AI与各行业深度融合提升至国家战略高度。这些政策为AI+师范教育训练工具的发展提供了明确的方向指引和良好的政策环境。</w:t>
      </w:r>
    </w:p>
    <w:p>
      <w:pPr>
        <w:pStyle w:val="Heading3"/>
      </w:pPr>
      <w:r>
        <w:rPr>
          <w:rFonts w:ascii="黑体" w:hAnsi="黑体" w:eastAsia="黑体"/>
          <w:color w:val="000000"/>
          <w:sz w:val="24"/>
        </w:rPr>
        <w:t>3.1.4 大模型技术成熟为教育AI应用奠定基础</w:t>
      </w:r>
    </w:p>
    <w:p>
      <w:pPr>
        <w:ind w:firstLine="480"/>
      </w:pPr>
      <w:r>
        <w:rPr>
          <w:rFonts w:ascii="宋体" w:hAnsi="宋体" w:eastAsia="宋体"/>
          <w:sz w:val="24"/>
        </w:rPr>
        <w:t>2023至2025年间，大语言模型和多模态AI技术取得了里程碑式的突破。以通义千问为代表的国产大模型在文本分析、语音理解和视觉识别等方面已达到可用于生产环境的成熟度。更重要的是，这些能力通过标准化的API接口对外开放，开发者无需自建GPU集群即可集成使用，大幅降低了AI应用的开发门槛和部署成本。</w:t>
      </w:r>
    </w:p>
    <w:p>
      <w:pPr>
        <w:pStyle w:val="Heading2"/>
      </w:pPr>
      <w:r>
        <w:rPr>
          <w:rFonts w:ascii="黑体" w:hAnsi="黑体" w:eastAsia="黑体"/>
          <w:color w:val="000000"/>
          <w:sz w:val="28"/>
        </w:rPr>
        <w:t>3.2 目标客户</w:t>
      </w:r>
    </w:p>
    <w:p>
      <w:pPr>
        <w:ind w:firstLine="480"/>
      </w:pPr>
      <w:r>
        <w:rPr>
          <w:rFonts w:ascii="宋体" w:hAnsi="宋体" w:eastAsia="宋体"/>
          <w:sz w:val="24"/>
        </w:rPr>
        <w:t>项目的目标客户群体涵盖三个层面。第一层面是高校师范学院的教务管理人员，全国共有600余所相关院校，他们需要高效的教务管理工具和全局数据看板来支撑教学管理决策。第二层面是约5万名师范生指导教师，他们承受着繁重的批改压力，迫切需要AI辅助工具来提升批改效率和评价质量。第三层面也是最大的用户群体，即约300万名在校师范生，他们需要AI辅助备课工具、及时的训练反馈和可视化的能力成长追踪。此外，教师资格证考试培训机构、新教师入职培训项目等，都是潜在的目标客户。</w:t>
      </w:r>
    </w:p>
    <w:p>
      <w:pPr>
        <w:pStyle w:val="Heading2"/>
      </w:pPr>
      <w:r>
        <w:rPr>
          <w:rFonts w:ascii="黑体" w:hAnsi="黑体" w:eastAsia="黑体"/>
          <w:color w:val="000000"/>
          <w:sz w:val="28"/>
        </w:rPr>
        <w:t>3.3 目标客户面临问题</w:t>
      </w:r>
    </w:p>
    <w:p>
      <w:pPr>
        <w:pStyle w:val="Heading3"/>
      </w:pPr>
      <w:r>
        <w:rPr>
          <w:rFonts w:ascii="黑体" w:hAnsi="黑体" w:eastAsia="黑体"/>
          <w:color w:val="000000"/>
          <w:sz w:val="24"/>
        </w:rPr>
        <w:t>3.3.1 教师端面临的问题</w:t>
      </w:r>
    </w:p>
    <w:p>
      <w:pPr>
        <w:ind w:firstLine="480"/>
      </w:pPr>
      <w:r>
        <w:rPr>
          <w:rFonts w:ascii="宋体" w:hAnsi="宋体" w:eastAsia="宋体"/>
          <w:sz w:val="24"/>
        </w:rPr>
        <w:t>项目团队对多所高校师范学院进行了深入调研，发现指导教师面临的核心困境是批改效率低下与评价标准难以统一的双重压力。调研数据显示，仅有23%的教师对当前批改效率表示满意，87%的教师认为评价标准需要统一。每份作业包含教案文档（通常5至15页）和试讲视频（10至15分钟），教师需要完整阅读教案、观看视频后才能给出有针对性的反馈。以一所拥有200名师范生和8名指导教师的学院为例，每轮试讲批改的总人工成本约为100至150小时。92%的教师明确表示希望获得AI辅助批改工具。</w:t>
      </w:r>
    </w:p>
    <w:p>
      <w:pPr>
        <w:jc w:val="center"/>
      </w:pPr>
      <w:r>
        <w:drawing>
          <wp:inline xmlns:a="http://schemas.openxmlformats.org/drawingml/2006/main" xmlns:pic="http://schemas.openxmlformats.org/drawingml/2006/picture">
            <wp:extent cx="4114800" cy="2351314"/>
            <wp:docPr id="5" name="Picture 5"/>
            <wp:cNvGraphicFramePr>
              <a:graphicFrameLocks noChangeAspect="1"/>
            </wp:cNvGraphicFramePr>
            <a:graphic>
              <a:graphicData uri="http://schemas.openxmlformats.org/drawingml/2006/picture">
                <pic:pic>
                  <pic:nvPicPr>
                    <pic:cNvPr id="0" name="chart_3_4.png"/>
                    <pic:cNvPicPr/>
                  </pic:nvPicPr>
                  <pic:blipFill>
                    <a:blip r:embed="rId13"/>
                    <a:stretch>
                      <a:fillRect/>
                    </a:stretch>
                  </pic:blipFill>
                  <pic:spPr>
                    <a:xfrm>
                      <a:off x="0" y="0"/>
                      <a:ext cx="4114800" cy="2351314"/>
                    </a:xfrm>
                    <a:prstGeom prst="rect"/>
                  </pic:spPr>
                </pic:pic>
              </a:graphicData>
            </a:graphic>
          </wp:inline>
        </w:drawing>
      </w:r>
    </w:p>
    <w:p>
      <w:pPr>
        <w:pStyle w:val="Heading3"/>
      </w:pPr>
      <w:r>
        <w:rPr>
          <w:rFonts w:ascii="黑体" w:hAnsi="黑体" w:eastAsia="黑体"/>
          <w:color w:val="000000"/>
          <w:sz w:val="24"/>
        </w:rPr>
        <w:t>3.3.2 学生端面临的问题</w:t>
      </w:r>
    </w:p>
    <w:p>
      <w:pPr>
        <w:ind w:firstLine="480"/>
      </w:pPr>
      <w:r>
        <w:rPr>
          <w:rFonts w:ascii="宋体" w:hAnsi="宋体" w:eastAsia="宋体"/>
          <w:sz w:val="24"/>
        </w:rPr>
        <w:t>师范生面临的主要问题是反馈等待时间长、反馈内容不够具体以及备课训练缺乏互动。76%的学生认为收到的反馈不够具体和可操作，89%希望获得量化的评价指标而非笼统的印象分。最为突出的问题是备课训练缺乏互动场景——94%的学生反映在正式试讲前缺少模拟课堂互动的练习机会。91%的学生表示希望能够追踪自身的能力成长轨迹。</w:t>
      </w:r>
    </w:p>
    <w:p>
      <w:pPr>
        <w:jc w:val="center"/>
      </w:pPr>
      <w:r>
        <w:drawing>
          <wp:inline xmlns:a="http://schemas.openxmlformats.org/drawingml/2006/main" xmlns:pic="http://schemas.openxmlformats.org/drawingml/2006/picture">
            <wp:extent cx="4114800" cy="2645229"/>
            <wp:docPr id="6" name="Picture 6"/>
            <wp:cNvGraphicFramePr>
              <a:graphicFrameLocks noChangeAspect="1"/>
            </wp:cNvGraphicFramePr>
            <a:graphic>
              <a:graphicData uri="http://schemas.openxmlformats.org/drawingml/2006/picture">
                <pic:pic>
                  <pic:nvPicPr>
                    <pic:cNvPr id="0" name="chart_3_5.png"/>
                    <pic:cNvPicPr/>
                  </pic:nvPicPr>
                  <pic:blipFill>
                    <a:blip r:embed="rId14"/>
                    <a:stretch>
                      <a:fillRect/>
                    </a:stretch>
                  </pic:blipFill>
                  <pic:spPr>
                    <a:xfrm>
                      <a:off x="0" y="0"/>
                      <a:ext cx="4114800" cy="2645229"/>
                    </a:xfrm>
                    <a:prstGeom prst="rect"/>
                  </pic:spPr>
                </pic:pic>
              </a:graphicData>
            </a:graphic>
          </wp:inline>
        </w:drawing>
      </w:r>
    </w:p>
    <w:p>
      <w:pPr>
        <w:pStyle w:val="Heading3"/>
      </w:pPr>
      <w:r>
        <w:rPr>
          <w:rFonts w:ascii="黑体" w:hAnsi="黑体" w:eastAsia="黑体"/>
          <w:color w:val="000000"/>
          <w:sz w:val="24"/>
        </w:rPr>
        <w:t>3.3.3 管理端面临的问题</w:t>
      </w:r>
    </w:p>
    <w:p>
      <w:pPr>
        <w:ind w:firstLine="480"/>
      </w:pPr>
      <w:r>
        <w:rPr>
          <w:rFonts w:ascii="宋体" w:hAnsi="宋体" w:eastAsia="宋体"/>
          <w:sz w:val="24"/>
        </w:rPr>
        <w:t>教务管理人员面临的问题主要集中在管理流程繁琐和数据支撑不足两个方面。85%的管理人员反映当前教务管理流程依赖手工统计，效率低下。78%表示缺乏全局数据监控看板，无法实时掌握各批次的试讲训练进度。82%表示无法进行跨批次的教学质量对比分析。</w:t>
      </w:r>
    </w:p>
    <w:p>
      <w:pPr>
        <w:pStyle w:val="Heading2"/>
      </w:pPr>
      <w:r>
        <w:rPr>
          <w:rFonts w:ascii="黑体" w:hAnsi="黑体" w:eastAsia="黑体"/>
          <w:color w:val="000000"/>
          <w:sz w:val="28"/>
        </w:rPr>
        <w:t>3.4 行业发展趋势</w:t>
      </w:r>
    </w:p>
    <w:p>
      <w:pPr>
        <w:ind w:firstLine="480"/>
      </w:pPr>
      <w:r>
        <w:rPr>
          <w:rFonts w:ascii="宋体" w:hAnsi="宋体" w:eastAsia="宋体"/>
          <w:sz w:val="24"/>
        </w:rPr>
        <w:t>从宏观环境来看，我国AI+教育市场规模在2025年预计超过500亿元，其中师范教育信息化是增长最快的细分领域之一。从行业趋势来看，教育AI正从"通用工具"向"场景化深度应用"演进，市场真正需要的是能够融入教学全流程、理解具体学科和教学法要求、提供可解释和可追踪的分析结果的专业化产品。从评价方式来看，教育评价正从"终结性评价"向"过程性评价"转变，本项目的成长画像功能正是为这一趋势而设计。</w:t>
      </w:r>
    </w:p>
    <w:p>
      <w:pPr>
        <w:pStyle w:val="Heading2"/>
      </w:pPr>
      <w:r>
        <w:rPr>
          <w:rFonts w:ascii="黑体" w:hAnsi="黑体" w:eastAsia="黑体"/>
          <w:color w:val="000000"/>
          <w:sz w:val="28"/>
        </w:rPr>
        <w:t>3.5 竞争分析</w:t>
      </w:r>
    </w:p>
    <w:p>
      <w:pPr>
        <w:ind w:firstLine="480"/>
      </w:pPr>
      <w:r>
        <w:rPr>
          <w:rFonts w:ascii="宋体" w:hAnsi="宋体" w:eastAsia="宋体"/>
          <w:sz w:val="24"/>
        </w:rPr>
        <w:t>目前市场上与本项目存在间接竞争关系的产品主要有三类：传统教务系统（超星学习通、雨课堂）、通用AI工具（ChatGPT、文心一言）和语音视频分析产品（讯飞智教）。本项目的核心竞争优势在于五个方面：多模态AI深度融合教育场景、可解释的维度化评价体系、首创"角色扮演式"AI备课助手、基于画像快照的过程性评价闭环、三端均深度融合AI。此外系统支持Docker私有化部署，在数据安全性方面具有明显优势。</w:t>
      </w:r>
    </w:p>
    <w:p>
      <w:pPr>
        <w:jc w:val="center"/>
      </w:pPr>
      <w:r>
        <w:drawing>
          <wp:inline xmlns:a="http://schemas.openxmlformats.org/drawingml/2006/main" xmlns:pic="http://schemas.openxmlformats.org/drawingml/2006/picture">
            <wp:extent cx="4114800" cy="3478876"/>
            <wp:docPr id="7" name="Picture 7"/>
            <wp:cNvGraphicFramePr>
              <a:graphicFrameLocks noChangeAspect="1"/>
            </wp:cNvGraphicFramePr>
            <a:graphic>
              <a:graphicData uri="http://schemas.openxmlformats.org/drawingml/2006/picture">
                <pic:pic>
                  <pic:nvPicPr>
                    <pic:cNvPr id="0" name="chart_3_6.png"/>
                    <pic:cNvPicPr/>
                  </pic:nvPicPr>
                  <pic:blipFill>
                    <a:blip r:embed="rId15"/>
                    <a:stretch>
                      <a:fillRect/>
                    </a:stretch>
                  </pic:blipFill>
                  <pic:spPr>
                    <a:xfrm>
                      <a:off x="0" y="0"/>
                      <a:ext cx="4114800" cy="3478876"/>
                    </a:xfrm>
                    <a:prstGeom prst="rect"/>
                  </pic:spPr>
                </pic:pic>
              </a:graphicData>
            </a:graphic>
          </wp:inline>
        </w:drawing>
      </w:r>
    </w:p>
    <w:p>
      <w:r>
        <w:br w:type="page"/>
      </w:r>
    </w:p>
    <w:p>
      <w:pPr>
        <w:pStyle w:val="Heading1"/>
        <w:jc w:val="center"/>
      </w:pPr>
      <w:r>
        <w:rPr>
          <w:rFonts w:ascii="黑体" w:hAnsi="黑体" w:eastAsia="黑体"/>
          <w:color w:val="000000"/>
          <w:sz w:val="32"/>
        </w:rPr>
        <w:t>第四章  产品与技术分析</w:t>
      </w:r>
    </w:p>
    <w:p>
      <w:pPr>
        <w:pStyle w:val="Heading2"/>
      </w:pPr>
      <w:r>
        <w:rPr>
          <w:rFonts w:ascii="黑体" w:hAnsi="黑体" w:eastAsia="黑体"/>
          <w:color w:val="000000"/>
          <w:sz w:val="28"/>
        </w:rPr>
        <w:t>4.1 产品概述</w:t>
      </w:r>
    </w:p>
    <w:p>
      <w:pPr>
        <w:pStyle w:val="Heading3"/>
      </w:pPr>
      <w:r>
        <w:rPr>
          <w:rFonts w:ascii="黑体" w:hAnsi="黑体" w:eastAsia="黑体"/>
          <w:color w:val="000000"/>
          <w:sz w:val="24"/>
        </w:rPr>
        <w:t>4.1.1 产品介绍</w:t>
      </w:r>
    </w:p>
    <w:p>
      <w:pPr>
        <w:ind w:firstLine="480"/>
      </w:pPr>
      <w:r>
        <w:rPr>
          <w:rFonts w:ascii="宋体" w:hAnsi="宋体" w:eastAsia="宋体"/>
          <w:sz w:val="24"/>
        </w:rPr>
        <w:t>"智教领航"是一款基于多模态AI技术的高校师范生试讲智慧训练系统。系统采用Vue 3 + FastAPI + MySQL前后端分离的B/S架构，AI能力层集成通义千问系列三款专业模型——文本模型qwen-plus负责教案分析与生成，音频模型qwen-omni-turbo负责语音维度分析，视觉模型qwen-vl-max负责教态视觉分析——构建起覆盖文本、语音、视觉三种模态的AI能力中台。</w:t>
      </w:r>
    </w:p>
    <w:p>
      <w:pPr>
        <w:jc w:val="center"/>
      </w:pPr>
      <w:r>
        <w:drawing>
          <wp:inline xmlns:a="http://schemas.openxmlformats.org/drawingml/2006/main" xmlns:pic="http://schemas.openxmlformats.org/drawingml/2006/picture">
            <wp:extent cx="5029200" cy="2917317"/>
            <wp:docPr id="8" name="Picture 8"/>
            <wp:cNvGraphicFramePr>
              <a:graphicFrameLocks noChangeAspect="1"/>
            </wp:cNvGraphicFramePr>
            <a:graphic>
              <a:graphicData uri="http://schemas.openxmlformats.org/drawingml/2006/picture">
                <pic:pic>
                  <pic:nvPicPr>
                    <pic:cNvPr id="0" name="chart_4_1.png"/>
                    <pic:cNvPicPr/>
                  </pic:nvPicPr>
                  <pic:blipFill>
                    <a:blip r:embed="rId16"/>
                    <a:stretch>
                      <a:fillRect/>
                    </a:stretch>
                  </pic:blipFill>
                  <pic:spPr>
                    <a:xfrm>
                      <a:off x="0" y="0"/>
                      <a:ext cx="5029200" cy="2917317"/>
                    </a:xfrm>
                    <a:prstGeom prst="rect"/>
                  </pic:spPr>
                </pic:pic>
              </a:graphicData>
            </a:graphic>
          </wp:inline>
        </w:drawing>
      </w:r>
    </w:p>
    <w:p>
      <w:pPr>
        <w:ind w:firstLine="480"/>
      </w:pPr>
      <w:r>
        <w:rPr>
          <w:rFonts w:ascii="宋体" w:hAnsi="宋体" w:eastAsia="宋体"/>
          <w:sz w:val="24"/>
        </w:rPr>
        <w:t>系统包含五大核心功能模块：教案智能处理（七维度结构化分析、摘要、建议、评语、生成）、视频多模态分析（语音+视觉双通道）、AI辅助教学（备课助手+辅助批改）、教务管理（完整闭环）和成长画像（雷达图+趋势图+行动建议）。系统已完成开发并部署上线，覆盖学生端12个功能页面、教师端6个功能页面、管理员端15个功能页面，累计开发API接口80余个。</w:t>
      </w:r>
    </w:p>
    <w:p>
      <w:pPr>
        <w:jc w:val="center"/>
      </w:pPr>
      <w:r>
        <w:drawing>
          <wp:inline xmlns:a="http://schemas.openxmlformats.org/drawingml/2006/main" xmlns:pic="http://schemas.openxmlformats.org/drawingml/2006/picture">
            <wp:extent cx="4572000" cy="3647897"/>
            <wp:docPr id="9" name="Picture 9"/>
            <wp:cNvGraphicFramePr>
              <a:graphicFrameLocks noChangeAspect="1"/>
            </wp:cNvGraphicFramePr>
            <a:graphic>
              <a:graphicData uri="http://schemas.openxmlformats.org/drawingml/2006/picture">
                <pic:pic>
                  <pic:nvPicPr>
                    <pic:cNvPr id="0" name="chart_4_2.png"/>
                    <pic:cNvPicPr/>
                  </pic:nvPicPr>
                  <pic:blipFill>
                    <a:blip r:embed="rId17"/>
                    <a:stretch>
                      <a:fillRect/>
                    </a:stretch>
                  </pic:blipFill>
                  <pic:spPr>
                    <a:xfrm>
                      <a:off x="0" y="0"/>
                      <a:ext cx="4572000" cy="3647897"/>
                    </a:xfrm>
                    <a:prstGeom prst="rect"/>
                  </pic:spPr>
                </pic:pic>
              </a:graphicData>
            </a:graphic>
          </wp:inline>
        </w:drawing>
      </w:r>
    </w:p>
    <w:p>
      <w:pPr>
        <w:pStyle w:val="Heading3"/>
      </w:pPr>
      <w:r>
        <w:rPr>
          <w:rFonts w:ascii="黑体" w:hAnsi="黑体" w:eastAsia="黑体"/>
          <w:color w:val="000000"/>
          <w:sz w:val="24"/>
        </w:rPr>
        <w:t>4.1.2 使用说明</w:t>
      </w:r>
    </w:p>
    <w:p>
      <w:pPr>
        <w:jc w:val="center"/>
      </w:pPr>
      <w:r>
        <w:drawing>
          <wp:inline xmlns:a="http://schemas.openxmlformats.org/drawingml/2006/main" xmlns:pic="http://schemas.openxmlformats.org/drawingml/2006/picture">
            <wp:extent cx="5029200" cy="3646689"/>
            <wp:docPr id="10" name="Picture 10"/>
            <wp:cNvGraphicFramePr>
              <a:graphicFrameLocks noChangeAspect="1"/>
            </wp:cNvGraphicFramePr>
            <a:graphic>
              <a:graphicData uri="http://schemas.openxmlformats.org/drawingml/2006/picture">
                <pic:pic>
                  <pic:nvPicPr>
                    <pic:cNvPr id="0" name="chart_4_3.png"/>
                    <pic:cNvPicPr/>
                  </pic:nvPicPr>
                  <pic:blipFill>
                    <a:blip r:embed="rId18"/>
                    <a:stretch>
                      <a:fillRect/>
                    </a:stretch>
                  </pic:blipFill>
                  <pic:spPr>
                    <a:xfrm>
                      <a:off x="0" y="0"/>
                      <a:ext cx="5029200" cy="3646689"/>
                    </a:xfrm>
                    <a:prstGeom prst="rect"/>
                  </pic:spPr>
                </pic:pic>
              </a:graphicData>
            </a:graphic>
          </wp:inline>
        </w:drawing>
      </w:r>
    </w:p>
    <w:p>
      <w:pPr>
        <w:ind w:firstLine="480"/>
      </w:pPr>
      <w:r>
        <w:rPr>
          <w:rFonts w:ascii="宋体" w:hAnsi="宋体" w:eastAsia="宋体"/>
          <w:sz w:val="24"/>
        </w:rPr>
        <w:t>系统的使用流程形成完整闭环。管理员登录后创建批次并通过Excel批量导入学生和教师信息，使用一键自动均衡分配功能完成分组。教师创建试讲任务并发布，学生端即时可见。学生上传教案和试讲视频，系统自动触发AI分析。学生可以立即查看教案七维度评分和视频多模态评估结果，使用AI备课助手进行模拟课堂对话练习，在成长画像页面追踪能力变化趋势。教师进入作业批改页面后，通过五项一键AI辅助功能快速完成批改。管理员通过全局监控、数据大屏和AI运营看板掌握全局状态。</w:t>
      </w:r>
    </w:p>
    <w:p>
      <w:pPr>
        <w:pStyle w:val="Heading2"/>
      </w:pPr>
      <w:r>
        <w:rPr>
          <w:rFonts w:ascii="黑体" w:hAnsi="黑体" w:eastAsia="黑体"/>
          <w:color w:val="000000"/>
          <w:sz w:val="28"/>
        </w:rPr>
        <w:t>4.2 产品核心技术优势</w:t>
      </w:r>
    </w:p>
    <w:p>
      <w:pPr>
        <w:pStyle w:val="Heading3"/>
      </w:pPr>
      <w:r>
        <w:rPr>
          <w:rFonts w:ascii="黑体" w:hAnsi="黑体" w:eastAsia="黑体"/>
          <w:color w:val="000000"/>
          <w:sz w:val="24"/>
        </w:rPr>
        <w:t>4.2.1 多模态AI深度融合的技术独创性</w:t>
      </w:r>
    </w:p>
    <w:p>
      <w:pPr>
        <w:ind w:firstLine="480"/>
      </w:pPr>
      <w:r>
        <w:rPr>
          <w:rFonts w:ascii="宋体" w:hAnsi="宋体" w:eastAsia="宋体"/>
          <w:sz w:val="24"/>
        </w:rPr>
        <w:t>本系统最核心的技术优势在于实现了文本、语音、视觉三种AI模态在同一教育场景中的深度融合。系统通过统一的JSON数据模型将三款专业模型的分析结果进行关联存储，最终在成长画像模块汇聚进行跨模态综合计算。学生可以在同一张雷达图上同时看到"写（教案7个维度）、讲（视频3个维度）、练（互动1个维度）"共11个维度的能力分布，这是真正的跨模态数据融合而非功能拼凑。目前市场上没有任何产品实现了文本+语音+视觉三种模态在教育场景中的协同分析和数据融合。</w:t>
      </w:r>
    </w:p>
    <w:p>
      <w:pPr>
        <w:pStyle w:val="Heading3"/>
      </w:pPr>
      <w:r>
        <w:rPr>
          <w:rFonts w:ascii="黑体" w:hAnsi="黑体" w:eastAsia="黑体"/>
          <w:color w:val="000000"/>
          <w:sz w:val="24"/>
        </w:rPr>
        <w:t>4.2.2 可解释评价体系的专业性</w:t>
      </w:r>
    </w:p>
    <w:p>
      <w:pPr>
        <w:ind w:firstLine="480"/>
      </w:pPr>
      <w:r>
        <w:rPr>
          <w:rFonts w:ascii="宋体" w:hAnsi="宋体" w:eastAsia="宋体"/>
          <w:sz w:val="24"/>
        </w:rPr>
        <w:t>系统的评价体系完全基于师范教育领域的专业标准设计。教案分析的七个维度、每个维度的评分标准和权重都来自教案评价的学术研究和教学实践，通过Prompt Engineering注入大语言模型。每个维度不仅给出0到100的量化评分，还附带评价说明、亮点和改进建议，做到"分从何来、改往何去"。评分权重支持通过Rubric配置进行动态调整，不同院校和学科可以根据自身需要定制评价标准。</w:t>
      </w:r>
    </w:p>
    <w:p>
      <w:pPr>
        <w:pStyle w:val="Heading3"/>
      </w:pPr>
      <w:r>
        <w:rPr>
          <w:rFonts w:ascii="黑体" w:hAnsi="黑体" w:eastAsia="黑体"/>
          <w:color w:val="000000"/>
          <w:sz w:val="24"/>
        </w:rPr>
        <w:t>4.2.3 首创功能的市场引领性</w:t>
      </w:r>
    </w:p>
    <w:p>
      <w:pPr>
        <w:ind w:firstLine="480"/>
      </w:pPr>
      <w:r>
        <w:rPr>
          <w:rFonts w:ascii="宋体" w:hAnsi="宋体" w:eastAsia="宋体"/>
          <w:sz w:val="24"/>
        </w:rPr>
        <w:t>AI备课助手的"角色扮演式"设计在国内外教育AI领域属于首创。通过System Prompt精确控制AI的年级认知水平边界和性格特征，配合五种提问策略（基础理解、深入追问、拓展延伸、实际应用、常见错误）的概率分布调控，对话采用流式输出模拟真实课堂节奏，练习结束后自动生成结构化报告。这一功能为师范生提供了一种全新的备课训练范式。</w:t>
      </w:r>
    </w:p>
    <w:p>
      <w:pPr>
        <w:pStyle w:val="Heading2"/>
      </w:pPr>
      <w:r>
        <w:rPr>
          <w:rFonts w:ascii="黑体" w:hAnsi="黑体" w:eastAsia="黑体"/>
          <w:color w:val="000000"/>
          <w:sz w:val="28"/>
        </w:rPr>
        <w:t>4.3 产品可行性分析</w:t>
      </w:r>
    </w:p>
    <w:p>
      <w:pPr>
        <w:pStyle w:val="Heading3"/>
      </w:pPr>
      <w:r>
        <w:rPr>
          <w:rFonts w:ascii="黑体" w:hAnsi="黑体" w:eastAsia="黑体"/>
          <w:color w:val="000000"/>
          <w:sz w:val="24"/>
        </w:rPr>
        <w:t>4.3.1 技术可行性</w:t>
      </w:r>
    </w:p>
    <w:p>
      <w:pPr>
        <w:ind w:firstLine="480"/>
      </w:pPr>
      <w:r>
        <w:rPr>
          <w:rFonts w:ascii="宋体" w:hAnsi="宋体" w:eastAsia="宋体"/>
          <w:sz w:val="24"/>
        </w:rPr>
        <w:t>系统的技术栈全部基于成熟的开源框架和商用API。前端采用Vue 3 + TypeScript + Vite + Element Plus + ECharts，后端采用FastAPI + Async SQLAlchemy + MySQL 8.0，AI能力通过通义千问系列模型的标准化API接口调用，部署通过Docker + Docker Compose实现容器化。系统已完成全部开发并上线运行，充分证明了技术方案的可行性。</w:t>
      </w:r>
    </w:p>
    <w:p>
      <w:pPr>
        <w:pStyle w:val="Heading3"/>
      </w:pPr>
      <w:r>
        <w:rPr>
          <w:rFonts w:ascii="黑体" w:hAnsi="黑体" w:eastAsia="黑体"/>
          <w:color w:val="000000"/>
          <w:sz w:val="24"/>
        </w:rPr>
        <w:t>4.3.2 市场可行性</w:t>
      </w:r>
    </w:p>
    <w:p>
      <w:pPr>
        <w:ind w:firstLine="480"/>
      </w:pPr>
      <w:r>
        <w:rPr>
          <w:rFonts w:ascii="宋体" w:hAnsi="宋体" w:eastAsia="宋体"/>
          <w:sz w:val="24"/>
        </w:rPr>
        <w:t>根据调研数据，92%的指导教师希望获得AI辅助批改工具，94%的师范生反映缺乏互动练习机会，91%的学生希望追踪能力成长——市场需求明确且迫切。同时，目前该细分领域尚无直接竞品，先发优势显著。</w:t>
      </w:r>
    </w:p>
    <w:p>
      <w:pPr>
        <w:pStyle w:val="Heading3"/>
      </w:pPr>
      <w:r>
        <w:rPr>
          <w:rFonts w:ascii="黑体" w:hAnsi="黑体" w:eastAsia="黑体"/>
          <w:color w:val="000000"/>
          <w:sz w:val="24"/>
        </w:rPr>
        <w:t>4.3.3 经济可行性</w:t>
      </w:r>
    </w:p>
    <w:p>
      <w:pPr>
        <w:ind w:firstLine="480"/>
      </w:pPr>
      <w:r>
        <w:rPr>
          <w:rFonts w:ascii="宋体" w:hAnsi="宋体" w:eastAsia="宋体"/>
          <w:sz w:val="24"/>
        </w:rPr>
        <w:t>系统的AI能力通过API远程调用云端大模型，不依赖本地GPU资源，部署硬件要求仅为4核CPU、8GB内存、100GB硬盘的普通服务器，单校部署成本极低。AI调用成本随着大模型价格的持续下降而不断降低。</w:t>
      </w:r>
    </w:p>
    <w:p>
      <w:pPr>
        <w:pStyle w:val="Heading3"/>
      </w:pPr>
      <w:r>
        <w:rPr>
          <w:rFonts w:ascii="黑体" w:hAnsi="黑体" w:eastAsia="黑体"/>
          <w:color w:val="000000"/>
          <w:sz w:val="24"/>
        </w:rPr>
        <w:t>4.3.4 政策可行性</w:t>
      </w:r>
    </w:p>
    <w:p>
      <w:pPr>
        <w:ind w:firstLine="480"/>
      </w:pPr>
      <w:r>
        <w:rPr>
          <w:rFonts w:ascii="宋体" w:hAnsi="宋体" w:eastAsia="宋体"/>
          <w:sz w:val="24"/>
        </w:rPr>
        <w:t>《教育部教育信息化2.0行动计划》明确要求推动AI在教学全流程应用。《新时代基础教育强师计划》强调强化师范生教学实践能力训练。2024年政府工作报告首次提出"人工智能+"行动。这些政策为本项目提供了坚实的政策依据和发展方向。</w:t>
      </w:r>
    </w:p>
    <w:p>
      <w:r>
        <w:br w:type="page"/>
      </w:r>
    </w:p>
    <w:p>
      <w:pPr>
        <w:pStyle w:val="Heading1"/>
        <w:jc w:val="center"/>
      </w:pPr>
      <w:r>
        <w:rPr>
          <w:rFonts w:ascii="黑体" w:hAnsi="黑体" w:eastAsia="黑体"/>
          <w:color w:val="000000"/>
          <w:sz w:val="32"/>
        </w:rPr>
        <w:t>第五章  商业模式</w:t>
      </w:r>
    </w:p>
    <w:p>
      <w:pPr>
        <w:pStyle w:val="Heading2"/>
      </w:pPr>
      <w:r>
        <w:rPr>
          <w:rFonts w:ascii="黑体" w:hAnsi="黑体" w:eastAsia="黑体"/>
          <w:color w:val="000000"/>
          <w:sz w:val="28"/>
        </w:rPr>
        <w:t>5.1 商业模式概述</w:t>
      </w:r>
    </w:p>
    <w:p>
      <w:pPr>
        <w:jc w:val="center"/>
      </w:pPr>
      <w:r>
        <w:drawing>
          <wp:inline xmlns:a="http://schemas.openxmlformats.org/drawingml/2006/main" xmlns:pic="http://schemas.openxmlformats.org/drawingml/2006/picture">
            <wp:extent cx="5029200" cy="2261871"/>
            <wp:docPr id="11" name="Picture 11"/>
            <wp:cNvGraphicFramePr>
              <a:graphicFrameLocks noChangeAspect="1"/>
            </wp:cNvGraphicFramePr>
            <a:graphic>
              <a:graphicData uri="http://schemas.openxmlformats.org/drawingml/2006/picture">
                <pic:pic>
                  <pic:nvPicPr>
                    <pic:cNvPr id="0" name="chart_5_1.png"/>
                    <pic:cNvPicPr/>
                  </pic:nvPicPr>
                  <pic:blipFill>
                    <a:blip r:embed="rId19"/>
                    <a:stretch>
                      <a:fillRect/>
                    </a:stretch>
                  </pic:blipFill>
                  <pic:spPr>
                    <a:xfrm>
                      <a:off x="0" y="0"/>
                      <a:ext cx="5029200" cy="2261871"/>
                    </a:xfrm>
                    <a:prstGeom prst="rect"/>
                  </pic:spPr>
                </pic:pic>
              </a:graphicData>
            </a:graphic>
          </wp:inline>
        </w:drawing>
      </w:r>
    </w:p>
    <w:p>
      <w:pPr>
        <w:ind w:firstLine="480"/>
      </w:pPr>
      <w:r>
        <w:rPr>
          <w:rFonts w:ascii="宋体" w:hAnsi="宋体" w:eastAsia="宋体"/>
          <w:sz w:val="24"/>
        </w:rPr>
        <w:t>项目以"智教领航"互联网试讲训练平台为核心，采用"平台+服务"的商业模式。平台层面，为高校师范学院提供集AI智能分析、教务管理和数据看板于一体的一站式解决方案，学院按年度订阅使用。服务层面，为有个性化需求的院校提供私有化部署、评价标准定制和技术培训等增值服务。技术层面，将教案分析API和视频分析API作为独立能力向第三方教育平台开放。与传统教育信息化产品的纯SaaS模式不同，本项目同时支持SaaS和私有化部署两种模式，以适应不同院校在数据安全和个性化方面的差异化需求。</w:t>
      </w:r>
    </w:p>
    <w:p>
      <w:pPr>
        <w:pStyle w:val="Heading2"/>
      </w:pPr>
      <w:r>
        <w:rPr>
          <w:rFonts w:ascii="黑体" w:hAnsi="黑体" w:eastAsia="黑体"/>
          <w:color w:val="000000"/>
          <w:sz w:val="28"/>
        </w:rPr>
        <w:t>5.2 商业模式画布</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b/>
                <w:sz w:val="20"/>
              </w:rPr>
              <w:t>要素</w:t>
            </w:r>
          </w:p>
        </w:tc>
        <w:tc>
          <w:tcPr>
            <w:tcW w:type="dxa" w:w="4702"/>
          </w:tcPr>
          <w:p>
            <w:pPr>
              <w:jc w:val="center"/>
            </w:pPr>
            <w:r>
              <w:rPr>
                <w:b/>
                <w:sz w:val="20"/>
              </w:rPr>
              <w:t>内容</w:t>
            </w:r>
          </w:p>
        </w:tc>
      </w:tr>
      <w:tr>
        <w:tc>
          <w:tcPr>
            <w:tcW w:type="dxa" w:w="4702"/>
          </w:tcPr>
          <w:p>
            <w:pPr>
              <w:jc w:val="center"/>
            </w:pPr>
            <w:r>
              <w:rPr>
                <w:sz w:val="20"/>
              </w:rPr>
              <w:t>重要合作</w:t>
            </w:r>
          </w:p>
        </w:tc>
        <w:tc>
          <w:tcPr>
            <w:tcW w:type="dxa" w:w="4702"/>
          </w:tcPr>
          <w:p>
            <w:pPr>
              <w:jc w:val="center"/>
            </w:pPr>
            <w:r>
              <w:rPr>
                <w:sz w:val="20"/>
              </w:rPr>
              <w:t>通义千问/DeepSeek等AI服务商；高校师范学院；教育信息化联盟</w:t>
            </w:r>
          </w:p>
        </w:tc>
      </w:tr>
      <w:tr>
        <w:tc>
          <w:tcPr>
            <w:tcW w:type="dxa" w:w="4702"/>
          </w:tcPr>
          <w:p>
            <w:pPr>
              <w:jc w:val="center"/>
            </w:pPr>
            <w:r>
              <w:rPr>
                <w:sz w:val="20"/>
              </w:rPr>
              <w:t>关键业务</w:t>
            </w:r>
          </w:p>
        </w:tc>
        <w:tc>
          <w:tcPr>
            <w:tcW w:type="dxa" w:w="4702"/>
          </w:tcPr>
          <w:p>
            <w:pPr>
              <w:jc w:val="center"/>
            </w:pPr>
            <w:r>
              <w:rPr>
                <w:sz w:val="20"/>
              </w:rPr>
              <w:t>AI Prompt工程与持续优化；系统开发迭代与运维；用户支持与培训</w:t>
            </w:r>
          </w:p>
        </w:tc>
      </w:tr>
      <w:tr>
        <w:tc>
          <w:tcPr>
            <w:tcW w:type="dxa" w:w="4702"/>
          </w:tcPr>
          <w:p>
            <w:pPr>
              <w:jc w:val="center"/>
            </w:pPr>
            <w:r>
              <w:rPr>
                <w:sz w:val="20"/>
              </w:rPr>
              <w:t>核心资源</w:t>
            </w:r>
          </w:p>
        </w:tc>
        <w:tc>
          <w:tcPr>
            <w:tcW w:type="dxa" w:w="4702"/>
          </w:tcPr>
          <w:p>
            <w:pPr>
              <w:jc w:val="center"/>
            </w:pPr>
            <w:r>
              <w:rPr>
                <w:sz w:val="20"/>
              </w:rPr>
              <w:t>多模态AI技术能力；师范教育领域知识；软件著作权；用户数据积累</w:t>
            </w:r>
          </w:p>
        </w:tc>
      </w:tr>
      <w:tr>
        <w:tc>
          <w:tcPr>
            <w:tcW w:type="dxa" w:w="4702"/>
          </w:tcPr>
          <w:p>
            <w:pPr>
              <w:jc w:val="center"/>
            </w:pPr>
            <w:r>
              <w:rPr>
                <w:sz w:val="20"/>
              </w:rPr>
              <w:t>价值主张</w:t>
            </w:r>
          </w:p>
        </w:tc>
        <w:tc>
          <w:tcPr>
            <w:tcW w:type="dxa" w:w="4702"/>
          </w:tcPr>
          <w:p>
            <w:pPr>
              <w:jc w:val="center"/>
            </w:pPr>
            <w:r>
              <w:rPr>
                <w:sz w:val="20"/>
              </w:rPr>
              <w:t>将试讲训练做成可量化、可解释、可追踪的训练闭环</w:t>
            </w:r>
          </w:p>
        </w:tc>
      </w:tr>
      <w:tr>
        <w:tc>
          <w:tcPr>
            <w:tcW w:type="dxa" w:w="4702"/>
          </w:tcPr>
          <w:p>
            <w:pPr>
              <w:jc w:val="center"/>
            </w:pPr>
            <w:r>
              <w:rPr>
                <w:sz w:val="20"/>
              </w:rPr>
              <w:t>客户关系</w:t>
            </w:r>
          </w:p>
        </w:tc>
        <w:tc>
          <w:tcPr>
            <w:tcW w:type="dxa" w:w="4702"/>
          </w:tcPr>
          <w:p>
            <w:pPr>
              <w:jc w:val="center"/>
            </w:pPr>
            <w:r>
              <w:rPr>
                <w:sz w:val="20"/>
              </w:rPr>
              <w:t>平台长期服务；学生数据粘性；成长画像价值积累</w:t>
            </w:r>
          </w:p>
        </w:tc>
      </w:tr>
      <w:tr>
        <w:tc>
          <w:tcPr>
            <w:tcW w:type="dxa" w:w="4702"/>
          </w:tcPr>
          <w:p>
            <w:pPr>
              <w:jc w:val="center"/>
            </w:pPr>
            <w:r>
              <w:rPr>
                <w:sz w:val="20"/>
              </w:rPr>
              <w:t>渠道通路</w:t>
            </w:r>
          </w:p>
        </w:tc>
        <w:tc>
          <w:tcPr>
            <w:tcW w:type="dxa" w:w="4702"/>
          </w:tcPr>
          <w:p>
            <w:pPr>
              <w:jc w:val="center"/>
            </w:pPr>
            <w:r>
              <w:rPr>
                <w:sz w:val="20"/>
              </w:rPr>
              <w:t>本校试点；教育信息化联盟；竞赛成果背书；学术会议</w:t>
            </w:r>
          </w:p>
        </w:tc>
      </w:tr>
      <w:tr>
        <w:tc>
          <w:tcPr>
            <w:tcW w:type="dxa" w:w="4702"/>
          </w:tcPr>
          <w:p>
            <w:pPr>
              <w:jc w:val="center"/>
            </w:pPr>
            <w:r>
              <w:rPr>
                <w:sz w:val="20"/>
              </w:rPr>
              <w:t>客户细分</w:t>
            </w:r>
          </w:p>
        </w:tc>
        <w:tc>
          <w:tcPr>
            <w:tcW w:type="dxa" w:w="4702"/>
          </w:tcPr>
          <w:p>
            <w:pPr>
              <w:jc w:val="center"/>
            </w:pPr>
            <w:r>
              <w:rPr>
                <w:sz w:val="20"/>
              </w:rPr>
              <w:t>师范生（300万）；指导教师（5万）；教务管理人员</w:t>
            </w:r>
          </w:p>
        </w:tc>
      </w:tr>
      <w:tr>
        <w:tc>
          <w:tcPr>
            <w:tcW w:type="dxa" w:w="4702"/>
          </w:tcPr>
          <w:p>
            <w:pPr>
              <w:jc w:val="center"/>
            </w:pPr>
            <w:r>
              <w:rPr>
                <w:sz w:val="20"/>
              </w:rPr>
              <w:t>成本构成</w:t>
            </w:r>
          </w:p>
        </w:tc>
        <w:tc>
          <w:tcPr>
            <w:tcW w:type="dxa" w:w="4702"/>
          </w:tcPr>
          <w:p>
            <w:pPr>
              <w:jc w:val="center"/>
            </w:pPr>
            <w:r>
              <w:rPr>
                <w:sz w:val="20"/>
              </w:rPr>
              <w:t>AI API调用费；服务器运维费；人员薪酬；营销推广费</w:t>
            </w:r>
          </w:p>
        </w:tc>
      </w:tr>
      <w:tr>
        <w:tc>
          <w:tcPr>
            <w:tcW w:type="dxa" w:w="4702"/>
          </w:tcPr>
          <w:p>
            <w:pPr>
              <w:jc w:val="center"/>
            </w:pPr>
            <w:r>
              <w:rPr>
                <w:sz w:val="20"/>
              </w:rPr>
              <w:t>收入来源</w:t>
            </w:r>
          </w:p>
        </w:tc>
        <w:tc>
          <w:tcPr>
            <w:tcW w:type="dxa" w:w="4702"/>
          </w:tcPr>
          <w:p>
            <w:pPr>
              <w:jc w:val="center"/>
            </w:pPr>
            <w:r>
              <w:rPr>
                <w:sz w:val="20"/>
              </w:rPr>
              <w:t>SaaS年度订阅费；私有化部署服务费；AI API调用费</w:t>
            </w:r>
          </w:p>
        </w:tc>
      </w:tr>
    </w:tbl>
    <w:p>
      <w:pPr>
        <w:pStyle w:val="Heading2"/>
      </w:pPr>
      <w:r>
        <w:rPr>
          <w:rFonts w:ascii="黑体" w:hAnsi="黑体" w:eastAsia="黑体"/>
          <w:color w:val="000000"/>
          <w:sz w:val="28"/>
        </w:rPr>
        <w:t>5.3 盈利模式</w:t>
      </w:r>
    </w:p>
    <w:p>
      <w:pPr>
        <w:ind w:firstLine="480"/>
      </w:pPr>
      <w:r>
        <w:rPr>
          <w:rFonts w:ascii="宋体" w:hAnsi="宋体" w:eastAsia="宋体"/>
          <w:sz w:val="24"/>
        </w:rPr>
        <w:t>项目盈利模式有三类：第一类是SaaS订阅收入，按学院和年度收取订阅费用，包含系统使用权、AI调用额度和基础技术支持，这是项目的基础收入来源。第二类是私有化部署与定制服务收入，为数据安全性要求较高的院校提供Docker私有化部署方案，一次性收取部署费用加年度维护费。第三类是AI能力开放收入，将教案分析API和视频分析API作为独立服务向第三方教育平台开放，按API调用量收费。</w:t>
      </w:r>
    </w:p>
    <w:p>
      <w:pPr>
        <w:pStyle w:val="Heading2"/>
      </w:pPr>
      <w:r>
        <w:rPr>
          <w:rFonts w:ascii="黑体" w:hAnsi="黑体" w:eastAsia="黑体"/>
          <w:color w:val="000000"/>
          <w:sz w:val="28"/>
        </w:rPr>
        <w:t>5.4 未来发展</w:t>
      </w:r>
    </w:p>
    <w:p>
      <w:pPr>
        <w:ind w:firstLine="480"/>
      </w:pPr>
      <w:r>
        <w:rPr>
          <w:rFonts w:ascii="宋体" w:hAnsi="宋体" w:eastAsia="宋体"/>
          <w:sz w:val="24"/>
        </w:rPr>
        <w:t>项目的短期任务是在本校师范学院完成实际课程试运行，积累真实应用数据和用户口碑。中期目标是力争在2到3年内覆盖区域内10至20所高校，建立稳定的用户基础和品牌认知。长期愿景是将"智教领航"打造为AI赋能师范教育的全国性平台，覆盖全国数百所师范院校和教育类院校，并向教师资格证培训、新教师入职培训、教学竞赛辅助等相邻领域拓展，构建AI+教师教育的生态体系。</w:t>
      </w:r>
    </w:p>
    <w:p>
      <w:r>
        <w:br w:type="page"/>
      </w:r>
    </w:p>
    <w:p>
      <w:pPr>
        <w:pStyle w:val="Heading1"/>
        <w:jc w:val="center"/>
      </w:pPr>
      <w:r>
        <w:rPr>
          <w:rFonts w:ascii="黑体" w:hAnsi="黑体" w:eastAsia="黑体"/>
          <w:color w:val="000000"/>
          <w:sz w:val="32"/>
        </w:rPr>
        <w:t>第六章  营销策略</w:t>
      </w:r>
    </w:p>
    <w:p>
      <w:pPr>
        <w:pStyle w:val="Heading2"/>
      </w:pPr>
      <w:r>
        <w:rPr>
          <w:rFonts w:ascii="黑体" w:hAnsi="黑体" w:eastAsia="黑体"/>
          <w:color w:val="000000"/>
          <w:sz w:val="28"/>
        </w:rPr>
        <w:t>6.1 主要推广策略</w:t>
      </w:r>
    </w:p>
    <w:p>
      <w:pPr>
        <w:pStyle w:val="Heading3"/>
      </w:pPr>
      <w:r>
        <w:rPr>
          <w:rFonts w:ascii="黑体" w:hAnsi="黑体" w:eastAsia="黑体"/>
          <w:color w:val="000000"/>
          <w:sz w:val="24"/>
        </w:rPr>
        <w:t>6.1.1 校内试点推广</w:t>
      </w:r>
    </w:p>
    <w:p>
      <w:pPr>
        <w:ind w:firstLine="480"/>
      </w:pPr>
      <w:r>
        <w:rPr>
          <w:rFonts w:ascii="宋体" w:hAnsi="宋体" w:eastAsia="宋体"/>
          <w:sz w:val="24"/>
        </w:rPr>
        <w:t>项目推广的第一步是在本校师范学院进行实际课程试运行。通过与学院教务部门合作，将系统嵌入到试讲训练的常规教学流程中，让教师和学生在真实教学场景中体验系统功能。试运行期间免费提供全部功能，重点收集用户反馈和应用数据，用真实的效率提升数据形成有说服力的案例材料。</w:t>
      </w:r>
    </w:p>
    <w:p>
      <w:pPr>
        <w:pStyle w:val="Heading3"/>
      </w:pPr>
      <w:r>
        <w:rPr>
          <w:rFonts w:ascii="黑体" w:hAnsi="黑体" w:eastAsia="黑体"/>
          <w:color w:val="000000"/>
          <w:sz w:val="24"/>
        </w:rPr>
        <w:t>6.1.2 竞赛成果背书</w:t>
      </w:r>
    </w:p>
    <w:p>
      <w:pPr>
        <w:ind w:firstLine="480"/>
      </w:pPr>
      <w:r>
        <w:rPr>
          <w:rFonts w:ascii="宋体" w:hAnsi="宋体" w:eastAsia="宋体"/>
          <w:sz w:val="24"/>
        </w:rPr>
        <w:t>参加"挑战杯"等全国性大学生科技竞赛，以获奖成果作为产品品质和创新性的权威背书。竞赛获奖不仅能提升项目在高校圈层的知名度和可信度，还能建立与各地高校的联系渠道，为后续推广打开局面。</w:t>
      </w:r>
    </w:p>
    <w:p>
      <w:pPr>
        <w:pStyle w:val="Heading3"/>
      </w:pPr>
      <w:r>
        <w:rPr>
          <w:rFonts w:ascii="黑体" w:hAnsi="黑体" w:eastAsia="黑体"/>
          <w:color w:val="000000"/>
          <w:sz w:val="24"/>
        </w:rPr>
        <w:t>6.1.3 教育信息化联盟渠道</w:t>
      </w:r>
    </w:p>
    <w:p>
      <w:pPr>
        <w:ind w:firstLine="480"/>
      </w:pPr>
      <w:r>
        <w:rPr>
          <w:rFonts w:ascii="宋体" w:hAnsi="宋体" w:eastAsia="宋体"/>
          <w:sz w:val="24"/>
        </w:rPr>
        <w:t>通过加入省级和全国性的教育信息化联盟、师范院校合作网络，借助联盟平台进行产品展示和推介。教育信息化联盟的成员单位通常有定期的交流会议和技术展示活动，这是触达目标院校决策者的高效渠道。</w:t>
      </w:r>
    </w:p>
    <w:p>
      <w:pPr>
        <w:pStyle w:val="Heading3"/>
      </w:pPr>
      <w:r>
        <w:rPr>
          <w:rFonts w:ascii="黑体" w:hAnsi="黑体" w:eastAsia="黑体"/>
          <w:color w:val="000000"/>
          <w:sz w:val="24"/>
        </w:rPr>
        <w:t>6.1.4 学术会议与行业展会</w:t>
      </w:r>
    </w:p>
    <w:p>
      <w:pPr>
        <w:ind w:firstLine="480"/>
      </w:pPr>
      <w:r>
        <w:rPr>
          <w:rFonts w:ascii="宋体" w:hAnsi="宋体" w:eastAsia="宋体"/>
          <w:sz w:val="24"/>
        </w:rPr>
        <w:t>在教育技术、师范教育、人工智能与教育等方向的学术会议上发表论文或做产品展示，在教育信息化行业展会上设置展位，面向高校教务管理人员和一线教师进行推广。</w:t>
      </w:r>
    </w:p>
    <w:p>
      <w:pPr>
        <w:pStyle w:val="Heading3"/>
      </w:pPr>
      <w:r>
        <w:rPr>
          <w:rFonts w:ascii="黑体" w:hAnsi="黑体" w:eastAsia="黑体"/>
          <w:color w:val="000000"/>
          <w:sz w:val="24"/>
        </w:rPr>
        <w:t>6.1.5 新媒体内容营销</w:t>
      </w:r>
    </w:p>
    <w:p>
      <w:pPr>
        <w:ind w:firstLine="480"/>
      </w:pPr>
      <w:r>
        <w:rPr>
          <w:rFonts w:ascii="宋体" w:hAnsi="宋体" w:eastAsia="宋体"/>
          <w:sz w:val="24"/>
        </w:rPr>
        <w:t>在微信公众号、知乎、B站等平台发布AI+教育方向的深度内容，包括产品功能演示视频、用户使用案例、AI教育技术解读等。通过持续的内容输出建立品牌专业形象。</w:t>
      </w:r>
    </w:p>
    <w:p>
      <w:pPr>
        <w:pStyle w:val="Heading3"/>
      </w:pPr>
      <w:r>
        <w:rPr>
          <w:rFonts w:ascii="黑体" w:hAnsi="黑体" w:eastAsia="黑体"/>
          <w:color w:val="000000"/>
          <w:sz w:val="24"/>
        </w:rPr>
        <w:t>6.1.6 口碑裂变推广</w:t>
      </w:r>
    </w:p>
    <w:p>
      <w:pPr>
        <w:ind w:firstLine="480"/>
      </w:pPr>
      <w:r>
        <w:rPr>
          <w:rFonts w:ascii="宋体" w:hAnsi="宋体" w:eastAsia="宋体"/>
          <w:sz w:val="24"/>
        </w:rPr>
        <w:t>系统的核心用户是师范生和指导教师，他们在学术圈和教育圈具有天然的社交网络。通过提供优质的产品体验和用户服务，激发用户的口碑传播意愿。同时，成长画像等功能具有天然的社交分享属性。</w:t>
      </w:r>
    </w:p>
    <w:p>
      <w:r>
        <w:br w:type="page"/>
      </w:r>
    </w:p>
    <w:p>
      <w:pPr>
        <w:pStyle w:val="Heading1"/>
        <w:jc w:val="center"/>
      </w:pPr>
      <w:r>
        <w:rPr>
          <w:rFonts w:ascii="黑体" w:hAnsi="黑体" w:eastAsia="黑体"/>
          <w:color w:val="000000"/>
          <w:sz w:val="32"/>
        </w:rPr>
        <w:t>第七章  财务分析</w:t>
      </w:r>
    </w:p>
    <w:p>
      <w:pPr>
        <w:pStyle w:val="Heading2"/>
      </w:pPr>
      <w:r>
        <w:rPr>
          <w:rFonts w:ascii="黑体" w:hAnsi="黑体" w:eastAsia="黑体"/>
          <w:color w:val="000000"/>
          <w:sz w:val="28"/>
        </w:rPr>
        <w:t>7.1 公司财务基本情况与资金使用计划</w:t>
      </w:r>
    </w:p>
    <w:p>
      <w:pPr>
        <w:ind w:firstLine="480"/>
      </w:pPr>
      <w:r>
        <w:rPr>
          <w:rFonts w:ascii="宋体" w:hAnsi="宋体" w:eastAsia="宋体"/>
          <w:sz w:val="24"/>
        </w:rPr>
        <w:t>项目初期计划总投资8万元，具体投资情况如下：</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序号</w:t>
            </w:r>
          </w:p>
        </w:tc>
        <w:tc>
          <w:tcPr>
            <w:tcW w:type="dxa" w:w="2351"/>
          </w:tcPr>
          <w:p>
            <w:pPr>
              <w:jc w:val="center"/>
            </w:pPr>
            <w:r>
              <w:rPr>
                <w:b/>
                <w:sz w:val="20"/>
              </w:rPr>
              <w:t>项目</w:t>
            </w:r>
          </w:p>
        </w:tc>
        <w:tc>
          <w:tcPr>
            <w:tcW w:type="dxa" w:w="2351"/>
          </w:tcPr>
          <w:p>
            <w:pPr>
              <w:jc w:val="center"/>
            </w:pPr>
            <w:r>
              <w:rPr>
                <w:b/>
                <w:sz w:val="20"/>
              </w:rPr>
              <w:t>资金(万元)</w:t>
            </w:r>
          </w:p>
        </w:tc>
        <w:tc>
          <w:tcPr>
            <w:tcW w:type="dxa" w:w="2351"/>
          </w:tcPr>
          <w:p>
            <w:pPr>
              <w:jc w:val="center"/>
            </w:pPr>
            <w:r>
              <w:rPr>
                <w:b/>
                <w:sz w:val="20"/>
              </w:rPr>
              <w:t>比例(%)</w:t>
            </w:r>
          </w:p>
        </w:tc>
      </w:tr>
      <w:tr>
        <w:tc>
          <w:tcPr>
            <w:tcW w:type="dxa" w:w="2351"/>
          </w:tcPr>
          <w:p>
            <w:pPr>
              <w:jc w:val="center"/>
            </w:pPr>
            <w:r>
              <w:rPr>
                <w:sz w:val="20"/>
              </w:rPr>
              <w:t>1</w:t>
            </w:r>
          </w:p>
        </w:tc>
        <w:tc>
          <w:tcPr>
            <w:tcW w:type="dxa" w:w="2351"/>
          </w:tcPr>
          <w:p>
            <w:pPr>
              <w:jc w:val="center"/>
            </w:pPr>
            <w:r>
              <w:rPr>
                <w:sz w:val="20"/>
              </w:rPr>
              <w:t>AI模型API调用费用（首年额度）</w:t>
            </w:r>
          </w:p>
        </w:tc>
        <w:tc>
          <w:tcPr>
            <w:tcW w:type="dxa" w:w="2351"/>
          </w:tcPr>
          <w:p>
            <w:pPr>
              <w:jc w:val="center"/>
            </w:pPr>
            <w:r>
              <w:rPr>
                <w:sz w:val="20"/>
              </w:rPr>
              <w:t>2.0</w:t>
            </w:r>
          </w:p>
        </w:tc>
        <w:tc>
          <w:tcPr>
            <w:tcW w:type="dxa" w:w="2351"/>
          </w:tcPr>
          <w:p>
            <w:pPr>
              <w:jc w:val="center"/>
            </w:pPr>
            <w:r>
              <w:rPr>
                <w:sz w:val="20"/>
              </w:rPr>
              <w:t>25.00%</w:t>
            </w:r>
          </w:p>
        </w:tc>
      </w:tr>
      <w:tr>
        <w:tc>
          <w:tcPr>
            <w:tcW w:type="dxa" w:w="2351"/>
          </w:tcPr>
          <w:p>
            <w:pPr>
              <w:jc w:val="center"/>
            </w:pPr>
            <w:r>
              <w:rPr>
                <w:sz w:val="20"/>
              </w:rPr>
              <w:t>2</w:t>
            </w:r>
          </w:p>
        </w:tc>
        <w:tc>
          <w:tcPr>
            <w:tcW w:type="dxa" w:w="2351"/>
          </w:tcPr>
          <w:p>
            <w:pPr>
              <w:jc w:val="center"/>
            </w:pPr>
            <w:r>
              <w:rPr>
                <w:sz w:val="20"/>
              </w:rPr>
              <w:t>服务器租赁与运维（首年）</w:t>
            </w:r>
          </w:p>
        </w:tc>
        <w:tc>
          <w:tcPr>
            <w:tcW w:type="dxa" w:w="2351"/>
          </w:tcPr>
          <w:p>
            <w:pPr>
              <w:jc w:val="center"/>
            </w:pPr>
            <w:r>
              <w:rPr>
                <w:sz w:val="20"/>
              </w:rPr>
              <w:t>1.5</w:t>
            </w:r>
          </w:p>
        </w:tc>
        <w:tc>
          <w:tcPr>
            <w:tcW w:type="dxa" w:w="2351"/>
          </w:tcPr>
          <w:p>
            <w:pPr>
              <w:jc w:val="center"/>
            </w:pPr>
            <w:r>
              <w:rPr>
                <w:sz w:val="20"/>
              </w:rPr>
              <w:t>18.75%</w:t>
            </w:r>
          </w:p>
        </w:tc>
      </w:tr>
      <w:tr>
        <w:tc>
          <w:tcPr>
            <w:tcW w:type="dxa" w:w="2351"/>
          </w:tcPr>
          <w:p>
            <w:pPr>
              <w:jc w:val="center"/>
            </w:pPr>
            <w:r>
              <w:rPr>
                <w:sz w:val="20"/>
              </w:rPr>
              <w:t>3</w:t>
            </w:r>
          </w:p>
        </w:tc>
        <w:tc>
          <w:tcPr>
            <w:tcW w:type="dxa" w:w="2351"/>
          </w:tcPr>
          <w:p>
            <w:pPr>
              <w:jc w:val="center"/>
            </w:pPr>
            <w:r>
              <w:rPr>
                <w:sz w:val="20"/>
              </w:rPr>
              <w:t>软件著作权及知识产权费用</w:t>
            </w:r>
          </w:p>
        </w:tc>
        <w:tc>
          <w:tcPr>
            <w:tcW w:type="dxa" w:w="2351"/>
          </w:tcPr>
          <w:p>
            <w:pPr>
              <w:jc w:val="center"/>
            </w:pPr>
            <w:r>
              <w:rPr>
                <w:sz w:val="20"/>
              </w:rPr>
              <w:t>0.5</w:t>
            </w:r>
          </w:p>
        </w:tc>
        <w:tc>
          <w:tcPr>
            <w:tcW w:type="dxa" w:w="2351"/>
          </w:tcPr>
          <w:p>
            <w:pPr>
              <w:jc w:val="center"/>
            </w:pPr>
            <w:r>
              <w:rPr>
                <w:sz w:val="20"/>
              </w:rPr>
              <w:t>6.25%</w:t>
            </w:r>
          </w:p>
        </w:tc>
      </w:tr>
      <w:tr>
        <w:tc>
          <w:tcPr>
            <w:tcW w:type="dxa" w:w="2351"/>
          </w:tcPr>
          <w:p>
            <w:pPr>
              <w:jc w:val="center"/>
            </w:pPr>
            <w:r>
              <w:rPr>
                <w:sz w:val="20"/>
              </w:rPr>
              <w:t>4</w:t>
            </w:r>
          </w:p>
        </w:tc>
        <w:tc>
          <w:tcPr>
            <w:tcW w:type="dxa" w:w="2351"/>
          </w:tcPr>
          <w:p>
            <w:pPr>
              <w:jc w:val="center"/>
            </w:pPr>
            <w:r>
              <w:rPr>
                <w:sz w:val="20"/>
              </w:rPr>
              <w:t>营销推广费用</w:t>
            </w:r>
          </w:p>
        </w:tc>
        <w:tc>
          <w:tcPr>
            <w:tcW w:type="dxa" w:w="2351"/>
          </w:tcPr>
          <w:p>
            <w:pPr>
              <w:jc w:val="center"/>
            </w:pPr>
            <w:r>
              <w:rPr>
                <w:sz w:val="20"/>
              </w:rPr>
              <w:t>1.5</w:t>
            </w:r>
          </w:p>
        </w:tc>
        <w:tc>
          <w:tcPr>
            <w:tcW w:type="dxa" w:w="2351"/>
          </w:tcPr>
          <w:p>
            <w:pPr>
              <w:jc w:val="center"/>
            </w:pPr>
            <w:r>
              <w:rPr>
                <w:sz w:val="20"/>
              </w:rPr>
              <w:t>18.75%</w:t>
            </w:r>
          </w:p>
        </w:tc>
      </w:tr>
      <w:tr>
        <w:tc>
          <w:tcPr>
            <w:tcW w:type="dxa" w:w="2351"/>
          </w:tcPr>
          <w:p>
            <w:pPr>
              <w:jc w:val="center"/>
            </w:pPr>
            <w:r>
              <w:rPr>
                <w:sz w:val="20"/>
              </w:rPr>
              <w:t>5</w:t>
            </w:r>
          </w:p>
        </w:tc>
        <w:tc>
          <w:tcPr>
            <w:tcW w:type="dxa" w:w="2351"/>
          </w:tcPr>
          <w:p>
            <w:pPr>
              <w:jc w:val="center"/>
            </w:pPr>
            <w:r>
              <w:rPr>
                <w:sz w:val="20"/>
              </w:rPr>
              <w:t>竞赛参赛及差旅费用</w:t>
            </w:r>
          </w:p>
        </w:tc>
        <w:tc>
          <w:tcPr>
            <w:tcW w:type="dxa" w:w="2351"/>
          </w:tcPr>
          <w:p>
            <w:pPr>
              <w:jc w:val="center"/>
            </w:pPr>
            <w:r>
              <w:rPr>
                <w:sz w:val="20"/>
              </w:rPr>
              <w:t>0.5</w:t>
            </w:r>
          </w:p>
        </w:tc>
        <w:tc>
          <w:tcPr>
            <w:tcW w:type="dxa" w:w="2351"/>
          </w:tcPr>
          <w:p>
            <w:pPr>
              <w:jc w:val="center"/>
            </w:pPr>
            <w:r>
              <w:rPr>
                <w:sz w:val="20"/>
              </w:rPr>
              <w:t>6.25%</w:t>
            </w:r>
          </w:p>
        </w:tc>
      </w:tr>
      <w:tr>
        <w:tc>
          <w:tcPr>
            <w:tcW w:type="dxa" w:w="2351"/>
          </w:tcPr>
          <w:p>
            <w:pPr>
              <w:jc w:val="center"/>
            </w:pPr>
            <w:r>
              <w:rPr>
                <w:sz w:val="20"/>
              </w:rPr>
              <w:t>6</w:t>
            </w:r>
          </w:p>
        </w:tc>
        <w:tc>
          <w:tcPr>
            <w:tcW w:type="dxa" w:w="2351"/>
          </w:tcPr>
          <w:p>
            <w:pPr>
              <w:jc w:val="center"/>
            </w:pPr>
            <w:r>
              <w:rPr>
                <w:sz w:val="20"/>
              </w:rPr>
              <w:t>流动资金</w:t>
            </w:r>
          </w:p>
        </w:tc>
        <w:tc>
          <w:tcPr>
            <w:tcW w:type="dxa" w:w="2351"/>
          </w:tcPr>
          <w:p>
            <w:pPr>
              <w:jc w:val="center"/>
            </w:pPr>
            <w:r>
              <w:rPr>
                <w:sz w:val="20"/>
              </w:rPr>
              <w:t>2.0</w:t>
            </w:r>
          </w:p>
        </w:tc>
        <w:tc>
          <w:tcPr>
            <w:tcW w:type="dxa" w:w="2351"/>
          </w:tcPr>
          <w:p>
            <w:pPr>
              <w:jc w:val="center"/>
            </w:pPr>
            <w:r>
              <w:rPr>
                <w:sz w:val="20"/>
              </w:rPr>
              <w:t>25.00%</w:t>
            </w:r>
          </w:p>
        </w:tc>
      </w:tr>
      <w:tr>
        <w:tc>
          <w:tcPr>
            <w:tcW w:type="dxa" w:w="2351"/>
          </w:tcPr>
          <w:p>
            <w:pPr>
              <w:jc w:val="center"/>
            </w:pPr>
            <w:r>
              <w:rPr>
                <w:sz w:val="20"/>
              </w:rPr>
            </w:r>
          </w:p>
        </w:tc>
        <w:tc>
          <w:tcPr>
            <w:tcW w:type="dxa" w:w="2351"/>
          </w:tcPr>
          <w:p>
            <w:pPr>
              <w:jc w:val="center"/>
            </w:pPr>
            <w:r>
              <w:rPr>
                <w:sz w:val="20"/>
              </w:rPr>
              <w:t>合计</w:t>
            </w:r>
          </w:p>
        </w:tc>
        <w:tc>
          <w:tcPr>
            <w:tcW w:type="dxa" w:w="2351"/>
          </w:tcPr>
          <w:p>
            <w:pPr>
              <w:jc w:val="center"/>
            </w:pPr>
            <w:r>
              <w:rPr>
                <w:sz w:val="20"/>
              </w:rPr>
              <w:t>8.0</w:t>
            </w:r>
          </w:p>
        </w:tc>
        <w:tc>
          <w:tcPr>
            <w:tcW w:type="dxa" w:w="2351"/>
          </w:tcPr>
          <w:p>
            <w:pPr>
              <w:jc w:val="center"/>
            </w:pPr>
            <w:r>
              <w:rPr>
                <w:sz w:val="20"/>
              </w:rPr>
              <w:t>100.00%</w:t>
            </w:r>
          </w:p>
        </w:tc>
      </w:tr>
    </w:tbl>
    <w:p>
      <w:pPr>
        <w:jc w:val="center"/>
      </w:pPr>
      <w:r>
        <w:drawing>
          <wp:inline xmlns:a="http://schemas.openxmlformats.org/drawingml/2006/main" xmlns:pic="http://schemas.openxmlformats.org/drawingml/2006/picture">
            <wp:extent cx="3657600" cy="3657600"/>
            <wp:docPr id="12" name="Picture 12"/>
            <wp:cNvGraphicFramePr>
              <a:graphicFrameLocks noChangeAspect="1"/>
            </wp:cNvGraphicFramePr>
            <a:graphic>
              <a:graphicData uri="http://schemas.openxmlformats.org/drawingml/2006/picture">
                <pic:pic>
                  <pic:nvPicPr>
                    <pic:cNvPr id="0" name="chart_7_3.png"/>
                    <pic:cNvPicPr/>
                  </pic:nvPicPr>
                  <pic:blipFill>
                    <a:blip r:embed="rId20"/>
                    <a:stretch>
                      <a:fillRect/>
                    </a:stretch>
                  </pic:blipFill>
                  <pic:spPr>
                    <a:xfrm>
                      <a:off x="0" y="0"/>
                      <a:ext cx="3657600" cy="3657600"/>
                    </a:xfrm>
                    <a:prstGeom prst="rect"/>
                  </pic:spPr>
                </pic:pic>
              </a:graphicData>
            </a:graphic>
          </wp:inline>
        </w:drawing>
      </w:r>
    </w:p>
    <w:p>
      <w:pPr>
        <w:ind w:firstLine="480"/>
      </w:pPr>
      <w:r>
        <w:rPr>
          <w:rFonts w:ascii="宋体" w:hAnsi="宋体" w:eastAsia="宋体"/>
          <w:sz w:val="24"/>
        </w:rPr>
        <w:t>编制说明：初期运作资金主要用于AI模型API调用额度的采购、云服务器的租赁与运维、软件著作权申请、早期营销推广以及必要的流动资金储备。由于系统开发已基本完成，不再需要大额的软件开发投入。AI模型的调用成本随着大模型价格的持续下降预计将逐年降低。</w:t>
      </w:r>
    </w:p>
    <w:p>
      <w:pPr>
        <w:pStyle w:val="Heading2"/>
      </w:pPr>
      <w:r>
        <w:rPr>
          <w:rFonts w:ascii="黑体" w:hAnsi="黑体" w:eastAsia="黑体"/>
          <w:color w:val="000000"/>
          <w:sz w:val="28"/>
        </w:rPr>
        <w:t>7.2 销售预计表</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20"/>
              </w:rPr>
              <w:t>序号</w:t>
            </w:r>
          </w:p>
        </w:tc>
        <w:tc>
          <w:tcPr>
            <w:tcW w:type="dxa" w:w="1344"/>
          </w:tcPr>
          <w:p>
            <w:pPr>
              <w:jc w:val="center"/>
            </w:pPr>
            <w:r>
              <w:rPr>
                <w:b/>
                <w:sz w:val="20"/>
              </w:rPr>
              <w:t>项目</w:t>
            </w:r>
          </w:p>
        </w:tc>
        <w:tc>
          <w:tcPr>
            <w:tcW w:type="dxa" w:w="1344"/>
          </w:tcPr>
          <w:p>
            <w:pPr>
              <w:jc w:val="center"/>
            </w:pPr>
            <w:r>
              <w:rPr>
                <w:b/>
                <w:sz w:val="20"/>
              </w:rPr>
              <w:t>T+1年</w:t>
            </w:r>
          </w:p>
        </w:tc>
        <w:tc>
          <w:tcPr>
            <w:tcW w:type="dxa" w:w="1344"/>
          </w:tcPr>
          <w:p>
            <w:pPr>
              <w:jc w:val="center"/>
            </w:pPr>
            <w:r>
              <w:rPr>
                <w:b/>
                <w:sz w:val="20"/>
              </w:rPr>
              <w:t>T+2年</w:t>
            </w:r>
          </w:p>
        </w:tc>
        <w:tc>
          <w:tcPr>
            <w:tcW w:type="dxa" w:w="1344"/>
          </w:tcPr>
          <w:p>
            <w:pPr>
              <w:jc w:val="center"/>
            </w:pPr>
            <w:r>
              <w:rPr>
                <w:b/>
                <w:sz w:val="20"/>
              </w:rPr>
              <w:t>T+3年</w:t>
            </w:r>
          </w:p>
        </w:tc>
        <w:tc>
          <w:tcPr>
            <w:tcW w:type="dxa" w:w="1344"/>
          </w:tcPr>
          <w:p>
            <w:pPr>
              <w:jc w:val="center"/>
            </w:pPr>
            <w:r>
              <w:rPr>
                <w:b/>
                <w:sz w:val="20"/>
              </w:rPr>
              <w:t>T+4年</w:t>
            </w:r>
          </w:p>
        </w:tc>
        <w:tc>
          <w:tcPr>
            <w:tcW w:type="dxa" w:w="1344"/>
          </w:tcPr>
          <w:p>
            <w:pPr>
              <w:jc w:val="center"/>
            </w:pPr>
            <w:r>
              <w:rPr>
                <w:b/>
                <w:sz w:val="20"/>
              </w:rPr>
              <w:t>T+5年</w:t>
            </w:r>
          </w:p>
        </w:tc>
      </w:tr>
      <w:tr>
        <w:tc>
          <w:tcPr>
            <w:tcW w:type="dxa" w:w="1344"/>
          </w:tcPr>
          <w:p>
            <w:pPr>
              <w:jc w:val="center"/>
            </w:pPr>
            <w:r>
              <w:rPr>
                <w:sz w:val="20"/>
              </w:rPr>
              <w:t>1</w:t>
            </w:r>
          </w:p>
        </w:tc>
        <w:tc>
          <w:tcPr>
            <w:tcW w:type="dxa" w:w="1344"/>
          </w:tcPr>
          <w:p>
            <w:pPr>
              <w:jc w:val="center"/>
            </w:pPr>
            <w:r>
              <w:rPr>
                <w:sz w:val="20"/>
              </w:rPr>
              <w:t>SaaS订阅收入(万元)</w:t>
            </w:r>
          </w:p>
        </w:tc>
        <w:tc>
          <w:tcPr>
            <w:tcW w:type="dxa" w:w="1344"/>
          </w:tcPr>
          <w:p>
            <w:pPr>
              <w:jc w:val="center"/>
            </w:pPr>
            <w:r>
              <w:rPr>
                <w:sz w:val="20"/>
              </w:rPr>
              <w:t>10</w:t>
            </w:r>
          </w:p>
        </w:tc>
        <w:tc>
          <w:tcPr>
            <w:tcW w:type="dxa" w:w="1344"/>
          </w:tcPr>
          <w:p>
            <w:pPr>
              <w:jc w:val="center"/>
            </w:pPr>
            <w:r>
              <w:rPr>
                <w:sz w:val="20"/>
              </w:rPr>
              <w:t>30</w:t>
            </w:r>
          </w:p>
        </w:tc>
        <w:tc>
          <w:tcPr>
            <w:tcW w:type="dxa" w:w="1344"/>
          </w:tcPr>
          <w:p>
            <w:pPr>
              <w:jc w:val="center"/>
            </w:pPr>
            <w:r>
              <w:rPr>
                <w:sz w:val="20"/>
              </w:rPr>
              <w:t>60</w:t>
            </w:r>
          </w:p>
        </w:tc>
        <w:tc>
          <w:tcPr>
            <w:tcW w:type="dxa" w:w="1344"/>
          </w:tcPr>
          <w:p>
            <w:pPr>
              <w:jc w:val="center"/>
            </w:pPr>
            <w:r>
              <w:rPr>
                <w:sz w:val="20"/>
              </w:rPr>
              <w:t>100</w:t>
            </w:r>
          </w:p>
        </w:tc>
        <w:tc>
          <w:tcPr>
            <w:tcW w:type="dxa" w:w="1344"/>
          </w:tcPr>
          <w:p>
            <w:pPr>
              <w:jc w:val="center"/>
            </w:pPr>
            <w:r>
              <w:rPr>
                <w:sz w:val="20"/>
              </w:rPr>
              <w:t>150</w:t>
            </w:r>
          </w:p>
        </w:tc>
      </w:tr>
      <w:tr>
        <w:tc>
          <w:tcPr>
            <w:tcW w:type="dxa" w:w="1344"/>
          </w:tcPr>
          <w:p>
            <w:pPr>
              <w:jc w:val="center"/>
            </w:pPr>
            <w:r>
              <w:rPr>
                <w:sz w:val="20"/>
              </w:rPr>
              <w:t>2</w:t>
            </w:r>
          </w:p>
        </w:tc>
        <w:tc>
          <w:tcPr>
            <w:tcW w:type="dxa" w:w="1344"/>
          </w:tcPr>
          <w:p>
            <w:pPr>
              <w:jc w:val="center"/>
            </w:pPr>
            <w:r>
              <w:rPr>
                <w:sz w:val="20"/>
              </w:rPr>
              <w:t>私有化部署收入(万元)</w:t>
            </w:r>
          </w:p>
        </w:tc>
        <w:tc>
          <w:tcPr>
            <w:tcW w:type="dxa" w:w="1344"/>
          </w:tcPr>
          <w:p>
            <w:pPr>
              <w:jc w:val="center"/>
            </w:pPr>
            <w:r>
              <w:rPr>
                <w:sz w:val="20"/>
              </w:rPr>
              <w:t>5</w:t>
            </w:r>
          </w:p>
        </w:tc>
        <w:tc>
          <w:tcPr>
            <w:tcW w:type="dxa" w:w="1344"/>
          </w:tcPr>
          <w:p>
            <w:pPr>
              <w:jc w:val="center"/>
            </w:pPr>
            <w:r>
              <w:rPr>
                <w:sz w:val="20"/>
              </w:rPr>
              <w:t>10</w:t>
            </w:r>
          </w:p>
        </w:tc>
        <w:tc>
          <w:tcPr>
            <w:tcW w:type="dxa" w:w="1344"/>
          </w:tcPr>
          <w:p>
            <w:pPr>
              <w:jc w:val="center"/>
            </w:pPr>
            <w:r>
              <w:rPr>
                <w:sz w:val="20"/>
              </w:rPr>
              <w:t>20</w:t>
            </w:r>
          </w:p>
        </w:tc>
        <w:tc>
          <w:tcPr>
            <w:tcW w:type="dxa" w:w="1344"/>
          </w:tcPr>
          <w:p>
            <w:pPr>
              <w:jc w:val="center"/>
            </w:pPr>
            <w:r>
              <w:rPr>
                <w:sz w:val="20"/>
              </w:rPr>
              <w:t>30</w:t>
            </w:r>
          </w:p>
        </w:tc>
        <w:tc>
          <w:tcPr>
            <w:tcW w:type="dxa" w:w="1344"/>
          </w:tcPr>
          <w:p>
            <w:pPr>
              <w:jc w:val="center"/>
            </w:pPr>
            <w:r>
              <w:rPr>
                <w:sz w:val="20"/>
              </w:rPr>
              <w:t>40</w:t>
            </w:r>
          </w:p>
        </w:tc>
      </w:tr>
      <w:tr>
        <w:tc>
          <w:tcPr>
            <w:tcW w:type="dxa" w:w="1344"/>
          </w:tcPr>
          <w:p>
            <w:pPr>
              <w:jc w:val="center"/>
            </w:pPr>
            <w:r>
              <w:rPr>
                <w:sz w:val="20"/>
              </w:rPr>
              <w:t>3</w:t>
            </w:r>
          </w:p>
        </w:tc>
        <w:tc>
          <w:tcPr>
            <w:tcW w:type="dxa" w:w="1344"/>
          </w:tcPr>
          <w:p>
            <w:pPr>
              <w:jc w:val="center"/>
            </w:pPr>
            <w:r>
              <w:rPr>
                <w:sz w:val="20"/>
              </w:rPr>
              <w:t>AI API开放收入(万元)</w:t>
            </w:r>
          </w:p>
        </w:tc>
        <w:tc>
          <w:tcPr>
            <w:tcW w:type="dxa" w:w="1344"/>
          </w:tcPr>
          <w:p>
            <w:pPr>
              <w:jc w:val="center"/>
            </w:pPr>
            <w:r>
              <w:rPr>
                <w:sz w:val="20"/>
              </w:rPr>
              <w:t>0</w:t>
            </w:r>
          </w:p>
        </w:tc>
        <w:tc>
          <w:tcPr>
            <w:tcW w:type="dxa" w:w="1344"/>
          </w:tcPr>
          <w:p>
            <w:pPr>
              <w:jc w:val="center"/>
            </w:pPr>
            <w:r>
              <w:rPr>
                <w:sz w:val="20"/>
              </w:rPr>
              <w:t>5</w:t>
            </w:r>
          </w:p>
        </w:tc>
        <w:tc>
          <w:tcPr>
            <w:tcW w:type="dxa" w:w="1344"/>
          </w:tcPr>
          <w:p>
            <w:pPr>
              <w:jc w:val="center"/>
            </w:pPr>
            <w:r>
              <w:rPr>
                <w:sz w:val="20"/>
              </w:rPr>
              <w:t>10</w:t>
            </w:r>
          </w:p>
        </w:tc>
        <w:tc>
          <w:tcPr>
            <w:tcW w:type="dxa" w:w="1344"/>
          </w:tcPr>
          <w:p>
            <w:pPr>
              <w:jc w:val="center"/>
            </w:pPr>
            <w:r>
              <w:rPr>
                <w:sz w:val="20"/>
              </w:rPr>
              <w:t>20</w:t>
            </w:r>
          </w:p>
        </w:tc>
        <w:tc>
          <w:tcPr>
            <w:tcW w:type="dxa" w:w="1344"/>
          </w:tcPr>
          <w:p>
            <w:pPr>
              <w:jc w:val="center"/>
            </w:pPr>
            <w:r>
              <w:rPr>
                <w:sz w:val="20"/>
              </w:rPr>
              <w:t>30</w:t>
            </w:r>
          </w:p>
        </w:tc>
      </w:tr>
      <w:tr>
        <w:tc>
          <w:tcPr>
            <w:tcW w:type="dxa" w:w="1344"/>
          </w:tcPr>
          <w:p>
            <w:pPr>
              <w:jc w:val="center"/>
            </w:pPr>
            <w:r>
              <w:rPr>
                <w:sz w:val="20"/>
              </w:rPr>
              <w:t>4</w:t>
            </w:r>
          </w:p>
        </w:tc>
        <w:tc>
          <w:tcPr>
            <w:tcW w:type="dxa" w:w="1344"/>
          </w:tcPr>
          <w:p>
            <w:pPr>
              <w:jc w:val="center"/>
            </w:pPr>
            <w:r>
              <w:rPr>
                <w:sz w:val="20"/>
              </w:rPr>
              <w:t>合计</w:t>
            </w:r>
          </w:p>
        </w:tc>
        <w:tc>
          <w:tcPr>
            <w:tcW w:type="dxa" w:w="1344"/>
          </w:tcPr>
          <w:p>
            <w:pPr>
              <w:jc w:val="center"/>
            </w:pPr>
            <w:r>
              <w:rPr>
                <w:sz w:val="20"/>
              </w:rPr>
              <w:t>15.0</w:t>
            </w:r>
          </w:p>
        </w:tc>
        <w:tc>
          <w:tcPr>
            <w:tcW w:type="dxa" w:w="1344"/>
          </w:tcPr>
          <w:p>
            <w:pPr>
              <w:jc w:val="center"/>
            </w:pPr>
            <w:r>
              <w:rPr>
                <w:sz w:val="20"/>
              </w:rPr>
              <w:t>45.0</w:t>
            </w:r>
          </w:p>
        </w:tc>
        <w:tc>
          <w:tcPr>
            <w:tcW w:type="dxa" w:w="1344"/>
          </w:tcPr>
          <w:p>
            <w:pPr>
              <w:jc w:val="center"/>
            </w:pPr>
            <w:r>
              <w:rPr>
                <w:sz w:val="20"/>
              </w:rPr>
              <w:t>90.0</w:t>
            </w:r>
          </w:p>
        </w:tc>
        <w:tc>
          <w:tcPr>
            <w:tcW w:type="dxa" w:w="1344"/>
          </w:tcPr>
          <w:p>
            <w:pPr>
              <w:jc w:val="center"/>
            </w:pPr>
            <w:r>
              <w:rPr>
                <w:sz w:val="20"/>
              </w:rPr>
              <w:t>150.0</w:t>
            </w:r>
          </w:p>
        </w:tc>
        <w:tc>
          <w:tcPr>
            <w:tcW w:type="dxa" w:w="1344"/>
          </w:tcPr>
          <w:p>
            <w:pPr>
              <w:jc w:val="center"/>
            </w:pPr>
            <w:r>
              <w:rPr>
                <w:sz w:val="20"/>
              </w:rPr>
              <w:t>220.0</w:t>
            </w:r>
          </w:p>
        </w:tc>
      </w:tr>
    </w:tbl>
    <w:p>
      <w:pPr>
        <w:ind w:firstLine="480"/>
      </w:pPr>
      <w:r>
        <w:rPr>
          <w:rFonts w:ascii="宋体" w:hAnsi="宋体" w:eastAsia="宋体"/>
          <w:sz w:val="24"/>
        </w:rPr>
        <w:t>编制说明：第一年以校内试点和区域推广为主，预计覆盖5至10所院校。第二年覆盖范围扩展到20至30所院校。第三年起进入全国推广阶段，收入增速加快。第五年预计覆盖80至100所院校，年收入达到220万。收入增长假设基于保守的市场渗透率估算（全国600余所相关院校中渗透约15%）。</w:t>
      </w:r>
    </w:p>
    <w:p>
      <w:pPr>
        <w:pStyle w:val="Heading2"/>
      </w:pPr>
      <w:r>
        <w:rPr>
          <w:rFonts w:ascii="黑体" w:hAnsi="黑体" w:eastAsia="黑体"/>
          <w:color w:val="000000"/>
          <w:sz w:val="28"/>
        </w:rPr>
        <w:t>7.3 成本费用核算</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20"/>
              </w:rPr>
              <w:t>序号</w:t>
            </w:r>
          </w:p>
        </w:tc>
        <w:tc>
          <w:tcPr>
            <w:tcW w:type="dxa" w:w="1344"/>
          </w:tcPr>
          <w:p>
            <w:pPr>
              <w:jc w:val="center"/>
            </w:pPr>
            <w:r>
              <w:rPr>
                <w:b/>
                <w:sz w:val="20"/>
              </w:rPr>
              <w:t>项目</w:t>
            </w:r>
          </w:p>
        </w:tc>
        <w:tc>
          <w:tcPr>
            <w:tcW w:type="dxa" w:w="1344"/>
          </w:tcPr>
          <w:p>
            <w:pPr>
              <w:jc w:val="center"/>
            </w:pPr>
            <w:r>
              <w:rPr>
                <w:b/>
                <w:sz w:val="20"/>
              </w:rPr>
              <w:t>T+1年</w:t>
            </w:r>
          </w:p>
        </w:tc>
        <w:tc>
          <w:tcPr>
            <w:tcW w:type="dxa" w:w="1344"/>
          </w:tcPr>
          <w:p>
            <w:pPr>
              <w:jc w:val="center"/>
            </w:pPr>
            <w:r>
              <w:rPr>
                <w:b/>
                <w:sz w:val="20"/>
              </w:rPr>
              <w:t>T+2年</w:t>
            </w:r>
          </w:p>
        </w:tc>
        <w:tc>
          <w:tcPr>
            <w:tcW w:type="dxa" w:w="1344"/>
          </w:tcPr>
          <w:p>
            <w:pPr>
              <w:jc w:val="center"/>
            </w:pPr>
            <w:r>
              <w:rPr>
                <w:b/>
                <w:sz w:val="20"/>
              </w:rPr>
              <w:t>T+3年</w:t>
            </w:r>
          </w:p>
        </w:tc>
        <w:tc>
          <w:tcPr>
            <w:tcW w:type="dxa" w:w="1344"/>
          </w:tcPr>
          <w:p>
            <w:pPr>
              <w:jc w:val="center"/>
            </w:pPr>
            <w:r>
              <w:rPr>
                <w:b/>
                <w:sz w:val="20"/>
              </w:rPr>
              <w:t>T+4年</w:t>
            </w:r>
          </w:p>
        </w:tc>
        <w:tc>
          <w:tcPr>
            <w:tcW w:type="dxa" w:w="1344"/>
          </w:tcPr>
          <w:p>
            <w:pPr>
              <w:jc w:val="center"/>
            </w:pPr>
            <w:r>
              <w:rPr>
                <w:b/>
                <w:sz w:val="20"/>
              </w:rPr>
              <w:t>T+5年</w:t>
            </w:r>
          </w:p>
        </w:tc>
      </w:tr>
      <w:tr>
        <w:tc>
          <w:tcPr>
            <w:tcW w:type="dxa" w:w="1344"/>
          </w:tcPr>
          <w:p>
            <w:pPr>
              <w:jc w:val="center"/>
            </w:pPr>
            <w:r>
              <w:rPr>
                <w:sz w:val="20"/>
              </w:rPr>
              <w:t>1</w:t>
            </w:r>
          </w:p>
        </w:tc>
        <w:tc>
          <w:tcPr>
            <w:tcW w:type="dxa" w:w="1344"/>
          </w:tcPr>
          <w:p>
            <w:pPr>
              <w:jc w:val="center"/>
            </w:pPr>
            <w:r>
              <w:rPr>
                <w:sz w:val="20"/>
              </w:rPr>
              <w:t>AI模型API调用成本</w:t>
            </w:r>
          </w:p>
        </w:tc>
        <w:tc>
          <w:tcPr>
            <w:tcW w:type="dxa" w:w="1344"/>
          </w:tcPr>
          <w:p>
            <w:pPr>
              <w:jc w:val="center"/>
            </w:pPr>
            <w:r>
              <w:rPr>
                <w:sz w:val="20"/>
              </w:rPr>
              <w:t>3.0</w:t>
            </w:r>
          </w:p>
        </w:tc>
        <w:tc>
          <w:tcPr>
            <w:tcW w:type="dxa" w:w="1344"/>
          </w:tcPr>
          <w:p>
            <w:pPr>
              <w:jc w:val="center"/>
            </w:pPr>
            <w:r>
              <w:rPr>
                <w:sz w:val="20"/>
              </w:rPr>
              <w:t>7.0</w:t>
            </w:r>
          </w:p>
        </w:tc>
        <w:tc>
          <w:tcPr>
            <w:tcW w:type="dxa" w:w="1344"/>
          </w:tcPr>
          <w:p>
            <w:pPr>
              <w:jc w:val="center"/>
            </w:pPr>
            <w:r>
              <w:rPr>
                <w:sz w:val="20"/>
              </w:rPr>
              <w:t>12.0</w:t>
            </w:r>
          </w:p>
        </w:tc>
        <w:tc>
          <w:tcPr>
            <w:tcW w:type="dxa" w:w="1344"/>
          </w:tcPr>
          <w:p>
            <w:pPr>
              <w:jc w:val="center"/>
            </w:pPr>
            <w:r>
              <w:rPr>
                <w:sz w:val="20"/>
              </w:rPr>
              <w:t>18.0</w:t>
            </w:r>
          </w:p>
        </w:tc>
        <w:tc>
          <w:tcPr>
            <w:tcW w:type="dxa" w:w="1344"/>
          </w:tcPr>
          <w:p>
            <w:pPr>
              <w:jc w:val="center"/>
            </w:pPr>
            <w:r>
              <w:rPr>
                <w:sz w:val="20"/>
              </w:rPr>
              <w:t>25.0</w:t>
            </w:r>
          </w:p>
        </w:tc>
      </w:tr>
      <w:tr>
        <w:tc>
          <w:tcPr>
            <w:tcW w:type="dxa" w:w="1344"/>
          </w:tcPr>
          <w:p>
            <w:pPr>
              <w:jc w:val="center"/>
            </w:pPr>
            <w:r>
              <w:rPr>
                <w:sz w:val="20"/>
              </w:rPr>
              <w:t>2</w:t>
            </w:r>
          </w:p>
        </w:tc>
        <w:tc>
          <w:tcPr>
            <w:tcW w:type="dxa" w:w="1344"/>
          </w:tcPr>
          <w:p>
            <w:pPr>
              <w:jc w:val="center"/>
            </w:pPr>
            <w:r>
              <w:rPr>
                <w:sz w:val="20"/>
              </w:rPr>
              <w:t>服务器与运维成本</w:t>
            </w:r>
          </w:p>
        </w:tc>
        <w:tc>
          <w:tcPr>
            <w:tcW w:type="dxa" w:w="1344"/>
          </w:tcPr>
          <w:p>
            <w:pPr>
              <w:jc w:val="center"/>
            </w:pPr>
            <w:r>
              <w:rPr>
                <w:sz w:val="20"/>
              </w:rPr>
              <w:t>2.0</w:t>
            </w:r>
          </w:p>
        </w:tc>
        <w:tc>
          <w:tcPr>
            <w:tcW w:type="dxa" w:w="1344"/>
          </w:tcPr>
          <w:p>
            <w:pPr>
              <w:jc w:val="center"/>
            </w:pPr>
            <w:r>
              <w:rPr>
                <w:sz w:val="20"/>
              </w:rPr>
              <w:t>3.0</w:t>
            </w:r>
          </w:p>
        </w:tc>
        <w:tc>
          <w:tcPr>
            <w:tcW w:type="dxa" w:w="1344"/>
          </w:tcPr>
          <w:p>
            <w:pPr>
              <w:jc w:val="center"/>
            </w:pPr>
            <w:r>
              <w:rPr>
                <w:sz w:val="20"/>
              </w:rPr>
              <w:t>5.0</w:t>
            </w:r>
          </w:p>
        </w:tc>
        <w:tc>
          <w:tcPr>
            <w:tcW w:type="dxa" w:w="1344"/>
          </w:tcPr>
          <w:p>
            <w:pPr>
              <w:jc w:val="center"/>
            </w:pPr>
            <w:r>
              <w:rPr>
                <w:sz w:val="20"/>
              </w:rPr>
              <w:t>8.0</w:t>
            </w:r>
          </w:p>
        </w:tc>
        <w:tc>
          <w:tcPr>
            <w:tcW w:type="dxa" w:w="1344"/>
          </w:tcPr>
          <w:p>
            <w:pPr>
              <w:jc w:val="center"/>
            </w:pPr>
            <w:r>
              <w:rPr>
                <w:sz w:val="20"/>
              </w:rPr>
              <w:t>12.0</w:t>
            </w:r>
          </w:p>
        </w:tc>
      </w:tr>
      <w:tr>
        <w:tc>
          <w:tcPr>
            <w:tcW w:type="dxa" w:w="1344"/>
          </w:tcPr>
          <w:p>
            <w:pPr>
              <w:jc w:val="center"/>
            </w:pPr>
            <w:r>
              <w:rPr>
                <w:sz w:val="20"/>
              </w:rPr>
              <w:t>3</w:t>
            </w:r>
          </w:p>
        </w:tc>
        <w:tc>
          <w:tcPr>
            <w:tcW w:type="dxa" w:w="1344"/>
          </w:tcPr>
          <w:p>
            <w:pPr>
              <w:jc w:val="center"/>
            </w:pPr>
            <w:r>
              <w:rPr>
                <w:sz w:val="20"/>
              </w:rPr>
              <w:t>人员薪酬</w:t>
            </w:r>
          </w:p>
        </w:tc>
        <w:tc>
          <w:tcPr>
            <w:tcW w:type="dxa" w:w="1344"/>
          </w:tcPr>
          <w:p>
            <w:pPr>
              <w:jc w:val="center"/>
            </w:pPr>
            <w:r>
              <w:rPr>
                <w:sz w:val="20"/>
              </w:rPr>
              <w:t>6.0</w:t>
            </w:r>
          </w:p>
        </w:tc>
        <w:tc>
          <w:tcPr>
            <w:tcW w:type="dxa" w:w="1344"/>
          </w:tcPr>
          <w:p>
            <w:pPr>
              <w:jc w:val="center"/>
            </w:pPr>
            <w:r>
              <w:rPr>
                <w:sz w:val="20"/>
              </w:rPr>
              <w:t>12.0</w:t>
            </w:r>
          </w:p>
        </w:tc>
        <w:tc>
          <w:tcPr>
            <w:tcW w:type="dxa" w:w="1344"/>
          </w:tcPr>
          <w:p>
            <w:pPr>
              <w:jc w:val="center"/>
            </w:pPr>
            <w:r>
              <w:rPr>
                <w:sz w:val="20"/>
              </w:rPr>
              <w:t>20.0</w:t>
            </w:r>
          </w:p>
        </w:tc>
        <w:tc>
          <w:tcPr>
            <w:tcW w:type="dxa" w:w="1344"/>
          </w:tcPr>
          <w:p>
            <w:pPr>
              <w:jc w:val="center"/>
            </w:pPr>
            <w:r>
              <w:rPr>
                <w:sz w:val="20"/>
              </w:rPr>
              <w:t>30.0</w:t>
            </w:r>
          </w:p>
        </w:tc>
        <w:tc>
          <w:tcPr>
            <w:tcW w:type="dxa" w:w="1344"/>
          </w:tcPr>
          <w:p>
            <w:pPr>
              <w:jc w:val="center"/>
            </w:pPr>
            <w:r>
              <w:rPr>
                <w:sz w:val="20"/>
              </w:rPr>
              <w:t>40.0</w:t>
            </w:r>
          </w:p>
        </w:tc>
      </w:tr>
      <w:tr>
        <w:tc>
          <w:tcPr>
            <w:tcW w:type="dxa" w:w="1344"/>
          </w:tcPr>
          <w:p>
            <w:pPr>
              <w:jc w:val="center"/>
            </w:pPr>
            <w:r>
              <w:rPr>
                <w:sz w:val="20"/>
              </w:rPr>
              <w:t>4</w:t>
            </w:r>
          </w:p>
        </w:tc>
        <w:tc>
          <w:tcPr>
            <w:tcW w:type="dxa" w:w="1344"/>
          </w:tcPr>
          <w:p>
            <w:pPr>
              <w:jc w:val="center"/>
            </w:pPr>
            <w:r>
              <w:rPr>
                <w:sz w:val="20"/>
              </w:rPr>
              <w:t>营销推广费用</w:t>
            </w:r>
          </w:p>
        </w:tc>
        <w:tc>
          <w:tcPr>
            <w:tcW w:type="dxa" w:w="1344"/>
          </w:tcPr>
          <w:p>
            <w:pPr>
              <w:jc w:val="center"/>
            </w:pPr>
            <w:r>
              <w:rPr>
                <w:sz w:val="20"/>
              </w:rPr>
              <w:t>2.0</w:t>
            </w:r>
          </w:p>
        </w:tc>
        <w:tc>
          <w:tcPr>
            <w:tcW w:type="dxa" w:w="1344"/>
          </w:tcPr>
          <w:p>
            <w:pPr>
              <w:jc w:val="center"/>
            </w:pPr>
            <w:r>
              <w:rPr>
                <w:sz w:val="20"/>
              </w:rPr>
              <w:t>4.0</w:t>
            </w:r>
          </w:p>
        </w:tc>
        <w:tc>
          <w:tcPr>
            <w:tcW w:type="dxa" w:w="1344"/>
          </w:tcPr>
          <w:p>
            <w:pPr>
              <w:jc w:val="center"/>
            </w:pPr>
            <w:r>
              <w:rPr>
                <w:sz w:val="20"/>
              </w:rPr>
              <w:t>6.0</w:t>
            </w:r>
          </w:p>
        </w:tc>
        <w:tc>
          <w:tcPr>
            <w:tcW w:type="dxa" w:w="1344"/>
          </w:tcPr>
          <w:p>
            <w:pPr>
              <w:jc w:val="center"/>
            </w:pPr>
            <w:r>
              <w:rPr>
                <w:sz w:val="20"/>
              </w:rPr>
              <w:t>8.0</w:t>
            </w:r>
          </w:p>
        </w:tc>
        <w:tc>
          <w:tcPr>
            <w:tcW w:type="dxa" w:w="1344"/>
          </w:tcPr>
          <w:p>
            <w:pPr>
              <w:jc w:val="center"/>
            </w:pPr>
            <w:r>
              <w:rPr>
                <w:sz w:val="20"/>
              </w:rPr>
              <w:t>10.0</w:t>
            </w:r>
          </w:p>
        </w:tc>
      </w:tr>
      <w:tr>
        <w:tc>
          <w:tcPr>
            <w:tcW w:type="dxa" w:w="1344"/>
          </w:tcPr>
          <w:p>
            <w:pPr>
              <w:jc w:val="center"/>
            </w:pPr>
            <w:r>
              <w:rPr>
                <w:sz w:val="20"/>
              </w:rPr>
              <w:t>5</w:t>
            </w:r>
          </w:p>
        </w:tc>
        <w:tc>
          <w:tcPr>
            <w:tcW w:type="dxa" w:w="1344"/>
          </w:tcPr>
          <w:p>
            <w:pPr>
              <w:jc w:val="center"/>
            </w:pPr>
            <w:r>
              <w:rPr>
                <w:sz w:val="20"/>
              </w:rPr>
              <w:t>其他管理费用</w:t>
            </w:r>
          </w:p>
        </w:tc>
        <w:tc>
          <w:tcPr>
            <w:tcW w:type="dxa" w:w="1344"/>
          </w:tcPr>
          <w:p>
            <w:pPr>
              <w:jc w:val="center"/>
            </w:pPr>
            <w:r>
              <w:rPr>
                <w:sz w:val="20"/>
              </w:rPr>
              <w:t>1.0</w:t>
            </w:r>
          </w:p>
        </w:tc>
        <w:tc>
          <w:tcPr>
            <w:tcW w:type="dxa" w:w="1344"/>
          </w:tcPr>
          <w:p>
            <w:pPr>
              <w:jc w:val="center"/>
            </w:pPr>
            <w:r>
              <w:rPr>
                <w:sz w:val="20"/>
              </w:rPr>
              <w:t>2.0</w:t>
            </w:r>
          </w:p>
        </w:tc>
        <w:tc>
          <w:tcPr>
            <w:tcW w:type="dxa" w:w="1344"/>
          </w:tcPr>
          <w:p>
            <w:pPr>
              <w:jc w:val="center"/>
            </w:pPr>
            <w:r>
              <w:rPr>
                <w:sz w:val="20"/>
              </w:rPr>
              <w:t>3.0</w:t>
            </w:r>
          </w:p>
        </w:tc>
        <w:tc>
          <w:tcPr>
            <w:tcW w:type="dxa" w:w="1344"/>
          </w:tcPr>
          <w:p>
            <w:pPr>
              <w:jc w:val="center"/>
            </w:pPr>
            <w:r>
              <w:rPr>
                <w:sz w:val="20"/>
              </w:rPr>
              <w:t>4.0</w:t>
            </w:r>
          </w:p>
        </w:tc>
        <w:tc>
          <w:tcPr>
            <w:tcW w:type="dxa" w:w="1344"/>
          </w:tcPr>
          <w:p>
            <w:pPr>
              <w:jc w:val="center"/>
            </w:pPr>
            <w:r>
              <w:rPr>
                <w:sz w:val="20"/>
              </w:rPr>
              <w:t>5.0</w:t>
            </w:r>
          </w:p>
        </w:tc>
      </w:tr>
      <w:tr>
        <w:tc>
          <w:tcPr>
            <w:tcW w:type="dxa" w:w="1344"/>
          </w:tcPr>
          <w:p>
            <w:pPr>
              <w:jc w:val="center"/>
            </w:pPr>
            <w:r>
              <w:rPr>
                <w:sz w:val="20"/>
              </w:rPr>
              <w:t>6</w:t>
            </w:r>
          </w:p>
        </w:tc>
        <w:tc>
          <w:tcPr>
            <w:tcW w:type="dxa" w:w="1344"/>
          </w:tcPr>
          <w:p>
            <w:pPr>
              <w:jc w:val="center"/>
            </w:pPr>
            <w:r>
              <w:rPr>
                <w:sz w:val="20"/>
              </w:rPr>
              <w:t>总成本费用</w:t>
            </w:r>
          </w:p>
        </w:tc>
        <w:tc>
          <w:tcPr>
            <w:tcW w:type="dxa" w:w="1344"/>
          </w:tcPr>
          <w:p>
            <w:pPr>
              <w:jc w:val="center"/>
            </w:pPr>
            <w:r>
              <w:rPr>
                <w:sz w:val="20"/>
              </w:rPr>
              <w:t>14.0</w:t>
            </w:r>
          </w:p>
        </w:tc>
        <w:tc>
          <w:tcPr>
            <w:tcW w:type="dxa" w:w="1344"/>
          </w:tcPr>
          <w:p>
            <w:pPr>
              <w:jc w:val="center"/>
            </w:pPr>
            <w:r>
              <w:rPr>
                <w:sz w:val="20"/>
              </w:rPr>
              <w:t>28.0</w:t>
            </w:r>
          </w:p>
        </w:tc>
        <w:tc>
          <w:tcPr>
            <w:tcW w:type="dxa" w:w="1344"/>
          </w:tcPr>
          <w:p>
            <w:pPr>
              <w:jc w:val="center"/>
            </w:pPr>
            <w:r>
              <w:rPr>
                <w:sz w:val="20"/>
              </w:rPr>
              <w:t>46.0</w:t>
            </w:r>
          </w:p>
        </w:tc>
        <w:tc>
          <w:tcPr>
            <w:tcW w:type="dxa" w:w="1344"/>
          </w:tcPr>
          <w:p>
            <w:pPr>
              <w:jc w:val="center"/>
            </w:pPr>
            <w:r>
              <w:rPr>
                <w:sz w:val="20"/>
              </w:rPr>
              <w:t>68.0</w:t>
            </w:r>
          </w:p>
        </w:tc>
        <w:tc>
          <w:tcPr>
            <w:tcW w:type="dxa" w:w="1344"/>
          </w:tcPr>
          <w:p>
            <w:pPr>
              <w:jc w:val="center"/>
            </w:pPr>
            <w:r>
              <w:rPr>
                <w:sz w:val="20"/>
              </w:rPr>
              <w:t>92.0</w:t>
            </w:r>
          </w:p>
        </w:tc>
      </w:tr>
    </w:tbl>
    <w:p>
      <w:pPr>
        <w:ind w:firstLine="480"/>
      </w:pPr>
      <w:r>
        <w:rPr>
          <w:rFonts w:ascii="宋体" w:hAnsi="宋体" w:eastAsia="宋体"/>
          <w:sz w:val="24"/>
        </w:rPr>
        <w:t>编制说明：AI模型API调用成本按收入的20%至12%估算。服务器成本随用户规模增长而增长。人员薪酬假设团队从初期5人逐步扩展到15人。营销推广费用约占收入的10%至5%。</w:t>
      </w:r>
    </w:p>
    <w:p>
      <w:pPr>
        <w:pStyle w:val="Heading2"/>
      </w:pPr>
      <w:r>
        <w:rPr>
          <w:rFonts w:ascii="黑体" w:hAnsi="黑体" w:eastAsia="黑体"/>
          <w:color w:val="000000"/>
          <w:sz w:val="28"/>
        </w:rPr>
        <w:t>7.4 利润表</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20"/>
              </w:rPr>
              <w:t>序号</w:t>
            </w:r>
          </w:p>
        </w:tc>
        <w:tc>
          <w:tcPr>
            <w:tcW w:type="dxa" w:w="1344"/>
          </w:tcPr>
          <w:p>
            <w:pPr>
              <w:jc w:val="center"/>
            </w:pPr>
            <w:r>
              <w:rPr>
                <w:b/>
                <w:sz w:val="20"/>
              </w:rPr>
              <w:t>项目</w:t>
            </w:r>
          </w:p>
        </w:tc>
        <w:tc>
          <w:tcPr>
            <w:tcW w:type="dxa" w:w="1344"/>
          </w:tcPr>
          <w:p>
            <w:pPr>
              <w:jc w:val="center"/>
            </w:pPr>
            <w:r>
              <w:rPr>
                <w:b/>
                <w:sz w:val="20"/>
              </w:rPr>
              <w:t>T+1年</w:t>
            </w:r>
          </w:p>
        </w:tc>
        <w:tc>
          <w:tcPr>
            <w:tcW w:type="dxa" w:w="1344"/>
          </w:tcPr>
          <w:p>
            <w:pPr>
              <w:jc w:val="center"/>
            </w:pPr>
            <w:r>
              <w:rPr>
                <w:b/>
                <w:sz w:val="20"/>
              </w:rPr>
              <w:t>T+2年</w:t>
            </w:r>
          </w:p>
        </w:tc>
        <w:tc>
          <w:tcPr>
            <w:tcW w:type="dxa" w:w="1344"/>
          </w:tcPr>
          <w:p>
            <w:pPr>
              <w:jc w:val="center"/>
            </w:pPr>
            <w:r>
              <w:rPr>
                <w:b/>
                <w:sz w:val="20"/>
              </w:rPr>
              <w:t>T+3年</w:t>
            </w:r>
          </w:p>
        </w:tc>
        <w:tc>
          <w:tcPr>
            <w:tcW w:type="dxa" w:w="1344"/>
          </w:tcPr>
          <w:p>
            <w:pPr>
              <w:jc w:val="center"/>
            </w:pPr>
            <w:r>
              <w:rPr>
                <w:b/>
                <w:sz w:val="20"/>
              </w:rPr>
              <w:t>T+4年</w:t>
            </w:r>
          </w:p>
        </w:tc>
        <w:tc>
          <w:tcPr>
            <w:tcW w:type="dxa" w:w="1344"/>
          </w:tcPr>
          <w:p>
            <w:pPr>
              <w:jc w:val="center"/>
            </w:pPr>
            <w:r>
              <w:rPr>
                <w:b/>
                <w:sz w:val="20"/>
              </w:rPr>
              <w:t>T+5年</w:t>
            </w:r>
          </w:p>
        </w:tc>
      </w:tr>
      <w:tr>
        <w:tc>
          <w:tcPr>
            <w:tcW w:type="dxa" w:w="1344"/>
          </w:tcPr>
          <w:p>
            <w:pPr>
              <w:jc w:val="center"/>
            </w:pPr>
            <w:r>
              <w:rPr>
                <w:sz w:val="20"/>
              </w:rPr>
              <w:t>1</w:t>
            </w:r>
          </w:p>
        </w:tc>
        <w:tc>
          <w:tcPr>
            <w:tcW w:type="dxa" w:w="1344"/>
          </w:tcPr>
          <w:p>
            <w:pPr>
              <w:jc w:val="center"/>
            </w:pPr>
            <w:r>
              <w:rPr>
                <w:sz w:val="20"/>
              </w:rPr>
              <w:t>主营业务收入</w:t>
            </w:r>
          </w:p>
        </w:tc>
        <w:tc>
          <w:tcPr>
            <w:tcW w:type="dxa" w:w="1344"/>
          </w:tcPr>
          <w:p>
            <w:pPr>
              <w:jc w:val="center"/>
            </w:pPr>
            <w:r>
              <w:rPr>
                <w:sz w:val="20"/>
              </w:rPr>
              <w:t>15.0</w:t>
            </w:r>
          </w:p>
        </w:tc>
        <w:tc>
          <w:tcPr>
            <w:tcW w:type="dxa" w:w="1344"/>
          </w:tcPr>
          <w:p>
            <w:pPr>
              <w:jc w:val="center"/>
            </w:pPr>
            <w:r>
              <w:rPr>
                <w:sz w:val="20"/>
              </w:rPr>
              <w:t>45.0</w:t>
            </w:r>
          </w:p>
        </w:tc>
        <w:tc>
          <w:tcPr>
            <w:tcW w:type="dxa" w:w="1344"/>
          </w:tcPr>
          <w:p>
            <w:pPr>
              <w:jc w:val="center"/>
            </w:pPr>
            <w:r>
              <w:rPr>
                <w:sz w:val="20"/>
              </w:rPr>
              <w:t>90.0</w:t>
            </w:r>
          </w:p>
        </w:tc>
        <w:tc>
          <w:tcPr>
            <w:tcW w:type="dxa" w:w="1344"/>
          </w:tcPr>
          <w:p>
            <w:pPr>
              <w:jc w:val="center"/>
            </w:pPr>
            <w:r>
              <w:rPr>
                <w:sz w:val="20"/>
              </w:rPr>
              <w:t>150.0</w:t>
            </w:r>
          </w:p>
        </w:tc>
        <w:tc>
          <w:tcPr>
            <w:tcW w:type="dxa" w:w="1344"/>
          </w:tcPr>
          <w:p>
            <w:pPr>
              <w:jc w:val="center"/>
            </w:pPr>
            <w:r>
              <w:rPr>
                <w:sz w:val="20"/>
              </w:rPr>
              <w:t>220.0</w:t>
            </w:r>
          </w:p>
        </w:tc>
      </w:tr>
      <w:tr>
        <w:tc>
          <w:tcPr>
            <w:tcW w:type="dxa" w:w="1344"/>
          </w:tcPr>
          <w:p>
            <w:pPr>
              <w:jc w:val="center"/>
            </w:pPr>
            <w:r>
              <w:rPr>
                <w:sz w:val="20"/>
              </w:rPr>
              <w:t>2</w:t>
            </w:r>
          </w:p>
        </w:tc>
        <w:tc>
          <w:tcPr>
            <w:tcW w:type="dxa" w:w="1344"/>
          </w:tcPr>
          <w:p>
            <w:pPr>
              <w:jc w:val="center"/>
            </w:pPr>
            <w:r>
              <w:rPr>
                <w:sz w:val="20"/>
              </w:rPr>
              <w:t>总成本费用</w:t>
            </w:r>
          </w:p>
        </w:tc>
        <w:tc>
          <w:tcPr>
            <w:tcW w:type="dxa" w:w="1344"/>
          </w:tcPr>
          <w:p>
            <w:pPr>
              <w:jc w:val="center"/>
            </w:pPr>
            <w:r>
              <w:rPr>
                <w:sz w:val="20"/>
              </w:rPr>
              <w:t>14.0</w:t>
            </w:r>
          </w:p>
        </w:tc>
        <w:tc>
          <w:tcPr>
            <w:tcW w:type="dxa" w:w="1344"/>
          </w:tcPr>
          <w:p>
            <w:pPr>
              <w:jc w:val="center"/>
            </w:pPr>
            <w:r>
              <w:rPr>
                <w:sz w:val="20"/>
              </w:rPr>
              <w:t>28.0</w:t>
            </w:r>
          </w:p>
        </w:tc>
        <w:tc>
          <w:tcPr>
            <w:tcW w:type="dxa" w:w="1344"/>
          </w:tcPr>
          <w:p>
            <w:pPr>
              <w:jc w:val="center"/>
            </w:pPr>
            <w:r>
              <w:rPr>
                <w:sz w:val="20"/>
              </w:rPr>
              <w:t>46.0</w:t>
            </w:r>
          </w:p>
        </w:tc>
        <w:tc>
          <w:tcPr>
            <w:tcW w:type="dxa" w:w="1344"/>
          </w:tcPr>
          <w:p>
            <w:pPr>
              <w:jc w:val="center"/>
            </w:pPr>
            <w:r>
              <w:rPr>
                <w:sz w:val="20"/>
              </w:rPr>
              <w:t>68.0</w:t>
            </w:r>
          </w:p>
        </w:tc>
        <w:tc>
          <w:tcPr>
            <w:tcW w:type="dxa" w:w="1344"/>
          </w:tcPr>
          <w:p>
            <w:pPr>
              <w:jc w:val="center"/>
            </w:pPr>
            <w:r>
              <w:rPr>
                <w:sz w:val="20"/>
              </w:rPr>
              <w:t>92.0</w:t>
            </w:r>
          </w:p>
        </w:tc>
      </w:tr>
      <w:tr>
        <w:tc>
          <w:tcPr>
            <w:tcW w:type="dxa" w:w="1344"/>
          </w:tcPr>
          <w:p>
            <w:pPr>
              <w:jc w:val="center"/>
            </w:pPr>
            <w:r>
              <w:rPr>
                <w:sz w:val="20"/>
              </w:rPr>
              <w:t>3</w:t>
            </w:r>
          </w:p>
        </w:tc>
        <w:tc>
          <w:tcPr>
            <w:tcW w:type="dxa" w:w="1344"/>
          </w:tcPr>
          <w:p>
            <w:pPr>
              <w:jc w:val="center"/>
            </w:pPr>
            <w:r>
              <w:rPr>
                <w:sz w:val="20"/>
              </w:rPr>
              <w:t>税收及附加</w:t>
            </w:r>
          </w:p>
        </w:tc>
        <w:tc>
          <w:tcPr>
            <w:tcW w:type="dxa" w:w="1344"/>
          </w:tcPr>
          <w:p>
            <w:pPr>
              <w:jc w:val="center"/>
            </w:pPr>
            <w:r>
              <w:rPr>
                <w:sz w:val="20"/>
              </w:rPr>
              <w:t>0.5</w:t>
            </w:r>
          </w:p>
        </w:tc>
        <w:tc>
          <w:tcPr>
            <w:tcW w:type="dxa" w:w="1344"/>
          </w:tcPr>
          <w:p>
            <w:pPr>
              <w:jc w:val="center"/>
            </w:pPr>
            <w:r>
              <w:rPr>
                <w:sz w:val="20"/>
              </w:rPr>
              <w:t>1.5</w:t>
            </w:r>
          </w:p>
        </w:tc>
        <w:tc>
          <w:tcPr>
            <w:tcW w:type="dxa" w:w="1344"/>
          </w:tcPr>
          <w:p>
            <w:pPr>
              <w:jc w:val="center"/>
            </w:pPr>
            <w:r>
              <w:rPr>
                <w:sz w:val="20"/>
              </w:rPr>
              <w:t>3.0</w:t>
            </w:r>
          </w:p>
        </w:tc>
        <w:tc>
          <w:tcPr>
            <w:tcW w:type="dxa" w:w="1344"/>
          </w:tcPr>
          <w:p>
            <w:pPr>
              <w:jc w:val="center"/>
            </w:pPr>
            <w:r>
              <w:rPr>
                <w:sz w:val="20"/>
              </w:rPr>
              <w:t>5.0</w:t>
            </w:r>
          </w:p>
        </w:tc>
        <w:tc>
          <w:tcPr>
            <w:tcW w:type="dxa" w:w="1344"/>
          </w:tcPr>
          <w:p>
            <w:pPr>
              <w:jc w:val="center"/>
            </w:pPr>
            <w:r>
              <w:rPr>
                <w:sz w:val="20"/>
              </w:rPr>
              <w:t>7.3</w:t>
            </w:r>
          </w:p>
        </w:tc>
      </w:tr>
      <w:tr>
        <w:tc>
          <w:tcPr>
            <w:tcW w:type="dxa" w:w="1344"/>
          </w:tcPr>
          <w:p>
            <w:pPr>
              <w:jc w:val="center"/>
            </w:pPr>
            <w:r>
              <w:rPr>
                <w:sz w:val="20"/>
              </w:rPr>
              <w:t>4</w:t>
            </w:r>
          </w:p>
        </w:tc>
        <w:tc>
          <w:tcPr>
            <w:tcW w:type="dxa" w:w="1344"/>
          </w:tcPr>
          <w:p>
            <w:pPr>
              <w:jc w:val="center"/>
            </w:pPr>
            <w:r>
              <w:rPr>
                <w:sz w:val="20"/>
              </w:rPr>
              <w:t>利润总额</w:t>
            </w:r>
          </w:p>
        </w:tc>
        <w:tc>
          <w:tcPr>
            <w:tcW w:type="dxa" w:w="1344"/>
          </w:tcPr>
          <w:p>
            <w:pPr>
              <w:jc w:val="center"/>
            </w:pPr>
            <w:r>
              <w:rPr>
                <w:sz w:val="20"/>
              </w:rPr>
              <w:t>0.5</w:t>
            </w:r>
          </w:p>
        </w:tc>
        <w:tc>
          <w:tcPr>
            <w:tcW w:type="dxa" w:w="1344"/>
          </w:tcPr>
          <w:p>
            <w:pPr>
              <w:jc w:val="center"/>
            </w:pPr>
            <w:r>
              <w:rPr>
                <w:sz w:val="20"/>
              </w:rPr>
              <w:t>15.5</w:t>
            </w:r>
          </w:p>
        </w:tc>
        <w:tc>
          <w:tcPr>
            <w:tcW w:type="dxa" w:w="1344"/>
          </w:tcPr>
          <w:p>
            <w:pPr>
              <w:jc w:val="center"/>
            </w:pPr>
            <w:r>
              <w:rPr>
                <w:sz w:val="20"/>
              </w:rPr>
              <w:t>41.0</w:t>
            </w:r>
          </w:p>
        </w:tc>
        <w:tc>
          <w:tcPr>
            <w:tcW w:type="dxa" w:w="1344"/>
          </w:tcPr>
          <w:p>
            <w:pPr>
              <w:jc w:val="center"/>
            </w:pPr>
            <w:r>
              <w:rPr>
                <w:sz w:val="20"/>
              </w:rPr>
              <w:t>77.0</w:t>
            </w:r>
          </w:p>
        </w:tc>
        <w:tc>
          <w:tcPr>
            <w:tcW w:type="dxa" w:w="1344"/>
          </w:tcPr>
          <w:p>
            <w:pPr>
              <w:jc w:val="center"/>
            </w:pPr>
            <w:r>
              <w:rPr>
                <w:sz w:val="20"/>
              </w:rPr>
              <w:t>120.7</w:t>
            </w:r>
          </w:p>
        </w:tc>
      </w:tr>
      <w:tr>
        <w:tc>
          <w:tcPr>
            <w:tcW w:type="dxa" w:w="1344"/>
          </w:tcPr>
          <w:p>
            <w:pPr>
              <w:jc w:val="center"/>
            </w:pPr>
            <w:r>
              <w:rPr>
                <w:sz w:val="20"/>
              </w:rPr>
              <w:t>5</w:t>
            </w:r>
          </w:p>
        </w:tc>
        <w:tc>
          <w:tcPr>
            <w:tcW w:type="dxa" w:w="1344"/>
          </w:tcPr>
          <w:p>
            <w:pPr>
              <w:jc w:val="center"/>
            </w:pPr>
            <w:r>
              <w:rPr>
                <w:sz w:val="20"/>
              </w:rPr>
              <w:t>所得税(25%)</w:t>
            </w:r>
          </w:p>
        </w:tc>
        <w:tc>
          <w:tcPr>
            <w:tcW w:type="dxa" w:w="1344"/>
          </w:tcPr>
          <w:p>
            <w:pPr>
              <w:jc w:val="center"/>
            </w:pPr>
            <w:r>
              <w:rPr>
                <w:sz w:val="20"/>
              </w:rPr>
              <w:t>0.1</w:t>
            </w:r>
          </w:p>
        </w:tc>
        <w:tc>
          <w:tcPr>
            <w:tcW w:type="dxa" w:w="1344"/>
          </w:tcPr>
          <w:p>
            <w:pPr>
              <w:jc w:val="center"/>
            </w:pPr>
            <w:r>
              <w:rPr>
                <w:sz w:val="20"/>
              </w:rPr>
              <w:t>3.9</w:t>
            </w:r>
          </w:p>
        </w:tc>
        <w:tc>
          <w:tcPr>
            <w:tcW w:type="dxa" w:w="1344"/>
          </w:tcPr>
          <w:p>
            <w:pPr>
              <w:jc w:val="center"/>
            </w:pPr>
            <w:r>
              <w:rPr>
                <w:sz w:val="20"/>
              </w:rPr>
              <w:t>10.3</w:t>
            </w:r>
          </w:p>
        </w:tc>
        <w:tc>
          <w:tcPr>
            <w:tcW w:type="dxa" w:w="1344"/>
          </w:tcPr>
          <w:p>
            <w:pPr>
              <w:jc w:val="center"/>
            </w:pPr>
            <w:r>
              <w:rPr>
                <w:sz w:val="20"/>
              </w:rPr>
              <w:t>19.3</w:t>
            </w:r>
          </w:p>
        </w:tc>
        <w:tc>
          <w:tcPr>
            <w:tcW w:type="dxa" w:w="1344"/>
          </w:tcPr>
          <w:p>
            <w:pPr>
              <w:jc w:val="center"/>
            </w:pPr>
            <w:r>
              <w:rPr>
                <w:sz w:val="20"/>
              </w:rPr>
              <w:t>30.2</w:t>
            </w:r>
          </w:p>
        </w:tc>
      </w:tr>
      <w:tr>
        <w:tc>
          <w:tcPr>
            <w:tcW w:type="dxa" w:w="1344"/>
          </w:tcPr>
          <w:p>
            <w:pPr>
              <w:jc w:val="center"/>
            </w:pPr>
            <w:r>
              <w:rPr>
                <w:sz w:val="20"/>
              </w:rPr>
              <w:t>6</w:t>
            </w:r>
          </w:p>
        </w:tc>
        <w:tc>
          <w:tcPr>
            <w:tcW w:type="dxa" w:w="1344"/>
          </w:tcPr>
          <w:p>
            <w:pPr>
              <w:jc w:val="center"/>
            </w:pPr>
            <w:r>
              <w:rPr>
                <w:sz w:val="20"/>
              </w:rPr>
              <w:t>净利润</w:t>
            </w:r>
          </w:p>
        </w:tc>
        <w:tc>
          <w:tcPr>
            <w:tcW w:type="dxa" w:w="1344"/>
          </w:tcPr>
          <w:p>
            <w:pPr>
              <w:jc w:val="center"/>
            </w:pPr>
            <w:r>
              <w:rPr>
                <w:sz w:val="20"/>
              </w:rPr>
              <w:t>0.4</w:t>
            </w:r>
          </w:p>
        </w:tc>
        <w:tc>
          <w:tcPr>
            <w:tcW w:type="dxa" w:w="1344"/>
          </w:tcPr>
          <w:p>
            <w:pPr>
              <w:jc w:val="center"/>
            </w:pPr>
            <w:r>
              <w:rPr>
                <w:sz w:val="20"/>
              </w:rPr>
              <w:t>11.6</w:t>
            </w:r>
          </w:p>
        </w:tc>
        <w:tc>
          <w:tcPr>
            <w:tcW w:type="dxa" w:w="1344"/>
          </w:tcPr>
          <w:p>
            <w:pPr>
              <w:jc w:val="center"/>
            </w:pPr>
            <w:r>
              <w:rPr>
                <w:sz w:val="20"/>
              </w:rPr>
              <w:t>30.8</w:t>
            </w:r>
          </w:p>
        </w:tc>
        <w:tc>
          <w:tcPr>
            <w:tcW w:type="dxa" w:w="1344"/>
          </w:tcPr>
          <w:p>
            <w:pPr>
              <w:jc w:val="center"/>
            </w:pPr>
            <w:r>
              <w:rPr>
                <w:sz w:val="20"/>
              </w:rPr>
              <w:t>57.8</w:t>
            </w:r>
          </w:p>
        </w:tc>
        <w:tc>
          <w:tcPr>
            <w:tcW w:type="dxa" w:w="1344"/>
          </w:tcPr>
          <w:p>
            <w:pPr>
              <w:jc w:val="center"/>
            </w:pPr>
            <w:r>
              <w:rPr>
                <w:sz w:val="20"/>
              </w:rPr>
              <w:t>90.5</w:t>
            </w:r>
          </w:p>
        </w:tc>
      </w:tr>
    </w:tbl>
    <w:p>
      <w:pPr>
        <w:pStyle w:val="Heading2"/>
      </w:pPr>
      <w:r>
        <w:rPr>
          <w:rFonts w:ascii="黑体" w:hAnsi="黑体" w:eastAsia="黑体"/>
          <w:color w:val="000000"/>
          <w:sz w:val="28"/>
        </w:rPr>
        <w:t>7.5 财务分析</w:t>
      </w:r>
    </w:p>
    <w:p>
      <w:pPr>
        <w:pStyle w:val="Heading3"/>
      </w:pPr>
      <w:r>
        <w:rPr>
          <w:rFonts w:ascii="黑体" w:hAnsi="黑体" w:eastAsia="黑体"/>
          <w:color w:val="000000"/>
          <w:sz w:val="24"/>
        </w:rPr>
        <w:t>7.5.1 财务指标分析</w:t>
      </w:r>
    </w:p>
    <w:p>
      <w:pPr>
        <w:ind w:firstLine="480"/>
      </w:pPr>
      <w:r>
        <w:rPr>
          <w:rFonts w:ascii="宋体" w:hAnsi="宋体" w:eastAsia="宋体"/>
          <w:sz w:val="24"/>
        </w:rPr>
        <w:t>经财务预测，项目各项财务指标如下：</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序号</w:t>
            </w:r>
          </w:p>
        </w:tc>
        <w:tc>
          <w:tcPr>
            <w:tcW w:type="dxa" w:w="3135"/>
          </w:tcPr>
          <w:p>
            <w:pPr>
              <w:jc w:val="center"/>
            </w:pPr>
            <w:r>
              <w:rPr>
                <w:b/>
                <w:sz w:val="20"/>
              </w:rPr>
              <w:t>指标</w:t>
            </w:r>
          </w:p>
        </w:tc>
        <w:tc>
          <w:tcPr>
            <w:tcW w:type="dxa" w:w="3135"/>
          </w:tcPr>
          <w:p>
            <w:pPr>
              <w:jc w:val="center"/>
            </w:pPr>
            <w:r>
              <w:rPr>
                <w:b/>
                <w:sz w:val="20"/>
              </w:rPr>
              <w:t>数值</w:t>
            </w:r>
          </w:p>
        </w:tc>
      </w:tr>
      <w:tr>
        <w:tc>
          <w:tcPr>
            <w:tcW w:type="dxa" w:w="3135"/>
          </w:tcPr>
          <w:p>
            <w:pPr>
              <w:jc w:val="center"/>
            </w:pPr>
            <w:r>
              <w:rPr>
                <w:sz w:val="20"/>
              </w:rPr>
              <w:t>1</w:t>
            </w:r>
          </w:p>
        </w:tc>
        <w:tc>
          <w:tcPr>
            <w:tcW w:type="dxa" w:w="3135"/>
          </w:tcPr>
          <w:p>
            <w:pPr>
              <w:jc w:val="center"/>
            </w:pPr>
            <w:r>
              <w:rPr>
                <w:sz w:val="20"/>
              </w:rPr>
              <w:t>项目年均销售收入(万元)</w:t>
            </w:r>
          </w:p>
        </w:tc>
        <w:tc>
          <w:tcPr>
            <w:tcW w:type="dxa" w:w="3135"/>
          </w:tcPr>
          <w:p>
            <w:pPr>
              <w:jc w:val="center"/>
            </w:pPr>
            <w:r>
              <w:rPr>
                <w:sz w:val="20"/>
              </w:rPr>
              <w:t>104.00</w:t>
            </w:r>
          </w:p>
        </w:tc>
      </w:tr>
      <w:tr>
        <w:tc>
          <w:tcPr>
            <w:tcW w:type="dxa" w:w="3135"/>
          </w:tcPr>
          <w:p>
            <w:pPr>
              <w:jc w:val="center"/>
            </w:pPr>
            <w:r>
              <w:rPr>
                <w:sz w:val="20"/>
              </w:rPr>
              <w:t>2</w:t>
            </w:r>
          </w:p>
        </w:tc>
        <w:tc>
          <w:tcPr>
            <w:tcW w:type="dxa" w:w="3135"/>
          </w:tcPr>
          <w:p>
            <w:pPr>
              <w:jc w:val="center"/>
            </w:pPr>
            <w:r>
              <w:rPr>
                <w:sz w:val="20"/>
              </w:rPr>
              <w:t>项目年均净利润(万元)</w:t>
            </w:r>
          </w:p>
        </w:tc>
        <w:tc>
          <w:tcPr>
            <w:tcW w:type="dxa" w:w="3135"/>
          </w:tcPr>
          <w:p>
            <w:pPr>
              <w:jc w:val="center"/>
            </w:pPr>
            <w:r>
              <w:rPr>
                <w:sz w:val="20"/>
              </w:rPr>
              <w:t>38.22</w:t>
            </w:r>
          </w:p>
        </w:tc>
      </w:tr>
      <w:tr>
        <w:tc>
          <w:tcPr>
            <w:tcW w:type="dxa" w:w="3135"/>
          </w:tcPr>
          <w:p>
            <w:pPr>
              <w:jc w:val="center"/>
            </w:pPr>
            <w:r>
              <w:rPr>
                <w:sz w:val="20"/>
              </w:rPr>
              <w:t>3</w:t>
            </w:r>
          </w:p>
        </w:tc>
        <w:tc>
          <w:tcPr>
            <w:tcW w:type="dxa" w:w="3135"/>
          </w:tcPr>
          <w:p>
            <w:pPr>
              <w:jc w:val="center"/>
            </w:pPr>
            <w:r>
              <w:rPr>
                <w:sz w:val="20"/>
              </w:rPr>
              <w:t>项目净利润率(T+5年)</w:t>
            </w:r>
          </w:p>
        </w:tc>
        <w:tc>
          <w:tcPr>
            <w:tcW w:type="dxa" w:w="3135"/>
          </w:tcPr>
          <w:p>
            <w:pPr>
              <w:jc w:val="center"/>
            </w:pPr>
            <w:r>
              <w:rPr>
                <w:sz w:val="20"/>
              </w:rPr>
              <w:t>41.14%</w:t>
            </w:r>
          </w:p>
        </w:tc>
      </w:tr>
      <w:tr>
        <w:tc>
          <w:tcPr>
            <w:tcW w:type="dxa" w:w="3135"/>
          </w:tcPr>
          <w:p>
            <w:pPr>
              <w:jc w:val="center"/>
            </w:pPr>
            <w:r>
              <w:rPr>
                <w:sz w:val="20"/>
              </w:rPr>
              <w:t>4</w:t>
            </w:r>
          </w:p>
        </w:tc>
        <w:tc>
          <w:tcPr>
            <w:tcW w:type="dxa" w:w="3135"/>
          </w:tcPr>
          <w:p>
            <w:pPr>
              <w:jc w:val="center"/>
            </w:pPr>
            <w:r>
              <w:rPr>
                <w:sz w:val="20"/>
              </w:rPr>
              <w:t>总投资收益率(5年累计)</w:t>
            </w:r>
          </w:p>
        </w:tc>
        <w:tc>
          <w:tcPr>
            <w:tcW w:type="dxa" w:w="3135"/>
          </w:tcPr>
          <w:p>
            <w:pPr>
              <w:jc w:val="center"/>
            </w:pPr>
            <w:r>
              <w:rPr>
                <w:sz w:val="20"/>
              </w:rPr>
              <w:t>2,388.75%</w:t>
            </w:r>
          </w:p>
        </w:tc>
      </w:tr>
      <w:tr>
        <w:tc>
          <w:tcPr>
            <w:tcW w:type="dxa" w:w="3135"/>
          </w:tcPr>
          <w:p>
            <w:pPr>
              <w:jc w:val="center"/>
            </w:pPr>
            <w:r>
              <w:rPr>
                <w:sz w:val="20"/>
              </w:rPr>
              <w:t>5</w:t>
            </w:r>
          </w:p>
        </w:tc>
        <w:tc>
          <w:tcPr>
            <w:tcW w:type="dxa" w:w="3135"/>
          </w:tcPr>
          <w:p>
            <w:pPr>
              <w:jc w:val="center"/>
            </w:pPr>
            <w:r>
              <w:rPr>
                <w:sz w:val="20"/>
              </w:rPr>
              <w:t>投资回收期(不含建设期)</w:t>
            </w:r>
          </w:p>
        </w:tc>
        <w:tc>
          <w:tcPr>
            <w:tcW w:type="dxa" w:w="3135"/>
          </w:tcPr>
          <w:p>
            <w:pPr>
              <w:jc w:val="center"/>
            </w:pPr>
            <w:r>
              <w:rPr>
                <w:sz w:val="20"/>
              </w:rPr>
              <w:t>约1.5年</w:t>
            </w:r>
          </w:p>
        </w:tc>
      </w:tr>
    </w:tbl>
    <w:p>
      <w:pPr>
        <w:ind w:firstLine="480"/>
      </w:pPr>
      <w:r>
        <w:rPr>
          <w:rFonts w:ascii="宋体" w:hAnsi="宋体" w:eastAsia="宋体"/>
          <w:sz w:val="24"/>
        </w:rPr>
        <w:t>项目年均净利润38.22万元，第五年净利润率达到41.14%，远高于传统教育信息化行业15%至20%的平均水平。这主要得益于SaaS订阅收入的边际成本极低，且AI模型调用成本随着大模型价格的持续下降而不断降低。投资回收期约为1.5年，资金风险较小。</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chart_7_1.png"/>
                    <pic:cNvPicPr/>
                  </pic:nvPicPr>
                  <pic:blipFill>
                    <a:blip r:embed="rId21"/>
                    <a:stretch>
                      <a:fillRect/>
                    </a:stretch>
                  </pic:blipFill>
                  <pic:spPr>
                    <a:xfrm>
                      <a:off x="0" y="0"/>
                      <a:ext cx="4572000" cy="2857500"/>
                    </a:xfrm>
                    <a:prstGeom prst="rect"/>
                  </pic:spPr>
                </pic:pic>
              </a:graphicData>
            </a:graphic>
          </wp:inline>
        </w:drawing>
      </w:r>
    </w:p>
    <w:p>
      <w:pPr>
        <w:jc w:val="center"/>
      </w:pPr>
      <w:r>
        <w:drawing>
          <wp:inline xmlns:a="http://schemas.openxmlformats.org/drawingml/2006/main" xmlns:pic="http://schemas.openxmlformats.org/drawingml/2006/picture">
            <wp:extent cx="4572000" cy="2857500"/>
            <wp:docPr id="14" name="Picture 14"/>
            <wp:cNvGraphicFramePr>
              <a:graphicFrameLocks noChangeAspect="1"/>
            </wp:cNvGraphicFramePr>
            <a:graphic>
              <a:graphicData uri="http://schemas.openxmlformats.org/drawingml/2006/picture">
                <pic:pic>
                  <pic:nvPicPr>
                    <pic:cNvPr id="0" name="chart_7_2.png"/>
                    <pic:cNvPicPr/>
                  </pic:nvPicPr>
                  <pic:blipFill>
                    <a:blip r:embed="rId22"/>
                    <a:stretch>
                      <a:fillRect/>
                    </a:stretch>
                  </pic:blipFill>
                  <pic:spPr>
                    <a:xfrm>
                      <a:off x="0" y="0"/>
                      <a:ext cx="4572000" cy="2857500"/>
                    </a:xfrm>
                    <a:prstGeom prst="rect"/>
                  </pic:spPr>
                </pic:pic>
              </a:graphicData>
            </a:graphic>
          </wp:inline>
        </w:drawing>
      </w:r>
    </w:p>
    <w:p>
      <w:pPr>
        <w:pStyle w:val="Heading3"/>
      </w:pPr>
      <w:r>
        <w:rPr>
          <w:rFonts w:ascii="黑体" w:hAnsi="黑体" w:eastAsia="黑体"/>
          <w:color w:val="000000"/>
          <w:sz w:val="24"/>
        </w:rPr>
        <w:t>7.5.2 分析结论</w:t>
      </w:r>
    </w:p>
    <w:p>
      <w:pPr>
        <w:ind w:firstLine="480"/>
      </w:pPr>
      <w:r>
        <w:rPr>
          <w:rFonts w:ascii="宋体" w:hAnsi="宋体" w:eastAsia="宋体"/>
          <w:sz w:val="24"/>
        </w:rPr>
        <w:t>通过财务指标分析可以看出，项目具有较好的盈利能力和增长潜力。SaaS商业模式的高毛利特性、AI调用成本的持续下降趋势以及教育信息化市场的政策驱动增长，共同构成了项目良好的财务前景。初期投入仅需8万元，投资回收期短，适合大学生创业团队的资金条件。随着用户规模的扩大，规模效应将进一步提升利润率。</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