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en-US"/>
        </w:rPr>
        <w:t xml:space="preserve">ERIC CALDERWOOD, </w:t>
      </w:r>
      <w:r>
        <w:rPr>
          <w:rFonts w:ascii="Times New Roman" w:hAnsi="Times New Roman" w:eastAsia="Times New Roman" w:cs="Times New Roman"/>
          <w:b/>
          <w:bCs/>
          <w:i/>
          <w:color w:val="000000"/>
          <w:sz w:val="24"/>
        </w:rPr>
        <w:t xml:space="preserve">On earth or in poems: The many lives of al-Andalus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en-US"/>
        </w:rPr>
        <w:t xml:space="preserve">Cambridge: MA.: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Harvard University Press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en-US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 2023.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lang w:val="en-US"/>
        </w:rPr>
        <w:t xml:space="preserve"> 345 pp.</w:t>
      </w:r>
      <w:r>
        <w:rPr>
          <w:b/>
          <w:bCs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Style w:val="861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861"/>
        <w:pBdr/>
        <w:spacing/>
        <w:ind/>
        <w:rPr>
          <w:highlight w:val="none"/>
        </w:rPr>
      </w:pPr>
      <w:r>
        <w:t xml:space="preserve">El principio que anima el trabajo ambicioso, exhaustivo, e inspirador de</w:t>
      </w:r>
      <w:r>
        <w:t xml:space="preserve"> </w:t>
      </w:r>
      <w:r>
        <w:t xml:space="preserve">Calderwood se encuentra bien asentado en los estudios sobre la política de la</w:t>
      </w:r>
      <w:r>
        <w:t xml:space="preserve"> </w:t>
      </w:r>
      <w:r>
        <w:t xml:space="preserve">memoria: recordar el pasado colectivo no es un mero acto de nostalgia, sino que</w:t>
      </w:r>
      <w:r>
        <w:t xml:space="preserve"> </w:t>
      </w:r>
      <w:r>
        <w:t xml:space="preserve">surge de la insatisfacción respecto al presente, y del consiguiente deseo de</w:t>
      </w:r>
      <w:r>
        <w:t xml:space="preserve"> </w:t>
      </w:r>
      <w:r>
        <w:t xml:space="preserve">cambiarlo.</w:t>
      </w:r>
      <w:r>
        <w:t xml:space="preserve"> </w:t>
      </w:r>
      <w:r>
        <w:rPr>
          <w:i/>
          <w:iCs/>
        </w:rPr>
        <w:t xml:space="preserve">On Earth and in Poems</w:t>
      </w:r>
      <w:r>
        <w:t xml:space="preserve"> </w:t>
      </w:r>
      <w:r>
        <w:t xml:space="preserve">propone que, invocando al-Andalus en la</w:t>
      </w:r>
      <w:r>
        <w:t xml:space="preserve"> </w:t>
      </w:r>
      <w:r>
        <w:t xml:space="preserve">política, literatura, artes visuales, y música, un rango amplio de</w:t>
      </w:r>
      <w:r>
        <w:t xml:space="preserve"> </w:t>
      </w:r>
      <w:r>
        <w:t xml:space="preserve">instituciones, individuos, y colectivos de diverso género, etnia e ideología,</w:t>
      </w:r>
      <w:r>
        <w:t xml:space="preserve"> </w:t>
      </w:r>
      <w:r>
        <w:t xml:space="preserve">han perseguido mejorar sus condiciones sociales y promover ciertas causas</w:t>
      </w:r>
      <w:r>
        <w:t xml:space="preserve"> </w:t>
      </w:r>
      <w:r>
        <w:t xml:space="preserve">políticas. Desviar la mirada desde la ontología de al-Andalus, o lo lo que</w:t>
      </w:r>
      <w:r>
        <w:t xml:space="preserve"> </w:t>
      </w:r>
      <w:r>
        <w:t xml:space="preserve">‘es’</w:t>
      </w:r>
      <w:r>
        <w:t xml:space="preserve">,</w:t>
      </w:r>
      <w:r>
        <w:t xml:space="preserve"> </w:t>
      </w:r>
      <w:r>
        <w:t xml:space="preserve">hacia su fenomenología, o cómo se interpreta en distintos contextos, ha</w:t>
      </w:r>
      <w:r>
        <w:t xml:space="preserve"> </w:t>
      </w:r>
      <w:r>
        <w:t xml:space="preserve">permitido a Calderwood vislumbrar al-Andalus no como una realidad, sino como un</w:t>
      </w:r>
      <w:r>
        <w:t xml:space="preserve"> </w:t>
      </w:r>
      <w:r>
        <w:t xml:space="preserve">método de estudio de realidades sociales y políticas complejas. En definitiva,</w:t>
      </w:r>
      <w:r>
        <w:t xml:space="preserve"> </w:t>
      </w:r>
      <w:r>
        <w:rPr>
          <w:i/>
          <w:iCs/>
        </w:rPr>
        <w:t xml:space="preserve">On Earth or in Poems</w:t>
      </w:r>
      <w:r>
        <w:t xml:space="preserve"> </w:t>
      </w:r>
      <w:r>
        <w:t xml:space="preserve">nos enseña que la memoria de al-Andalus ha servido de</w:t>
      </w:r>
      <w:r>
        <w:t xml:space="preserve"> </w:t>
      </w:r>
      <w:r>
        <w:t xml:space="preserve">instrumento para ocultar ciertas formas de diversidad y visibilizar otras.</w:t>
      </w:r>
      <w:r>
        <w:rPr>
          <w:highlight w:val="none"/>
        </w:rPr>
      </w:r>
    </w:p>
    <w:p>
      <w:pPr>
        <w:pStyle w:val="860"/>
        <w:pBdr/>
        <w:spacing/>
        <w:ind/>
        <w:rPr/>
      </w:pPr>
      <w:r>
        <w:t xml:space="preserve">Como en sus trabajos previos, Calderwood exhibe una gran facilidad para moverse</w:t>
      </w:r>
      <w:r>
        <w:t xml:space="preserve"> </w:t>
      </w:r>
      <w:r>
        <w:t xml:space="preserve">a través de periodos, geografías y materiales dispares, sin por ello dejar de</w:t>
      </w:r>
      <w:r>
        <w:t xml:space="preserve"> </w:t>
      </w:r>
      <w:r>
        <w:t xml:space="preserve">reconocer sus condiciones y demandas específicas. Sin esta movilidad, es</w:t>
      </w:r>
      <w:r>
        <w:t xml:space="preserve"> </w:t>
      </w:r>
      <w:r>
        <w:t xml:space="preserve">imposible abarcar el potencial expansivo de un proyecto tan ambicioso como es el</w:t>
      </w:r>
      <w:r>
        <w:t xml:space="preserve"> </w:t>
      </w:r>
      <w:r>
        <w:t xml:space="preserve">de</w:t>
      </w:r>
      <w:r>
        <w:t xml:space="preserve"> </w:t>
      </w:r>
      <w:r>
        <w:t xml:space="preserve">‘recordar’</w:t>
      </w:r>
      <w:r>
        <w:t xml:space="preserve"> </w:t>
      </w:r>
      <w:r>
        <w:t xml:space="preserve">la(s) memoria(s) de al-Andalus. Quizás lo que más admiro del</w:t>
      </w:r>
      <w:r>
        <w:t xml:space="preserve"> </w:t>
      </w:r>
      <w:r>
        <w:t xml:space="preserve">trabajo de Calderwood es su capacidad para contar una historia y mantener al</w:t>
      </w:r>
      <w:r>
        <w:t xml:space="preserve"> </w:t>
      </w:r>
      <w:r>
        <w:t xml:space="preserve">lector atrapado en su embrujo. El flujo narrativo cristalino y locuaz de</w:t>
      </w:r>
      <w: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w:r>
        <w:rPr>
          <w:i/>
          <w:iCs/>
        </w:rPr>
        <w:t xml:space="preserve">Earth and in Poems</w:t>
      </w:r>
      <w:r>
        <w:t xml:space="preserve"> </w:t>
      </w:r>
      <w:r>
        <w:t xml:space="preserve">evidencia un enorme esfuerzo de fondo, que, aunque</w:t>
      </w:r>
      <w:r>
        <w:t xml:space="preserve"> </w:t>
      </w:r>
      <w:r>
        <w:t xml:space="preserve">adivinable, no se traduce en complejidad retórica ni en innecesarios obstáculos</w:t>
      </w:r>
      <w:r>
        <w:t xml:space="preserve"> </w:t>
      </w:r>
      <w:r>
        <w:t xml:space="preserve">narrativos. El texto eleva demandas intelectuales, pero las recompensa con</w:t>
      </w:r>
      <w:r>
        <w:t xml:space="preserve"> </w:t>
      </w:r>
      <w:r>
        <w:t xml:space="preserve">creces. Traduciendo entre campos simbólicos y lenguajes distintos, establece un</w:t>
      </w:r>
      <w:r>
        <w:t xml:space="preserve"> </w:t>
      </w:r>
      <w:r>
        <w:t xml:space="preserve">delicado equilibro entre el uso de teoría cultural compleja y la inmediatez de</w:t>
      </w:r>
      <w:r>
        <w:t xml:space="preserve"> </w:t>
      </w:r>
      <w:r>
        <w:t xml:space="preserve">estilo narrativo.</w:t>
      </w:r>
      <w:r/>
    </w:p>
    <w:p>
      <w:pPr>
        <w:pStyle w:val="860"/>
        <w:pBdr/>
        <w:spacing/>
        <w:ind/>
        <w:rPr/>
      </w:pPr>
      <w:r>
        <w:t xml:space="preserve">Más concretamente,</w:t>
      </w:r>
      <w:r>
        <w:t xml:space="preserve"> </w:t>
      </w:r>
      <w:r>
        <w:rPr>
          <w:i/>
          <w:iCs/>
        </w:rPr>
        <w:t xml:space="preserve">On Earth or in Poems</w:t>
      </w:r>
      <w:r>
        <w:t xml:space="preserve"> </w:t>
      </w:r>
      <w:r>
        <w:t xml:space="preserve">estudia la ocultación del Ándalus</w:t>
      </w:r>
      <w:r>
        <w:t xml:space="preserve"> </w:t>
      </w:r>
      <w:r>
        <w:t xml:space="preserve">Amazigh (bereber) en obras literarias y artísticas centradas exclusivamente en</w:t>
      </w:r>
      <w:r>
        <w:t xml:space="preserve"> </w:t>
      </w:r>
      <w:r>
        <w:t xml:space="preserve">lo árabe, como</w:t>
      </w:r>
      <w:r>
        <w:t xml:space="preserve"> </w:t>
      </w:r>
      <w:r>
        <w:rPr>
          <w:i/>
          <w:iCs/>
        </w:rPr>
        <w:t xml:space="preserve">Fath al-Andalus</w:t>
      </w:r>
      <w:r>
        <w:t xml:space="preserve"> </w:t>
      </w:r>
      <w:r>
        <w:t xml:space="preserve">(La Conquista de al-Ándalus) de Jurji Zaidan</w:t>
      </w:r>
      <w:r>
        <w:t xml:space="preserve"> </w:t>
      </w:r>
      <w:r>
        <w:t xml:space="preserve">(Capítulo 1); o, por el contrario, analiza los proyectos culturales de</w:t>
      </w:r>
      <w:r>
        <w:t xml:space="preserve"> </w:t>
      </w:r>
      <w:r>
        <w:t xml:space="preserve">reivindicación de lo Amazigh en la historia de al-Ándalus desde comienzos del</w:t>
      </w:r>
      <w:r>
        <w:t xml:space="preserve"> </w:t>
      </w:r>
      <w:r>
        <w:t xml:space="preserve">siglo XX hasta hoy (Capítulo 2). También estudia Calderwood el Ándalus de la</w:t>
      </w:r>
      <w:r>
        <w:t xml:space="preserve"> </w:t>
      </w:r>
      <w:r>
        <w:t xml:space="preserve">obra de autoras e investigadoras feministas, como la siria Salma al-Haffar</w:t>
      </w:r>
      <w:r>
        <w:t xml:space="preserve"> </w:t>
      </w:r>
      <w:r>
        <w:t xml:space="preserve">al-Kuzbari (1923-2006), quien contribuyó a dar voz a la mujer musulmana al mismo</w:t>
      </w:r>
      <w:r>
        <w:t xml:space="preserve"> </w:t>
      </w:r>
      <w:r>
        <w:t xml:space="preserve">tiempo que desbancaba mitos sobre mujer e Islam (Capítulo 3). El capítulo 4</w:t>
      </w:r>
      <w:r>
        <w:t xml:space="preserve"> </w:t>
      </w:r>
      <w:r>
        <w:t xml:space="preserve">trata sobre la formación y efecto, en distintos contextos políticos y</w:t>
      </w:r>
      <w:r>
        <w:t xml:space="preserve"> </w:t>
      </w:r>
      <w:r>
        <w:t xml:space="preserve">culturales, de imaginarios de Palestina en los que al-Ándalus sirve de ideal e</w:t>
      </w:r>
      <w:r>
        <w:t xml:space="preserve"> </w:t>
      </w:r>
      <w:r>
        <w:t xml:space="preserve">instrumento político. El capítulo 5 versa sobre música, centrándose en usos</w:t>
      </w:r>
      <w:r>
        <w:t xml:space="preserve"> </w:t>
      </w:r>
      <w:r>
        <w:t xml:space="preserve">políticos de cierta historiografía sobre la música andalusí; o de proyectos de</w:t>
      </w:r>
      <w:r>
        <w:t xml:space="preserve"> </w:t>
      </w:r>
      <w:r>
        <w:t xml:space="preserve">fusión flamenco-andalusí, como</w:t>
      </w:r>
      <w:r>
        <w:t xml:space="preserve"> </w:t>
      </w:r>
      <w:r>
        <w:rPr>
          <w:i/>
          <w:iCs/>
        </w:rPr>
        <w:t xml:space="preserve">Macama jonda</w:t>
      </w:r>
      <w:r>
        <w:t xml:space="preserve">; o del trabajo del rapero español</w:t>
      </w:r>
      <w:r>
        <w:t xml:space="preserve"> </w:t>
      </w:r>
      <w:r>
        <w:t xml:space="preserve">de origen marroquí Khaled, que mezcla en sus letras español,</w:t>
      </w:r>
      <w:r>
        <w:t xml:space="preserve"> </w:t>
      </w:r>
      <w:r>
        <w:rPr>
          <w:i/>
          <w:iCs/>
        </w:rPr>
        <w:t xml:space="preserve">darija</w:t>
      </w:r>
      <w:r>
        <w:t xml:space="preserve"> </w:t>
      </w:r>
      <w:r>
        <w:t xml:space="preserve">(árabe</w:t>
      </w:r>
      <w:r>
        <w:t xml:space="preserve"> </w:t>
      </w:r>
      <w:r>
        <w:t xml:space="preserve">coloquial del Maghreb), y francés, explotando el potencial político de un</w:t>
      </w:r>
      <w:r>
        <w:t xml:space="preserve"> </w:t>
      </w:r>
      <w:r>
        <w:t xml:space="preserve">textura deliberadamente heterogénea. Finalmente, el epílogo revisa la historia</w:t>
      </w:r>
      <w:r>
        <w:t xml:space="preserve"> </w:t>
      </w:r>
      <w:r>
        <w:t xml:space="preserve">reciente de la mezquita de Córdoba y la manipulación de la historia por parte de</w:t>
      </w:r>
      <w:r>
        <w:t xml:space="preserve"> </w:t>
      </w:r>
      <w:r>
        <w:t xml:space="preserve">la Iglesia católica para justificar su controvertida decisión de no permitir el</w:t>
      </w:r>
      <w:r>
        <w:t xml:space="preserve"> </w:t>
      </w:r>
      <w:r>
        <w:t xml:space="preserve">rezo a musulmanes.</w:t>
      </w:r>
      <w:r/>
    </w:p>
    <w:p>
      <w:pPr>
        <w:pStyle w:val="860"/>
        <w:pBdr/>
        <w:spacing/>
        <w:ind/>
        <w:rPr/>
      </w:pPr>
      <w:r>
        <w:t xml:space="preserve">Mediante el estudio de estos temas Calderwood conduce al lector a través de un</w:t>
      </w:r>
      <w:r>
        <w:t xml:space="preserve"> </w:t>
      </w:r>
      <w:r>
        <w:t xml:space="preserve">abanico de geografías y periodos dispares en los que excava fragmentos de los</w:t>
      </w:r>
      <w:r>
        <w:t xml:space="preserve"> </w:t>
      </w:r>
      <w:r>
        <w:t xml:space="preserve">ecos de al-Ándalus. Este proyecto arqueológico aparta su atención del objeto en</w:t>
      </w:r>
      <w:r>
        <w:t xml:space="preserve"> </w:t>
      </w:r>
      <w:r>
        <w:t xml:space="preserve">sí (la Iberia musulmana) para centrarse en una fenomenología de sus múltiples</w:t>
      </w:r>
      <w:r>
        <w:t xml:space="preserve"> </w:t>
      </w:r>
      <w:r>
        <w:t xml:space="preserve">vidas</w:t>
      </w:r>
      <w:r>
        <w:t xml:space="preserve">. Las voces que conforman esta</w:t>
      </w:r>
      <w:r>
        <w:t xml:space="preserve"> </w:t>
      </w:r>
      <w:r>
        <w:t xml:space="preserve">polifonía de al-Ándalus establecen entre sí una relación más o menos directa,</w:t>
      </w:r>
      <w:r>
        <w:t xml:space="preserve"> </w:t>
      </w:r>
      <w:r>
        <w:t xml:space="preserve">causal, o simbólica.</w:t>
      </w:r>
      <w:r/>
    </w:p>
    <w:p>
      <w:pPr>
        <w:pStyle w:val="860"/>
        <w:pBdr/>
        <w:spacing/>
        <w:ind/>
        <w:rPr/>
      </w:pPr>
      <w:r>
        <w:t xml:space="preserve">¿Forma parte</w:t>
      </w:r>
      <w:r>
        <w:t xml:space="preserve"> </w:t>
      </w:r>
      <w:r>
        <w:rPr>
          <w:i/>
          <w:iCs/>
        </w:rPr>
        <w:t xml:space="preserve">On Earth or in Poems</w:t>
      </w:r>
      <w:r>
        <w:t xml:space="preserve"> </w:t>
      </w:r>
      <w:r>
        <w:t xml:space="preserve">de alguna de las vidas póstumas de</w:t>
      </w:r>
      <w:r>
        <w:t xml:space="preserve"> </w:t>
      </w:r>
      <w:r>
        <w:t xml:space="preserve">al-Ándalus? Sin duda alguna. El libro se inserta en una corriente reciente que</w:t>
      </w:r>
      <w:r>
        <w:t xml:space="preserve"> </w:t>
      </w:r>
      <w:r>
        <w:t xml:space="preserve">estudia los usos históricos de al-Ándalus, y que incluye trabajos como los de</w:t>
      </w:r>
      <w:r>
        <w:t xml:space="preserve"> </w:t>
      </w:r>
      <w:r>
        <w:t xml:space="preserve">Christina Civantos</w:t>
      </w:r>
      <w:r>
        <w:rPr>
          <w:lang w:val="en"/>
        </w:rPr>
        <w:t xml:space="preserve"> (</w:t>
      </w:r>
      <w:r>
        <w:rPr>
          <w:i/>
          <w:iCs/>
          <w:lang w:val="en"/>
        </w:rPr>
        <w:t xml:space="preserve">The Afterlife of al-Andalus: Muslim Iberia in Contemporary Arab and Hispanic Narratives</w:t>
      </w:r>
      <w:r>
        <w:rPr>
          <w:lang w:val="en"/>
        </w:rPr>
        <w:t xml:space="preserve">, Suny Press, 2017)</w:t>
      </w:r>
      <w:r>
        <w:t xml:space="preserve">, Jonathan Shannon</w:t>
      </w:r>
      <w:r>
        <w:rPr>
          <w:lang w:val="en"/>
        </w:rPr>
        <w:t xml:space="preserve"> (</w:t>
      </w:r>
      <w:r>
        <w:rPr>
          <w:i/>
          <w:iCs/>
          <w:lang w:val="en"/>
        </w:rPr>
        <w:t xml:space="preserve">Performing al-Andalus: music and nostalgia across the Mediterranean</w:t>
      </w:r>
      <w:r>
        <w:rPr>
          <w:lang w:val="en"/>
        </w:rPr>
        <w:t xml:space="preserve">, Indiana University Press, 2015)</w:t>
      </w:r>
      <w:r>
        <w:t xml:space="preserve">, </w:t>
      </w:r>
      <w:r>
        <w:t xml:space="preserve">Matthew Machin-Autenrieth</w:t>
      </w:r>
      <w:r>
        <w:rPr>
          <w:lang w:val="en"/>
        </w:rPr>
        <w:t xml:space="preserve"> (</w:t>
      </w:r>
      <w:r>
        <w:rPr>
          <w:lang w:val="en"/>
        </w:rPr>
        <w:t xml:space="preserve">‘Spanish Musical Responses to Moroccan Immigration and the Cultural Memory of al-Andalus’, </w:t>
      </w:r>
      <w:r>
        <w:rPr>
          <w:i/>
          <w:iCs/>
          <w:lang w:val="en"/>
        </w:rPr>
        <w:t xml:space="preserve">Twentieth-Century Music, </w:t>
      </w:r>
      <w:r>
        <w:rPr>
          <w:lang w:val="en"/>
        </w:rPr>
        <w:t xml:space="preserve">16/2 [2019] 259-287)</w:t>
      </w:r>
      <w:r>
        <w:t xml:space="preserve">,</w:t>
      </w:r>
      <w:r>
        <w:t xml:space="preserve"> </w:t>
      </w:r>
      <w:r>
        <w:t xml:space="preserve">Scott</w:t>
      </w:r>
      <w:r>
        <w:rPr>
          <w:lang w:val="en"/>
        </w:rPr>
        <w:t xml:space="preserve">, Vakil, and Weiss (</w:t>
      </w:r>
      <w:r>
        <w:rPr>
          <w:i/>
          <w:iCs/>
          <w:lang w:val="en"/>
        </w:rPr>
        <w:t xml:space="preserve">Al-Andalus in Motion: Travelling Concepts and Cross-Cultural Contexts,</w:t>
      </w:r>
      <w:r>
        <w:rPr>
          <w:lang w:val="en"/>
        </w:rPr>
        <w:t xml:space="preserve"> Boydell &amp; Brewer, 2021), </w: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t xml:space="preserve">Jonathan Glasser</w:t>
      </w:r>
      <w:r>
        <w:rPr>
          <w:lang w:val="en"/>
        </w:rPr>
        <w:t xml:space="preserve"> (</w:t>
      </w:r>
      <w:r>
        <w:rPr>
          <w:i/>
          <w:iCs/>
          <w:lang w:val="en"/>
        </w:rPr>
        <w:t xml:space="preserve">The Lost Paradise: Andalusi music in urban North Africa</w:t>
      </w:r>
      <w:r>
        <w:rPr>
          <w:lang w:val="en"/>
        </w:rPr>
        <w:t xml:space="preserve">, University of Chicago Press, 2019)</w:t>
      </w:r>
      <w:r>
        <w:t xml:space="preserve">, y otros. Lo que distingue al de Calderwood es una asombrosa</w:t>
      </w:r>
      <w:r>
        <w:t xml:space="preserve"> </w:t>
      </w:r>
      <w:r>
        <w:t xml:space="preserve">capacidad para cruzar líneas disciplinares, cronológicas, geográficas, y</w:t>
      </w:r>
      <w:r>
        <w:t xml:space="preserve"> </w:t>
      </w:r>
      <w:r>
        <w:t xml:space="preserve">lingüísticas, transgrediéndolas y exponiendo su arbitrariedad. La ambición del</w:t>
      </w:r>
      <w:r>
        <w:t xml:space="preserve"> </w:t>
      </w:r>
      <w:r>
        <w:t xml:space="preserve">libro es inmensa, y no decepciona. Pero es sólo un comienzo. Los ecos de</w:t>
      </w:r>
      <w:r>
        <w:t xml:space="preserve"> </w:t>
      </w:r>
      <w:r>
        <w:t xml:space="preserve">al-Ándalus reverberan por todas partes, y trabajos como el de Calderwood los</w:t>
      </w:r>
      <w:r>
        <w:t xml:space="preserve"> </w:t>
      </w:r>
      <w:r>
        <w:t xml:space="preserve">amplifican y reconducen por nuevos territorios. Como el propio Calderwood</w:t>
      </w:r>
      <w:r>
        <w:t xml:space="preserve"> </w:t>
      </w:r>
      <w:r>
        <w:t xml:space="preserve">reconoce, Latinoamérica es una geografía aún virgen en la arqueología de las</w:t>
      </w:r>
      <w:r>
        <w:t xml:space="preserve"> </w:t>
      </w:r>
      <w:r>
        <w:t xml:space="preserve">memorias de al-Andalus, y su demanda de atención se escapa inevitablemente a las</w:t>
      </w:r>
      <w:r>
        <w:t xml:space="preserve"> </w:t>
      </w:r>
      <w:r>
        <w:t xml:space="preserve">posibilidades de</w:t>
      </w:r>
      <w:r>
        <w:t xml:space="preserve"> </w:t>
      </w:r>
      <w:r>
        <w:rPr>
          <w:i/>
          <w:iCs/>
        </w:rPr>
        <w:t xml:space="preserve">On Earth or in Poems</w:t>
      </w:r>
      <w:r>
        <w:t xml:space="preserve">. Sin embargo, para los que nos sentimos</w:t>
      </w:r>
      <w:r>
        <w:t xml:space="preserve"> </w:t>
      </w:r>
      <w:r>
        <w:t xml:space="preserve">impulsados a emprender caminos tangenciales en busca de los ecos perdidos de</w:t>
      </w:r>
      <w:r>
        <w:t xml:space="preserve"> </w:t>
      </w:r>
      <w:r>
        <w:t xml:space="preserve">al-Ándalus, este libro es una verdadera fuente de inspiración.</w:t>
      </w:r>
      <w:r>
        <w:rPr>
          <w:highlight w:val="none"/>
        </w:rPr>
      </w:r>
      <w:r/>
      <w:r/>
    </w:p>
    <w:p>
      <w:pPr>
        <w:pStyle w:val="860"/>
        <w:pBdr/>
        <w:spacing/>
        <w:ind/>
        <w:rPr/>
      </w:pPr>
      <w:r/>
      <w:r/>
    </w:p>
    <w:p>
      <w:pPr>
        <w:pStyle w:val="860"/>
        <w:pBdr/>
        <w:spacing/>
        <w:ind/>
        <w:jc w:val="right"/>
        <w:rPr>
          <w:highlight w:val="none"/>
          <w:lang w:val="en-US"/>
        </w:rPr>
      </w:pPr>
      <w:r>
        <w:rPr>
          <w:highlight w:val="none"/>
          <w:lang w:val="en-US"/>
        </w:rPr>
        <w:t xml:space="preserve">SAMUEL LLANO</w:t>
      </w:r>
      <w:r>
        <w:rPr>
          <w:highlight w:val="none"/>
        </w:rPr>
      </w:r>
      <w:r>
        <w:rPr>
          <w:highlight w:val="none"/>
          <w:lang w:val="en-US"/>
        </w:rPr>
      </w:r>
    </w:p>
    <w:p>
      <w:pPr>
        <w:pStyle w:val="860"/>
        <w:pBdr/>
        <w:spacing/>
        <w:ind w:firstLine="720"/>
        <w:jc w:val="left"/>
        <w:rPr/>
      </w:pPr>
      <w:r>
        <w:rPr>
          <w:highlight w:val="none"/>
          <w:lang w:val="en-US"/>
        </w:rPr>
        <w:t xml:space="preserve">University of Manchester</w:t>
      </w:r>
      <w:r>
        <w:rPr>
          <w:highlight w:val="none"/>
          <w:lang w:val="en-US"/>
        </w:rPr>
      </w:r>
      <w:r/>
    </w:p>
    <w:sectPr>
      <w:footnotePr/>
      <w:endnotePr/>
      <w:type w:val="nextPage"/>
      <w:pgSz w:h="16838" w:orient="portrait" w:w="11906"/>
      <w:pgMar w:top="1440" w:right="1083" w:bottom="1440" w:left="1083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40503050406030204"/>
  </w:font>
  <w:font w:name="Consolas">
    <w:panose1 w:val="020B0606030504020204"/>
  </w:font>
  <w:font w:name="Arial">
    <w:panose1 w:val="020F050202020403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26" w:default="1">
    <w:name w:val="No List"/>
    <w:uiPriority w:val="99"/>
    <w:semiHidden/>
    <w:unhideWhenUsed/>
    <w:pPr>
      <w:pBdr/>
      <w:spacing/>
      <w:ind/>
    </w:pPr>
  </w:style>
  <w:style w:type="paragraph" w:styleId="827">
    <w:name w:val="Quote"/>
    <w:basedOn w:val="859"/>
    <w:next w:val="859"/>
    <w:link w:val="8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28">
    <w:name w:val="Quote Char"/>
    <w:basedOn w:val="893"/>
    <w:link w:val="82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29">
    <w:name w:val="List Paragraph"/>
    <w:basedOn w:val="859"/>
    <w:uiPriority w:val="34"/>
    <w:qFormat/>
    <w:pPr>
      <w:pBdr/>
      <w:spacing/>
      <w:ind w:left="720"/>
      <w:contextualSpacing w:val="true"/>
    </w:pPr>
  </w:style>
  <w:style w:type="character" w:styleId="830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31">
    <w:name w:val="Intense Quote"/>
    <w:basedOn w:val="859"/>
    <w:next w:val="859"/>
    <w:link w:val="83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2">
    <w:name w:val="Intense Quote Char"/>
    <w:basedOn w:val="893"/>
    <w:link w:val="83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33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34">
    <w:name w:val="No Spacing"/>
    <w:basedOn w:val="859"/>
    <w:uiPriority w:val="1"/>
    <w:qFormat/>
    <w:pPr>
      <w:pBdr/>
      <w:spacing w:after="0" w:line="240" w:lineRule="auto"/>
      <w:ind/>
    </w:pPr>
  </w:style>
  <w:style w:type="character" w:styleId="835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36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37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38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9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0">
    <w:name w:val="Header"/>
    <w:basedOn w:val="859"/>
    <w:link w:val="84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1">
    <w:name w:val="Header Char"/>
    <w:basedOn w:val="893"/>
    <w:link w:val="840"/>
    <w:uiPriority w:val="99"/>
    <w:pPr>
      <w:pBdr/>
      <w:spacing/>
      <w:ind/>
    </w:pPr>
  </w:style>
  <w:style w:type="paragraph" w:styleId="842">
    <w:name w:val="Footer"/>
    <w:basedOn w:val="859"/>
    <w:link w:val="84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3">
    <w:name w:val="Footer Char"/>
    <w:basedOn w:val="893"/>
    <w:link w:val="842"/>
    <w:uiPriority w:val="99"/>
    <w:pPr>
      <w:pBdr/>
      <w:spacing/>
      <w:ind/>
    </w:pPr>
  </w:style>
  <w:style w:type="character" w:styleId="844">
    <w:name w:val="Footnote Text Char"/>
    <w:basedOn w:val="893"/>
    <w:link w:val="891"/>
    <w:uiPriority w:val="99"/>
    <w:semiHidden/>
    <w:pPr>
      <w:pBdr/>
      <w:spacing/>
      <w:ind/>
    </w:pPr>
    <w:rPr>
      <w:sz w:val="20"/>
      <w:szCs w:val="20"/>
    </w:rPr>
  </w:style>
  <w:style w:type="paragraph" w:styleId="845">
    <w:name w:val="endnote text"/>
    <w:basedOn w:val="859"/>
    <w:link w:val="8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46">
    <w:name w:val="Endnote Text Char"/>
    <w:basedOn w:val="893"/>
    <w:link w:val="845"/>
    <w:uiPriority w:val="99"/>
    <w:semiHidden/>
    <w:pPr>
      <w:pBdr/>
      <w:spacing/>
      <w:ind/>
    </w:pPr>
    <w:rPr>
      <w:sz w:val="20"/>
      <w:szCs w:val="20"/>
    </w:rPr>
  </w:style>
  <w:style w:type="character" w:styleId="847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character" w:styleId="848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9">
    <w:name w:val="toc 1"/>
    <w:basedOn w:val="859"/>
    <w:next w:val="859"/>
    <w:uiPriority w:val="39"/>
    <w:unhideWhenUsed/>
    <w:pPr>
      <w:pBdr/>
      <w:spacing w:after="100"/>
      <w:ind/>
    </w:pPr>
  </w:style>
  <w:style w:type="paragraph" w:styleId="850">
    <w:name w:val="toc 2"/>
    <w:basedOn w:val="859"/>
    <w:next w:val="859"/>
    <w:uiPriority w:val="39"/>
    <w:unhideWhenUsed/>
    <w:pPr>
      <w:pBdr/>
      <w:spacing w:after="100"/>
      <w:ind w:left="220"/>
    </w:pPr>
  </w:style>
  <w:style w:type="paragraph" w:styleId="851">
    <w:name w:val="toc 3"/>
    <w:basedOn w:val="859"/>
    <w:next w:val="859"/>
    <w:uiPriority w:val="39"/>
    <w:unhideWhenUsed/>
    <w:pPr>
      <w:pBdr/>
      <w:spacing w:after="100"/>
      <w:ind w:left="440"/>
    </w:pPr>
  </w:style>
  <w:style w:type="paragraph" w:styleId="852">
    <w:name w:val="toc 4"/>
    <w:basedOn w:val="859"/>
    <w:next w:val="859"/>
    <w:uiPriority w:val="39"/>
    <w:unhideWhenUsed/>
    <w:pPr>
      <w:pBdr/>
      <w:spacing w:after="100"/>
      <w:ind w:left="660"/>
    </w:pPr>
  </w:style>
  <w:style w:type="paragraph" w:styleId="853">
    <w:name w:val="toc 5"/>
    <w:basedOn w:val="859"/>
    <w:next w:val="859"/>
    <w:uiPriority w:val="39"/>
    <w:unhideWhenUsed/>
    <w:pPr>
      <w:pBdr/>
      <w:spacing w:after="100"/>
      <w:ind w:left="880"/>
    </w:pPr>
  </w:style>
  <w:style w:type="paragraph" w:styleId="854">
    <w:name w:val="toc 6"/>
    <w:basedOn w:val="859"/>
    <w:next w:val="859"/>
    <w:uiPriority w:val="39"/>
    <w:unhideWhenUsed/>
    <w:pPr>
      <w:pBdr/>
      <w:spacing w:after="100"/>
      <w:ind w:left="1100"/>
    </w:pPr>
  </w:style>
  <w:style w:type="paragraph" w:styleId="855">
    <w:name w:val="toc 7"/>
    <w:basedOn w:val="859"/>
    <w:next w:val="859"/>
    <w:uiPriority w:val="39"/>
    <w:unhideWhenUsed/>
    <w:pPr>
      <w:pBdr/>
      <w:spacing w:after="100"/>
      <w:ind w:left="1320"/>
    </w:pPr>
  </w:style>
  <w:style w:type="paragraph" w:styleId="856">
    <w:name w:val="toc 8"/>
    <w:basedOn w:val="859"/>
    <w:next w:val="859"/>
    <w:uiPriority w:val="39"/>
    <w:unhideWhenUsed/>
    <w:pPr>
      <w:pBdr/>
      <w:spacing w:after="100"/>
      <w:ind w:left="1540"/>
    </w:pPr>
  </w:style>
  <w:style w:type="paragraph" w:styleId="857">
    <w:name w:val="toc 9"/>
    <w:basedOn w:val="859"/>
    <w:next w:val="859"/>
    <w:uiPriority w:val="39"/>
    <w:unhideWhenUsed/>
    <w:pPr>
      <w:pBdr/>
      <w:spacing w:after="100"/>
      <w:ind w:left="1760"/>
    </w:pPr>
  </w:style>
  <w:style w:type="paragraph" w:styleId="858">
    <w:name w:val="table of figures"/>
    <w:basedOn w:val="859"/>
    <w:next w:val="859"/>
    <w:uiPriority w:val="99"/>
    <w:unhideWhenUsed/>
    <w:pPr>
      <w:pBdr/>
      <w:spacing w:after="0" w:afterAutospacing="0"/>
      <w:ind/>
    </w:pPr>
  </w:style>
  <w:style w:type="paragraph" w:styleId="859" w:default="1">
    <w:name w:val="Normal"/>
    <w:qFormat/>
    <w:pPr>
      <w:pBdr/>
      <w:spacing/>
      <w:ind/>
    </w:pPr>
  </w:style>
  <w:style w:type="paragraph" w:styleId="860">
    <w:name w:val="Body Text"/>
    <w:basedOn w:val="859"/>
    <w:link w:val="902"/>
    <w:qFormat/>
    <w:pPr>
      <w:pBdr/>
      <w:spacing w:after="180" w:before="180"/>
      <w:ind/>
    </w:pPr>
  </w:style>
  <w:style w:type="paragraph" w:styleId="861" w:customStyle="1">
    <w:name w:val="First Paragraph"/>
    <w:basedOn w:val="860"/>
    <w:next w:val="860"/>
    <w:qFormat/>
    <w:pPr>
      <w:pBdr/>
      <w:spacing/>
      <w:ind/>
    </w:pPr>
  </w:style>
  <w:style w:type="paragraph" w:styleId="862" w:customStyle="1">
    <w:name w:val="Compact"/>
    <w:basedOn w:val="860"/>
    <w:qFormat/>
    <w:pPr>
      <w:pBdr/>
      <w:spacing w:after="36" w:before="36"/>
      <w:ind/>
    </w:pPr>
  </w:style>
  <w:style w:type="paragraph" w:styleId="863">
    <w:name w:val="Title"/>
    <w:basedOn w:val="859"/>
    <w:next w:val="860"/>
    <w:link w:val="864"/>
    <w:uiPriority w:val="10"/>
    <w:qFormat/>
    <w:pPr>
      <w:pBdr/>
      <w:spacing w:after="80" w:line="240" w:lineRule="auto"/>
      <w:ind/>
      <w:contextualSpacing w:val="true"/>
      <w:jc w:val="center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64" w:customStyle="1">
    <w:name w:val="Title Char"/>
    <w:basedOn w:val="893"/>
    <w:link w:val="86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65">
    <w:name w:val="Subtitle"/>
    <w:basedOn w:val="863"/>
    <w:next w:val="860"/>
    <w:link w:val="86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spacing w:val="15"/>
      <w:sz w:val="28"/>
      <w:szCs w:val="28"/>
    </w:rPr>
  </w:style>
  <w:style w:type="character" w:styleId="866" w:customStyle="1">
    <w:name w:val="Subtitle Char"/>
    <w:basedOn w:val="893"/>
    <w:link w:val="86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67" w:customStyle="1">
    <w:name w:val="Author"/>
    <w:next w:val="860"/>
    <w:qFormat/>
    <w:pPr>
      <w:keepNext w:val="true"/>
      <w:keepLines w:val="true"/>
      <w:pBdr/>
      <w:spacing/>
      <w:ind/>
      <w:jc w:val="center"/>
    </w:pPr>
  </w:style>
  <w:style w:type="paragraph" w:styleId="868">
    <w:name w:val="Date"/>
    <w:next w:val="860"/>
    <w:qFormat/>
    <w:pPr>
      <w:keepNext w:val="true"/>
      <w:keepLines w:val="true"/>
      <w:pBdr/>
      <w:spacing/>
      <w:ind/>
      <w:jc w:val="center"/>
    </w:pPr>
  </w:style>
  <w:style w:type="paragraph" w:styleId="869" w:customStyle="1">
    <w:name w:val="Abstract Title"/>
    <w:basedOn w:val="859"/>
    <w:next w:val="870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870" w:customStyle="1">
    <w:name w:val="Abstract"/>
    <w:basedOn w:val="859"/>
    <w:next w:val="860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871">
    <w:name w:val="Bibliography"/>
    <w:basedOn w:val="859"/>
    <w:next w:val="871"/>
    <w:qFormat/>
    <w:pPr>
      <w:pBdr/>
      <w:spacing/>
      <w:ind/>
    </w:pPr>
  </w:style>
  <w:style w:type="paragraph" w:styleId="872">
    <w:name w:val="Heading 1"/>
    <w:basedOn w:val="859"/>
    <w:next w:val="860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73">
    <w:name w:val="Heading 2"/>
    <w:basedOn w:val="859"/>
    <w:next w:val="860"/>
    <w:link w:val="8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74">
    <w:name w:val="Heading 3"/>
    <w:basedOn w:val="859"/>
    <w:next w:val="860"/>
    <w:link w:val="8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75">
    <w:name w:val="Heading 4"/>
    <w:basedOn w:val="859"/>
    <w:next w:val="860"/>
    <w:link w:val="8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76">
    <w:name w:val="Heading 5"/>
    <w:basedOn w:val="859"/>
    <w:next w:val="860"/>
    <w:link w:val="8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77">
    <w:name w:val="Heading 6"/>
    <w:basedOn w:val="859"/>
    <w:next w:val="860"/>
    <w:link w:val="88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8">
    <w:name w:val="Heading 7"/>
    <w:basedOn w:val="859"/>
    <w:next w:val="860"/>
    <w:link w:val="88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9">
    <w:name w:val="Heading 8"/>
    <w:basedOn w:val="859"/>
    <w:next w:val="860"/>
    <w:link w:val="88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80">
    <w:name w:val="Heading 9"/>
    <w:basedOn w:val="859"/>
    <w:next w:val="860"/>
    <w:link w:val="88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81" w:customStyle="1">
    <w:name w:val="Heading 1 Char"/>
    <w:basedOn w:val="893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82" w:customStyle="1">
    <w:name w:val="Heading 2 Char"/>
    <w:basedOn w:val="893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83" w:customStyle="1">
    <w:name w:val="Heading 3 Char"/>
    <w:basedOn w:val="893"/>
    <w:link w:val="8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84" w:customStyle="1">
    <w:name w:val="Heading 4 Char"/>
    <w:basedOn w:val="893"/>
    <w:link w:val="8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85" w:customStyle="1">
    <w:name w:val="Heading 5 Char"/>
    <w:basedOn w:val="893"/>
    <w:link w:val="8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86" w:customStyle="1">
    <w:name w:val="Heading 6 Char"/>
    <w:basedOn w:val="893"/>
    <w:link w:val="8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7" w:customStyle="1">
    <w:name w:val="Heading 7 Char"/>
    <w:basedOn w:val="893"/>
    <w:link w:val="8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8" w:customStyle="1">
    <w:name w:val="Heading 8 Char"/>
    <w:basedOn w:val="893"/>
    <w:link w:val="8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9" w:customStyle="1">
    <w:name w:val="Heading 9 Char"/>
    <w:basedOn w:val="893"/>
    <w:link w:val="8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0">
    <w:name w:val="Block Text"/>
    <w:basedOn w:val="860"/>
    <w:next w:val="860"/>
    <w:uiPriority w:val="9"/>
    <w:unhideWhenUsed/>
    <w:qFormat/>
    <w:pPr>
      <w:pBdr/>
      <w:spacing w:after="100" w:before="100"/>
      <w:ind w:right="480" w:firstLine="0" w:left="480"/>
    </w:pPr>
  </w:style>
  <w:style w:type="paragraph" w:styleId="891">
    <w:name w:val="footnote text"/>
    <w:basedOn w:val="859"/>
    <w:next w:val="891"/>
    <w:uiPriority w:val="9"/>
    <w:unhideWhenUsed/>
    <w:qFormat/>
    <w:pPr>
      <w:pBdr/>
      <w:spacing/>
      <w:ind/>
    </w:pPr>
  </w:style>
  <w:style w:type="paragraph" w:styleId="892">
    <w:name w:val="Footnote Block Text"/>
    <w:basedOn w:val="891"/>
    <w:next w:val="891"/>
    <w:uiPriority w:val="9"/>
    <w:unhideWhenUsed/>
    <w:qFormat/>
    <w:pPr>
      <w:pBdr/>
      <w:spacing w:after="100" w:before="100"/>
      <w:ind w:right="480" w:firstLine="0" w:left="480"/>
    </w:pPr>
  </w:style>
  <w:style w:type="character" w:styleId="893" w:default="1">
    <w:name w:val="Default Paragraph Font"/>
    <w:semiHidden/>
    <w:unhideWhenUsed/>
    <w:pPr>
      <w:pBdr/>
      <w:spacing/>
      <w:ind/>
    </w:pPr>
  </w:style>
  <w:style w:type="table" w:styleId="894">
    <w:name w:val="Table"/>
    <w:semiHidden/>
    <w:unhideWhenUsed/>
    <w:qFormat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 w:customStyle="1">
    <w:name w:val="Definition Term"/>
    <w:basedOn w:val="859"/>
    <w:next w:val="896"/>
    <w:pPr>
      <w:keepNext w:val="true"/>
      <w:keepLines w:val="true"/>
      <w:pBdr/>
      <w:spacing w:after="0"/>
      <w:ind/>
    </w:pPr>
    <w:rPr>
      <w:b/>
    </w:rPr>
  </w:style>
  <w:style w:type="paragraph" w:styleId="896" w:customStyle="1">
    <w:name w:val="Definition"/>
    <w:basedOn w:val="859"/>
    <w:pPr>
      <w:pBdr/>
      <w:spacing/>
      <w:ind/>
    </w:pPr>
  </w:style>
  <w:style w:type="paragraph" w:styleId="897">
    <w:name w:val="Caption"/>
    <w:basedOn w:val="859"/>
    <w:link w:val="902"/>
    <w:pPr>
      <w:pBdr/>
      <w:spacing w:after="120" w:before="0"/>
      <w:ind/>
    </w:pPr>
    <w:rPr>
      <w:i/>
    </w:rPr>
  </w:style>
  <w:style w:type="paragraph" w:styleId="898" w:customStyle="1">
    <w:name w:val="Table Caption"/>
    <w:basedOn w:val="897"/>
    <w:pPr>
      <w:keepNext w:val="true"/>
      <w:pBdr/>
      <w:spacing/>
      <w:ind/>
    </w:pPr>
  </w:style>
  <w:style w:type="paragraph" w:styleId="899" w:customStyle="1">
    <w:name w:val="Image Caption"/>
    <w:basedOn w:val="897"/>
    <w:pPr>
      <w:pBdr/>
      <w:spacing/>
      <w:ind/>
    </w:pPr>
  </w:style>
  <w:style w:type="paragraph" w:styleId="900" w:customStyle="1">
    <w:name w:val="Figure"/>
    <w:basedOn w:val="859"/>
    <w:pPr>
      <w:pBdr/>
      <w:spacing/>
      <w:ind/>
    </w:pPr>
  </w:style>
  <w:style w:type="paragraph" w:styleId="901" w:customStyle="1">
    <w:name w:val="Captioned Figure"/>
    <w:basedOn w:val="900"/>
    <w:pPr>
      <w:keepNext w:val="true"/>
      <w:pBdr/>
      <w:spacing/>
      <w:ind/>
    </w:pPr>
  </w:style>
  <w:style w:type="character" w:styleId="902" w:customStyle="1">
    <w:name w:val="Body Text Char"/>
    <w:basedOn w:val="893"/>
    <w:link w:val="860"/>
    <w:pPr>
      <w:pBdr/>
      <w:spacing/>
      <w:ind/>
    </w:pPr>
  </w:style>
  <w:style w:type="character" w:styleId="903" w:customStyle="1">
    <w:name w:val="Verbatim Char"/>
    <w:basedOn w:val="902"/>
    <w:pPr>
      <w:pBdr/>
      <w:spacing/>
      <w:ind/>
    </w:pPr>
    <w:rPr>
      <w:rFonts w:ascii="Consolas" w:hAnsi="Consolas"/>
      <w:sz w:val="22"/>
    </w:rPr>
  </w:style>
  <w:style w:type="character" w:styleId="904" w:customStyle="1">
    <w:name w:val="Section Number"/>
    <w:basedOn w:val="902"/>
    <w:pPr>
      <w:pBdr/>
      <w:spacing/>
      <w:ind/>
    </w:pPr>
  </w:style>
  <w:style w:type="character" w:styleId="905">
    <w:name w:val="footnote reference"/>
    <w:basedOn w:val="902"/>
    <w:pPr>
      <w:pBdr/>
      <w:spacing/>
      <w:ind/>
    </w:pPr>
    <w:rPr>
      <w:vertAlign w:val="superscript"/>
    </w:rPr>
  </w:style>
  <w:style w:type="character" w:styleId="906">
    <w:name w:val="Hyperlink"/>
    <w:basedOn w:val="902"/>
    <w:pPr>
      <w:pBdr/>
      <w:spacing/>
      <w:ind/>
    </w:pPr>
    <w:rPr>
      <w:color w:val="4f81bd" w:themeColor="accent1"/>
    </w:rPr>
  </w:style>
  <w:style w:type="paragraph" w:styleId="907">
    <w:name w:val="TOC Heading"/>
    <w:basedOn w:val="872"/>
    <w:next w:val="860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08" w:customStyle="1">
    <w:name w:val="Source Code"/>
    <w:basedOn w:val="859"/>
    <w:link w:val="903"/>
    <w:pPr>
      <w:pBdr/>
      <w:spacing/>
      <w:ind/>
    </w:pPr>
  </w:style>
  <w:style w:type="character" w:styleId="909" w:customStyle="1">
    <w:name w:val="KeywordTok"/>
    <w:basedOn w:val="903"/>
    <w:pPr>
      <w:pBdr/>
      <w:spacing/>
      <w:ind/>
    </w:pPr>
    <w:rPr>
      <w:b/>
      <w:color w:val="007020"/>
    </w:rPr>
  </w:style>
  <w:style w:type="character" w:styleId="910" w:customStyle="1">
    <w:name w:val="DataTypeTok"/>
    <w:basedOn w:val="903"/>
    <w:pPr>
      <w:pBdr/>
      <w:spacing/>
      <w:ind/>
    </w:pPr>
    <w:rPr>
      <w:color w:val="902000"/>
    </w:rPr>
  </w:style>
  <w:style w:type="character" w:styleId="911" w:customStyle="1">
    <w:name w:val="DecValTok"/>
    <w:basedOn w:val="903"/>
    <w:pPr>
      <w:pBdr/>
      <w:spacing/>
      <w:ind/>
    </w:pPr>
    <w:rPr>
      <w:color w:val="40a070"/>
    </w:rPr>
  </w:style>
  <w:style w:type="character" w:styleId="912" w:customStyle="1">
    <w:name w:val="BaseNTok"/>
    <w:basedOn w:val="903"/>
    <w:pPr>
      <w:pBdr/>
      <w:spacing/>
      <w:ind/>
    </w:pPr>
    <w:rPr>
      <w:color w:val="40a070"/>
    </w:rPr>
  </w:style>
  <w:style w:type="character" w:styleId="913" w:customStyle="1">
    <w:name w:val="FloatTok"/>
    <w:basedOn w:val="903"/>
    <w:pPr>
      <w:pBdr/>
      <w:spacing/>
      <w:ind/>
    </w:pPr>
    <w:rPr>
      <w:color w:val="40a070"/>
    </w:rPr>
  </w:style>
  <w:style w:type="character" w:styleId="914" w:customStyle="1">
    <w:name w:val="ConstantTok"/>
    <w:basedOn w:val="903"/>
    <w:pPr>
      <w:pBdr/>
      <w:spacing/>
      <w:ind/>
    </w:pPr>
    <w:rPr>
      <w:color w:val="880000"/>
    </w:rPr>
  </w:style>
  <w:style w:type="character" w:styleId="915" w:customStyle="1">
    <w:name w:val="CharTok"/>
    <w:basedOn w:val="903"/>
    <w:pPr>
      <w:pBdr/>
      <w:spacing/>
      <w:ind/>
    </w:pPr>
    <w:rPr>
      <w:color w:val="4070a0"/>
    </w:rPr>
  </w:style>
  <w:style w:type="character" w:styleId="916" w:customStyle="1">
    <w:name w:val="SpecialCharTok"/>
    <w:basedOn w:val="903"/>
    <w:pPr>
      <w:pBdr/>
      <w:spacing/>
      <w:ind/>
    </w:pPr>
    <w:rPr>
      <w:color w:val="4070a0"/>
    </w:rPr>
  </w:style>
  <w:style w:type="character" w:styleId="917" w:customStyle="1">
    <w:name w:val="StringTok"/>
    <w:basedOn w:val="903"/>
    <w:pPr>
      <w:pBdr/>
      <w:spacing/>
      <w:ind/>
    </w:pPr>
    <w:rPr>
      <w:color w:val="4070a0"/>
    </w:rPr>
  </w:style>
  <w:style w:type="character" w:styleId="918" w:customStyle="1">
    <w:name w:val="VerbatimStringTok"/>
    <w:basedOn w:val="903"/>
    <w:pPr>
      <w:pBdr/>
      <w:spacing/>
      <w:ind/>
    </w:pPr>
    <w:rPr>
      <w:color w:val="4070a0"/>
    </w:rPr>
  </w:style>
  <w:style w:type="character" w:styleId="919" w:customStyle="1">
    <w:name w:val="SpecialStringTok"/>
    <w:basedOn w:val="903"/>
    <w:pPr>
      <w:pBdr/>
      <w:spacing/>
      <w:ind/>
    </w:pPr>
    <w:rPr>
      <w:color w:val="bb6688"/>
    </w:rPr>
  </w:style>
  <w:style w:type="character" w:styleId="920" w:customStyle="1">
    <w:name w:val="ImportTok"/>
    <w:basedOn w:val="903"/>
    <w:pPr>
      <w:pBdr/>
      <w:spacing/>
      <w:ind/>
    </w:pPr>
    <w:rPr>
      <w:b/>
      <w:color w:val="008000"/>
    </w:rPr>
  </w:style>
  <w:style w:type="character" w:styleId="921" w:customStyle="1">
    <w:name w:val="CommentTok"/>
    <w:basedOn w:val="903"/>
    <w:pPr>
      <w:pBdr/>
      <w:spacing/>
      <w:ind/>
    </w:pPr>
    <w:rPr>
      <w:i/>
      <w:color w:val="60a0b0"/>
    </w:rPr>
  </w:style>
  <w:style w:type="character" w:styleId="922" w:customStyle="1">
    <w:name w:val="DocumentationTok"/>
    <w:basedOn w:val="903"/>
    <w:pPr>
      <w:pBdr/>
      <w:spacing/>
      <w:ind/>
    </w:pPr>
    <w:rPr>
      <w:i/>
      <w:color w:val="ba2121"/>
    </w:rPr>
  </w:style>
  <w:style w:type="character" w:styleId="923" w:customStyle="1">
    <w:name w:val="AnnotationTok"/>
    <w:basedOn w:val="903"/>
    <w:pPr>
      <w:pBdr/>
      <w:spacing/>
      <w:ind/>
    </w:pPr>
    <w:rPr>
      <w:b/>
      <w:i/>
      <w:color w:val="60a0b0"/>
    </w:rPr>
  </w:style>
  <w:style w:type="character" w:styleId="924" w:customStyle="1">
    <w:name w:val="CommentVarTok"/>
    <w:basedOn w:val="903"/>
    <w:pPr>
      <w:pBdr/>
      <w:spacing/>
      <w:ind/>
    </w:pPr>
    <w:rPr>
      <w:b/>
      <w:i/>
      <w:color w:val="60a0b0"/>
    </w:rPr>
  </w:style>
  <w:style w:type="character" w:styleId="925" w:customStyle="1">
    <w:name w:val="OtherTok"/>
    <w:basedOn w:val="903"/>
    <w:pPr>
      <w:pBdr/>
      <w:spacing/>
      <w:ind/>
    </w:pPr>
    <w:rPr>
      <w:color w:val="007020"/>
    </w:rPr>
  </w:style>
  <w:style w:type="character" w:styleId="926" w:customStyle="1">
    <w:name w:val="FunctionTok"/>
    <w:basedOn w:val="903"/>
    <w:pPr>
      <w:pBdr/>
      <w:spacing/>
      <w:ind/>
    </w:pPr>
    <w:rPr>
      <w:color w:val="06287e"/>
    </w:rPr>
  </w:style>
  <w:style w:type="character" w:styleId="927" w:customStyle="1">
    <w:name w:val="VariableTok"/>
    <w:basedOn w:val="903"/>
    <w:pPr>
      <w:pBdr/>
      <w:spacing/>
      <w:ind/>
    </w:pPr>
    <w:rPr>
      <w:color w:val="19177c"/>
    </w:rPr>
  </w:style>
  <w:style w:type="character" w:styleId="928" w:customStyle="1">
    <w:name w:val="ControlFlowTok"/>
    <w:basedOn w:val="903"/>
    <w:pPr>
      <w:pBdr/>
      <w:spacing/>
      <w:ind/>
    </w:pPr>
    <w:rPr>
      <w:b/>
      <w:color w:val="007020"/>
    </w:rPr>
  </w:style>
  <w:style w:type="character" w:styleId="929" w:customStyle="1">
    <w:name w:val="OperatorTok"/>
    <w:basedOn w:val="903"/>
    <w:pPr>
      <w:pBdr/>
      <w:spacing/>
      <w:ind/>
    </w:pPr>
    <w:rPr>
      <w:color w:val="666666"/>
    </w:rPr>
  </w:style>
  <w:style w:type="character" w:styleId="930" w:customStyle="1">
    <w:name w:val="BuiltInTok"/>
    <w:basedOn w:val="903"/>
    <w:pPr>
      <w:pBdr/>
      <w:spacing/>
      <w:ind/>
    </w:pPr>
    <w:rPr>
      <w:color w:val="008000"/>
    </w:rPr>
  </w:style>
  <w:style w:type="character" w:styleId="931" w:customStyle="1">
    <w:name w:val="ExtensionTok"/>
    <w:basedOn w:val="903"/>
    <w:pPr>
      <w:pBdr/>
      <w:spacing/>
      <w:ind/>
    </w:pPr>
  </w:style>
  <w:style w:type="character" w:styleId="932" w:customStyle="1">
    <w:name w:val="PreprocessorTok"/>
    <w:basedOn w:val="903"/>
    <w:pPr>
      <w:pBdr/>
      <w:spacing/>
      <w:ind/>
    </w:pPr>
    <w:rPr>
      <w:color w:val="bc7a00"/>
    </w:rPr>
  </w:style>
  <w:style w:type="character" w:styleId="933" w:customStyle="1">
    <w:name w:val="AttributeTok"/>
    <w:basedOn w:val="903"/>
    <w:pPr>
      <w:pBdr/>
      <w:spacing/>
      <w:ind/>
    </w:pPr>
    <w:rPr>
      <w:color w:val="7d9029"/>
    </w:rPr>
  </w:style>
  <w:style w:type="character" w:styleId="934" w:customStyle="1">
    <w:name w:val="RegionMarkerTok"/>
    <w:basedOn w:val="903"/>
    <w:pPr>
      <w:pBdr/>
      <w:spacing/>
      <w:ind/>
    </w:pPr>
  </w:style>
  <w:style w:type="character" w:styleId="935" w:customStyle="1">
    <w:name w:val="InformationTok"/>
    <w:basedOn w:val="903"/>
    <w:pPr>
      <w:pBdr/>
      <w:spacing/>
      <w:ind/>
    </w:pPr>
    <w:rPr>
      <w:b/>
      <w:i/>
      <w:color w:val="60a0b0"/>
    </w:rPr>
  </w:style>
  <w:style w:type="character" w:styleId="936" w:customStyle="1">
    <w:name w:val="WarningTok"/>
    <w:basedOn w:val="903"/>
    <w:pPr>
      <w:pBdr/>
      <w:spacing/>
      <w:ind/>
    </w:pPr>
    <w:rPr>
      <w:b/>
      <w:i/>
      <w:color w:val="60a0b0"/>
    </w:rPr>
  </w:style>
  <w:style w:type="character" w:styleId="937" w:customStyle="1">
    <w:name w:val="AlertTok"/>
    <w:basedOn w:val="903"/>
    <w:pPr>
      <w:pBdr/>
      <w:spacing/>
      <w:ind/>
    </w:pPr>
    <w:rPr>
      <w:b/>
      <w:color w:val="ff0000"/>
    </w:rPr>
  </w:style>
  <w:style w:type="character" w:styleId="938" w:customStyle="1">
    <w:name w:val="ErrorTok"/>
    <w:basedOn w:val="903"/>
    <w:pPr>
      <w:pBdr/>
      <w:spacing/>
      <w:ind/>
    </w:pPr>
    <w:rPr>
      <w:b/>
      <w:color w:val="ff0000"/>
    </w:rPr>
  </w:style>
  <w:style w:type="character" w:styleId="939" w:customStyle="1">
    <w:name w:val="NormalTok"/>
    <w:basedOn w:val="903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revision>2</cp:revision>
  <dcterms:created xsi:type="dcterms:W3CDTF">2025-11-07T10:00:52Z</dcterms:created>
  <dcterms:modified xsi:type="dcterms:W3CDTF">2025-11-07T12:21:11Z</dcterms:modified>
</cp:coreProperties>
</file>