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SLD-MFA-001 Multi-Factor Authentication Standard</w:t>
      </w:r>
    </w:p>
    <w:p>
      <w:r>
        <w:t>S&amp;L Development LLC</w:t>
        <w:br/>
        <w:t>Version 1.0</w:t>
        <w:br/>
        <w:t>Effective Date: July 2026</w:t>
        <w:br/>
        <w:t>Review Frequency: Annual</w:t>
      </w:r>
    </w:p>
    <w:p>
      <w:pPr>
        <w:pStyle w:val="Heading1"/>
      </w:pPr>
      <w:r>
        <w:t>Purpose</w:t>
      </w:r>
    </w:p>
    <w:p>
      <w:r>
        <w:t>This document describes the current multi-factor authentication (MFA) practices used to protect administrative access to systems supporting SpendSmart.</w:t>
      </w:r>
    </w:p>
    <w:p>
      <w:pPr>
        <w:pStyle w:val="Heading1"/>
      </w:pPr>
      <w:r>
        <w:t>Scope</w:t>
      </w:r>
    </w:p>
    <w:p>
      <w:r>
        <w:t>Applies to administrative access for GitHub, Microsoft 365, Supabase, Plaid Dashboard, and Apple Developer resources.</w:t>
      </w:r>
    </w:p>
    <w:p>
      <w:pPr>
        <w:pStyle w:val="Heading1"/>
      </w:pPr>
      <w:r>
        <w:t>Current Implementation</w:t>
      </w:r>
    </w:p>
    <w:p>
      <w:r>
        <w:t>Administrative accounts are configured to require MFA where supported. Authentication is performed using authenticator applications and/or provider-supported MFA methods. Consumer accounts within the SpendSmart application do not currently require MFA prior to accessing Plaid Link.</w:t>
      </w:r>
    </w:p>
    <w:p>
      <w:pPr>
        <w:pStyle w:val="Heading1"/>
      </w:pPr>
      <w:r>
        <w:t>Administrative Procedure</w:t>
      </w:r>
    </w:p>
    <w:p>
      <w:r>
        <w:t>1. MFA is enabled on supported administrative platforms.</w:t>
        <w:br/>
        <w:t>2. Recovery methods are protected.</w:t>
        <w:br/>
        <w:t>3. MFA devices are reviewed periodically.</w:t>
        <w:br/>
        <w:t>4. Lost or replaced authentication devices are updated promptly.</w:t>
      </w:r>
    </w:p>
    <w:p>
      <w:pPr>
        <w:pStyle w:val="Heading1"/>
      </w:pPr>
      <w:r>
        <w:t>Future Roadmap</w:t>
      </w:r>
    </w:p>
    <w:p>
      <w:r>
        <w:t>Consumer MFA may be introduced in future releases as the authentication platform evolves.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