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SLD-RET-001 Data Retention &amp; Deletion Policy</w:t>
      </w:r>
    </w:p>
    <w:p>
      <w:r>
        <w:t>S&amp;L Development LLC</w:t>
        <w:br/>
        <w:t>Version 1.0</w:t>
        <w:br/>
        <w:t>Effective Date: July 2026</w:t>
        <w:br/>
        <w:t>Review Frequency: Annual</w:t>
      </w:r>
    </w:p>
    <w:p>
      <w:pPr>
        <w:pStyle w:val="Heading1"/>
      </w:pPr>
      <w:r>
        <w:t>Purpose</w:t>
      </w:r>
    </w:p>
    <w:p>
      <w:r>
        <w:t>This policy defines how long S&amp;L Development LLC retains application data and how data is securely deleted.</w:t>
      </w:r>
    </w:p>
    <w:p>
      <w:pPr>
        <w:pStyle w:val="Heading1"/>
      </w:pPr>
      <w:r>
        <w:t>Application Data</w:t>
      </w:r>
    </w:p>
    <w:p>
      <w:r>
        <w:t>User-created budgeting information is retained until the user deletes it or closes the account.</w:t>
      </w:r>
    </w:p>
    <w:p>
      <w:pPr>
        <w:pStyle w:val="Heading1"/>
      </w:pPr>
      <w:r>
        <w:t>Plaid Data</w:t>
      </w:r>
    </w:p>
    <w:p>
      <w:r>
        <w:t>Plaid access tokens are stored only on secure backend infrastructure. Banking credentials are never stored by S&amp;L Development LLC.</w:t>
      </w:r>
    </w:p>
    <w:p>
      <w:pPr>
        <w:pStyle w:val="Heading1"/>
      </w:pPr>
      <w:r>
        <w:t>User Deletion Requests</w:t>
      </w:r>
    </w:p>
    <w:p>
      <w:r>
        <w:t>Upon a verified deletion request, user profile information, budgets, manual transactions, connected Plaid items where applicable, and related application data are removed within a reasonable timeframe unless retention is legally required.</w:t>
      </w:r>
    </w:p>
    <w:p>
      <w:pPr>
        <w:pStyle w:val="Heading1"/>
      </w:pPr>
      <w:r>
        <w:t>Backups</w:t>
      </w:r>
    </w:p>
    <w:p>
      <w:r>
        <w:t>Backups created by users remain under the user's control. Operational backups are retained only as necessary for service continuity.</w:t>
      </w:r>
    </w:p>
    <w:p>
      <w:pPr>
        <w:pStyle w:val="Heading1"/>
      </w:pPr>
      <w:r>
        <w:t>Retention Review</w:t>
      </w:r>
    </w:p>
    <w:p>
      <w:r>
        <w:t>Retention practices are reviewed annually and updated as the application and legal requirements evolve.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