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07F0" w14:textId="77777777" w:rsidR="00021FF4" w:rsidRDefault="00021FF4" w:rsidP="00021FF4">
      <w:pPr>
        <w:pStyle w:val="Title"/>
      </w:pPr>
      <w:r>
        <w:t>The ubiquity of directional motion in nonmotor proteins</w:t>
      </w:r>
    </w:p>
    <w:p w14:paraId="726C27A6" w14:textId="77777777" w:rsidR="00021FF4" w:rsidRDefault="00021FF4" w:rsidP="00021FF4">
      <w:pPr>
        <w:pStyle w:val="Heading1"/>
      </w:pPr>
      <w:r w:rsidRPr="00F6762E">
        <w:t>Introduction</w:t>
      </w:r>
    </w:p>
    <w:p w14:paraId="214ACF55" w14:textId="4E00B8B5" w:rsidR="005C4DB5" w:rsidRPr="005C4DB5" w:rsidRDefault="005C4DB5" w:rsidP="005C4DB5">
      <w:pPr>
        <w:pStyle w:val="Heading2"/>
      </w:pPr>
      <w:r>
        <w:t>The evolution of molecular motors</w:t>
      </w:r>
    </w:p>
    <w:p w14:paraId="3BC8E055" w14:textId="4B7287FF" w:rsidR="00021FF4" w:rsidRDefault="00021FF4" w:rsidP="00021FF4">
      <w:r>
        <w:t xml:space="preserve">Molecular motors transform chemical energy into mechanical work through the catalysis of cellular energy stores. The most common mechanism is the rotation of an amino acid torsion angle leading to the relative movement of protein domains. In contrast, many enzymes catalyze ATP and it does not lead to significant conformational changes. </w:t>
      </w:r>
      <w:bookmarkStart w:id="0" w:name="OLE_LINK1"/>
      <w:bookmarkStart w:id="1" w:name="OLE_LINK2"/>
      <w:r w:rsidR="00D96013">
        <w:t>Proteins such as myosin move along a track, while others such as the F1 ATPase a</w:t>
      </w:r>
      <w:r w:rsidR="003D3495">
        <w:t>nd those found in flagella have circular motion.</w:t>
      </w:r>
      <w:r w:rsidR="00B56C62">
        <w:t xml:space="preserve"> There is a huge range of design, efficiency, and capability of molecular motors. They are very ancient.</w:t>
      </w:r>
    </w:p>
    <w:p w14:paraId="038B3F52" w14:textId="51CC9D2D" w:rsidR="001A3D83" w:rsidRDefault="00302277" w:rsidP="00021FF4">
      <w:r>
        <w:t>But, i</w:t>
      </w:r>
      <w:r w:rsidR="001A3D83">
        <w:t xml:space="preserve">n principle, biological machines do not need </w:t>
      </w:r>
      <w:r w:rsidR="00F82346">
        <w:t>to transform chemical energy (in the form of ATP hydrolysis, for example) in</w:t>
      </w:r>
      <w:r w:rsidR="00FD24E3">
        <w:t>to mechanical work. Rather, they</w:t>
      </w:r>
      <w:r w:rsidR="00F82346">
        <w:t xml:space="preserve"> can rectify thermal motions </w:t>
      </w:r>
      <w:r w:rsidR="00FD24E3">
        <w:t xml:space="preserve">for an out of equilibrium system </w:t>
      </w:r>
      <w:r w:rsidR="00F82346">
        <w:fldChar w:fldCharType="begin"/>
      </w:r>
      <w:r w:rsidR="00031B8B">
        <w:instrText xml:space="preserve"> ADDIN PAPERS2_CITATIONS &lt;citation&gt;&lt;uuid&gt;EE07B963-3104-44BB-BB92-079A280CD491&lt;/uuid&gt;&lt;priority&gt;0&lt;/priority&gt;&lt;publications&gt;&lt;publication&gt;&lt;uuid&gt;579A0B4B-FB5C-4E95-8324-4920633302C1&lt;/uuid&gt;&lt;volume&gt;46&lt;/volume&gt;&lt;doi&gt;10.1002/anie.200504313&lt;/doi&gt;&lt;startpage&gt;72&lt;/startpage&gt;&lt;publication_date&gt;99200612311200000000222000&lt;/publication_date&gt;&lt;url&gt;http://onlinelibrary.wiley.com/doi/10.1002/anie.200504313/full&lt;/url&gt;&lt;citekey&gt;Kay:2006dn&lt;/citekey&gt;&lt;type&gt;400&lt;/type&gt;&lt;title&gt;Synthetic Molecular Motors and Mechanical Machines&lt;/title&gt;&lt;publisher&gt;WILEY</w:instrText>
      </w:r>
      <w:r w:rsidR="00031B8B">
        <w:rPr>
          <w:rFonts w:ascii="Calibri" w:eastAsia="Calibri" w:hAnsi="Calibri" w:cs="Calibri"/>
        </w:rPr>
        <w:instrText>‐</w:instrText>
      </w:r>
      <w:r w:rsidR="00031B8B">
        <w:instrText>VCH Verlag&lt;/publisher&gt;&lt;number&gt;1</w:instrText>
      </w:r>
      <w:r w:rsidR="00031B8B">
        <w:rPr>
          <w:rFonts w:ascii="Calibri" w:eastAsia="Calibri" w:hAnsi="Calibri" w:cs="Calibri"/>
        </w:rPr>
        <w:instrText>‐</w:instrText>
      </w:r>
      <w:r w:rsidR="00031B8B">
        <w:instrText>2&lt;/number&gt;&lt;subtype&gt;400&lt;/subtype&gt;&lt;endpage&gt;191&lt;/endpage&gt;&lt;bundle&gt;&lt;publication&gt;&lt;publisher&gt;WILEY</w:instrText>
      </w:r>
      <w:r w:rsidR="00031B8B">
        <w:rPr>
          <w:rFonts w:ascii="Calibri" w:eastAsia="Calibri" w:hAnsi="Calibri" w:cs="Calibri"/>
        </w:rPr>
        <w:instrText>‐</w:instrText>
      </w:r>
      <w:r w:rsidR="00031B8B">
        <w:instrText>VCH Verlag&lt;/publisher&gt;&lt;title&gt;Angewandte Chemie International Edition&lt;/title&gt;&lt;type&gt;-100&lt;/type&gt;&lt;subtype&gt;-100&lt;/subtype&gt;&lt;uuid&gt;04555389-132A-4CC6-8DC7-DE7518CED49A&lt;/uuid&gt;&lt;/publication&gt;&lt;/bundle&gt;&lt;authors&gt;&lt;author&gt;&lt;firstName&gt;Euan&lt;/firstName&gt;&lt;middleNames&gt;R&lt;/middleNames&gt;&lt;lastName&gt;Kay&lt;/lastName&gt;&lt;/author&gt;&lt;author&gt;&lt;firstName&gt;David&lt;/firstName&gt;&lt;middleNames&gt;A&lt;/middleNames&gt;&lt;lastName&gt;Leigh&lt;/lastName&gt;&lt;/author&gt;&lt;author&gt;&lt;firstName&gt;Francesco&lt;/firstName&gt;&lt;lastName&gt;Zerbetto&lt;/lastName&gt;&lt;/author&gt;&lt;/authors&gt;&lt;/publication&gt;&lt;/publications&gt;&lt;cites&gt;&lt;/cites&gt;&lt;/citation&gt;</w:instrText>
      </w:r>
      <w:r w:rsidR="00F82346">
        <w:fldChar w:fldCharType="separate"/>
      </w:r>
      <w:r w:rsidR="00F82346">
        <w:rPr>
          <w:rFonts w:ascii="Arial" w:hAnsi="Arial" w:cs="Arial"/>
          <w:szCs w:val="22"/>
        </w:rPr>
        <w:t>{Kay:2006dn}</w:t>
      </w:r>
      <w:r w:rsidR="00F82346">
        <w:fldChar w:fldCharType="end"/>
      </w:r>
      <w:r w:rsidR="00F82346">
        <w:t xml:space="preserve">. </w:t>
      </w:r>
    </w:p>
    <w:bookmarkEnd w:id="0"/>
    <w:bookmarkEnd w:id="1"/>
    <w:p w14:paraId="2452FCA4" w14:textId="7937E129" w:rsidR="00021FF4" w:rsidRDefault="005C4DB5" w:rsidP="005C4DB5">
      <w:pPr>
        <w:pStyle w:val="Heading2"/>
      </w:pPr>
      <w:r>
        <w:t>Directionality in motion</w:t>
      </w:r>
    </w:p>
    <w:p w14:paraId="4B622D33" w14:textId="0B1AA847" w:rsidR="00F15518" w:rsidRDefault="00F15518" w:rsidP="00F15518">
      <w:r>
        <w:t xml:space="preserve">What is the nature of asymmetry? </w:t>
      </w:r>
      <w:r w:rsidR="00031B8B">
        <w:t xml:space="preserve">In 1894, Pierre Curie stated “the symmetries of the causes are to be found in the effects.” </w:t>
      </w:r>
      <w:r w:rsidR="00031B8B">
        <w:fldChar w:fldCharType="begin"/>
      </w:r>
      <w:r w:rsidR="00031B8B">
        <w:instrText xml:space="preserve"> ADDIN PAPERS2_CITATIONS &lt;citation&gt;&lt;uuid&gt;584BEB48-6343-4D13-8D7F-DE1812AB3266&lt;/uuid&gt;&lt;priority&gt;0&lt;/priority&gt;&lt;publications&gt;&lt;publication&gt;&lt;publication_date&gt;99189400001200000000200000&lt;/publication_date&gt;&lt;title&gt;Curie: On symmetry in physical phenomena, symmetry... - Google Scholar&lt;/title&gt;&lt;uuid&gt;2DEB2A4E-0729-4304-B43E-8A46A4971D45&lt;/uuid&gt;&lt;subtype&gt;0&lt;/subtype&gt;&lt;publisher&gt;Journal de Physique&lt;/publisher&gt;&lt;type&gt;0&lt;/type&gt;&lt;url&gt;http://scholar.google.com/scholar?q=related:1gtZ6o-S9zcJ:scholar.google.com/&amp;amp;hl=en&amp;amp;num=20&amp;amp;as_sdt=0,5&lt;/url&gt;&lt;authors&gt;&lt;author&gt;&lt;firstName&gt;P&lt;/firstName&gt;&lt;lastName&gt;Curie&lt;/lastName&gt;&lt;/author&gt;&lt;/authors&gt;&lt;/publication&gt;&lt;/publications&gt;&lt;cites&gt;&lt;/cites&gt;&lt;/citation&gt;</w:instrText>
      </w:r>
      <w:r w:rsidR="00031B8B">
        <w:fldChar w:fldCharType="separate"/>
      </w:r>
      <w:r w:rsidR="00031B8B">
        <w:rPr>
          <w:rFonts w:ascii="Arial" w:hAnsi="Arial" w:cs="Arial"/>
          <w:szCs w:val="22"/>
        </w:rPr>
        <w:t>{Curie:1894vj}</w:t>
      </w:r>
      <w:r w:rsidR="00031B8B">
        <w:fldChar w:fldCharType="end"/>
      </w:r>
      <w:r w:rsidR="00C41606">
        <w:t>.</w:t>
      </w:r>
    </w:p>
    <w:p w14:paraId="1D0605D6" w14:textId="2AAD867E" w:rsidR="00C41606" w:rsidRDefault="00C41606" w:rsidP="00F15518">
      <w:r>
        <w:t>Asymmetry means time-reversal symmetry is broken.</w:t>
      </w:r>
    </w:p>
    <w:p w14:paraId="18B674DA" w14:textId="77777777" w:rsidR="00C41606" w:rsidRPr="00F15518" w:rsidRDefault="00C41606" w:rsidP="00F15518"/>
    <w:p w14:paraId="489F6088" w14:textId="254721EA" w:rsidR="005C4DB5" w:rsidRPr="005C4DB5" w:rsidRDefault="005C4DB5" w:rsidP="005C4DB5">
      <w:pPr>
        <w:pStyle w:val="Heading2"/>
      </w:pPr>
      <w:r>
        <w:t>Theoretical models for molecular motors</w:t>
      </w:r>
    </w:p>
    <w:p w14:paraId="0CBAE6E0" w14:textId="12830D3C" w:rsidR="005C4DB5" w:rsidRDefault="005C4DB5" w:rsidP="005C4DB5">
      <w:pPr>
        <w:pStyle w:val="Heading2"/>
      </w:pPr>
      <w:r>
        <w:t>Synthetic molecular motors</w:t>
      </w:r>
    </w:p>
    <w:p w14:paraId="6FC5CE2A" w14:textId="77777777" w:rsidR="005C4DB5" w:rsidRPr="005C4DB5" w:rsidRDefault="005C4DB5" w:rsidP="005C4DB5"/>
    <w:p w14:paraId="1EB2D84D" w14:textId="77777777" w:rsidR="00021FF4" w:rsidRDefault="00021FF4" w:rsidP="00021FF4">
      <w:pPr>
        <w:pStyle w:val="Heading1"/>
      </w:pPr>
      <w:r>
        <w:t>Methods</w:t>
      </w:r>
    </w:p>
    <w:p w14:paraId="793BAD6E" w14:textId="144DA79C" w:rsidR="009B69C2" w:rsidRDefault="009B69C2" w:rsidP="009B69C2">
      <w:pPr>
        <w:pStyle w:val="Heading2"/>
      </w:pPr>
      <w:r>
        <w:t>Data</w:t>
      </w:r>
    </w:p>
    <w:p w14:paraId="5064053B" w14:textId="0C417CA1" w:rsidR="009B69C2" w:rsidRPr="009B69C2" w:rsidRDefault="009B69C2" w:rsidP="009B69C2">
      <w:r>
        <w:t>Discrete population histograms of amino acid torsion angles (phi, psi, and chi) are determined from long time simulations of protein kinase A.</w:t>
      </w:r>
    </w:p>
    <w:p w14:paraId="4E20C8B4" w14:textId="4A31F2C8" w:rsidR="00F6762E" w:rsidRPr="00F6762E" w:rsidRDefault="009B69C2" w:rsidP="00F6762E">
      <w:pPr>
        <w:pStyle w:val="Heading2"/>
      </w:pPr>
      <w:r>
        <w:t>Model</w:t>
      </w:r>
      <w:r w:rsidR="00F6762E">
        <w:t xml:space="preserve"> setup</w:t>
      </w:r>
    </w:p>
    <w:p w14:paraId="6CB78F6C" w14:textId="12EE0DB9" w:rsidR="00021FF4" w:rsidRDefault="00021FF4" w:rsidP="00021FF4">
      <w:r>
        <w:t>Discrete population histograms of amino acid torsion angles (phi, psi, and chi) are converted to chemical potentials. The chemical potentials are offset to matched the experimental bound and unbound populations determined from the K</w:t>
      </w:r>
      <w:r w:rsidR="00F6762E">
        <w:rPr>
          <w:vertAlign w:val="subscript"/>
        </w:rPr>
        <w:t>D</w:t>
      </w:r>
      <w:r w:rsidR="00F6762E">
        <w:t xml:space="preserve">. </w:t>
      </w:r>
      <w:r>
        <w:t xml:space="preserve">Rate constants for moving along each surface separately are calculated using the Boltzmann ratio so that detailed balance is satisfied </w:t>
      </w:r>
    </w:p>
    <w:p w14:paraId="59DA263A" w14:textId="519134AB" w:rsidR="00021FF4" w:rsidRDefault="00021FF4" w:rsidP="00021FF4">
      <w:r>
        <w:t>between adjacent bins. Rate constants for moving between the bound and unbound surface are given by</w:t>
      </w:r>
    </w:p>
    <w:p w14:paraId="758038D0" w14:textId="36B7771C" w:rsidR="005C4DB5" w:rsidRDefault="005C4DB5" w:rsidP="005C4DB5">
      <w:pPr>
        <w:pStyle w:val="Caption"/>
        <w:keepN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C4DB5" w14:paraId="7793CA6B" w14:textId="77777777" w:rsidTr="005C4DB5">
        <w:trPr>
          <w:trHeight w:val="297"/>
        </w:trPr>
        <w:tc>
          <w:tcPr>
            <w:tcW w:w="350" w:type="pct"/>
          </w:tcPr>
          <w:p w14:paraId="479494DF" w14:textId="77777777" w:rsidR="005C4DB5" w:rsidRDefault="005C4DB5" w:rsidP="00021FF4"/>
        </w:tc>
        <w:tc>
          <w:tcPr>
            <w:tcW w:w="4300" w:type="pct"/>
          </w:tcPr>
          <w:p w14:paraId="2A201909" w14:textId="38E4D944" w:rsidR="00B117E8" w:rsidRPr="00524D59" w:rsidRDefault="00887554" w:rsidP="00524D59">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i→i+1</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intrasurface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i→i+1</m:t>
                                </m:r>
                              </m:sub>
                            </m:sSub>
                          </m:num>
                          <m:den>
                            <m:r>
                              <w:rPr>
                                <w:rFonts w:ascii="Cambria Math" w:hAnsi="Cambria Math"/>
                              </w:rPr>
                              <m:t>2RT</m:t>
                            </m:r>
                          </m:den>
                        </m:f>
                      </m:e>
                    </m:d>
                  </m:e>
                </m:func>
              </m:oMath>
            </m:oMathPara>
          </w:p>
        </w:tc>
        <w:tc>
          <w:tcPr>
            <w:tcW w:w="350" w:type="pct"/>
          </w:tcPr>
          <w:p w14:paraId="2C6D48EF" w14:textId="79326657" w:rsidR="005C4DB5" w:rsidRDefault="005C4DB5" w:rsidP="005C4DB5">
            <w:pPr>
              <w:jc w:val="right"/>
            </w:pPr>
            <w:r>
              <w:t>(</w:t>
            </w:r>
            <w:r w:rsidR="00887554">
              <w:fldChar w:fldCharType="begin"/>
            </w:r>
            <w:r w:rsidR="00887554">
              <w:instrText xml:space="preserve"> SEQ Equation \* ARABIC </w:instrText>
            </w:r>
            <w:r w:rsidR="00887554">
              <w:fldChar w:fldCharType="separate"/>
            </w:r>
            <w:r w:rsidR="008609CA">
              <w:rPr>
                <w:noProof/>
              </w:rPr>
              <w:t>1</w:t>
            </w:r>
            <w:r w:rsidR="00887554">
              <w:rPr>
                <w:noProof/>
              </w:rPr>
              <w:fldChar w:fldCharType="end"/>
            </w:r>
            <w:r>
              <w:t>)</w:t>
            </w:r>
          </w:p>
        </w:tc>
      </w:tr>
    </w:tbl>
    <w:p w14:paraId="5351B4F9" w14:textId="63BA765B" w:rsidR="00524D59" w:rsidRDefault="00524D59" w:rsidP="00021FF4">
      <w:pPr>
        <w:rPr>
          <w:rFonts w:eastAsiaTheme="minorEastAsia"/>
        </w:rPr>
      </w:pPr>
      <w:r>
        <w:rPr>
          <w:rFonts w:eastAsiaTheme="minorEastAsia"/>
        </w:rPr>
        <w:t xml:space="preserve">and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24D59" w14:paraId="261E2CD8" w14:textId="77777777" w:rsidTr="005C4DB5">
        <w:trPr>
          <w:trHeight w:val="297"/>
        </w:trPr>
        <w:tc>
          <w:tcPr>
            <w:tcW w:w="350" w:type="pct"/>
          </w:tcPr>
          <w:p w14:paraId="39C982E0" w14:textId="77777777" w:rsidR="00524D59" w:rsidRDefault="00524D59" w:rsidP="00021FF4"/>
        </w:tc>
        <w:tc>
          <w:tcPr>
            <w:tcW w:w="4300" w:type="pct"/>
          </w:tcPr>
          <w:p w14:paraId="02AEAA2A" w14:textId="1DEAA598" w:rsidR="00524D59" w:rsidRPr="00524D59" w:rsidRDefault="00887554" w:rsidP="00524D59">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i+1→i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intrasurface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i+1→i</m:t>
                                </m:r>
                              </m:sub>
                            </m:sSub>
                          </m:num>
                          <m:den>
                            <m:r>
                              <w:rPr>
                                <w:rFonts w:ascii="Cambria Math" w:hAnsi="Cambria Math"/>
                              </w:rPr>
                              <m:t>2RT</m:t>
                            </m:r>
                          </m:den>
                        </m:f>
                      </m:e>
                    </m:d>
                  </m:e>
                </m:func>
              </m:oMath>
            </m:oMathPara>
          </w:p>
        </w:tc>
        <w:tc>
          <w:tcPr>
            <w:tcW w:w="350" w:type="pct"/>
          </w:tcPr>
          <w:p w14:paraId="01C2B81F" w14:textId="77777777" w:rsidR="00524D59" w:rsidRDefault="00524D59" w:rsidP="005C4DB5">
            <w:pPr>
              <w:jc w:val="right"/>
            </w:pPr>
            <w:r>
              <w:t>(</w:t>
            </w:r>
            <w:r w:rsidR="00887554">
              <w:fldChar w:fldCharType="begin"/>
            </w:r>
            <w:r w:rsidR="00887554">
              <w:instrText xml:space="preserve"> SEQ Equation \* ARABIC </w:instrText>
            </w:r>
            <w:r w:rsidR="00887554">
              <w:fldChar w:fldCharType="separate"/>
            </w:r>
            <w:r w:rsidR="008609CA">
              <w:rPr>
                <w:noProof/>
              </w:rPr>
              <w:t>2</w:t>
            </w:r>
            <w:r w:rsidR="00887554">
              <w:rPr>
                <w:noProof/>
              </w:rPr>
              <w:fldChar w:fldCharType="end"/>
            </w:r>
            <w:r>
              <w:t>)</w:t>
            </w:r>
          </w:p>
        </w:tc>
      </w:tr>
    </w:tbl>
    <w:p w14:paraId="15F79271" w14:textId="682A3CA1" w:rsidR="00524D59" w:rsidRDefault="00524D59" w:rsidP="00021FF4">
      <w:r>
        <w:t>so the ratio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524D59" w14:paraId="7AE121B1" w14:textId="77777777" w:rsidTr="005C4DB5">
        <w:trPr>
          <w:trHeight w:val="297"/>
        </w:trPr>
        <w:tc>
          <w:tcPr>
            <w:tcW w:w="350" w:type="pct"/>
          </w:tcPr>
          <w:p w14:paraId="12D3197F" w14:textId="77777777" w:rsidR="00524D59" w:rsidRDefault="00524D59" w:rsidP="00021FF4"/>
        </w:tc>
        <w:tc>
          <w:tcPr>
            <w:tcW w:w="4300" w:type="pct"/>
          </w:tcPr>
          <w:p w14:paraId="4785D9D4" w14:textId="463BD109" w:rsidR="00524D59" w:rsidRDefault="00887554" w:rsidP="00524D59">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i→i+1</m:t>
                        </m:r>
                      </m:sub>
                    </m:sSub>
                  </m:num>
                  <m:den>
                    <m:sSub>
                      <m:sSubPr>
                        <m:ctrlPr>
                          <w:rPr>
                            <w:rFonts w:ascii="Cambria Math" w:hAnsi="Cambria Math"/>
                            <w:i/>
                          </w:rPr>
                        </m:ctrlPr>
                      </m:sSubPr>
                      <m:e>
                        <m:r>
                          <w:rPr>
                            <w:rFonts w:ascii="Cambria Math" w:hAnsi="Cambria Math"/>
                          </w:rPr>
                          <m:t>k</m:t>
                        </m:r>
                      </m:e>
                      <m:sub>
                        <m:r>
                          <w:rPr>
                            <w:rFonts w:ascii="Cambria Math" w:hAnsi="Cambria Math"/>
                          </w:rPr>
                          <m:t>i+1→i</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i→i+1</m:t>
                                </m:r>
                              </m:sub>
                            </m:sSub>
                          </m:num>
                          <m:den>
                            <m:r>
                              <w:rPr>
                                <w:rFonts w:ascii="Cambria Math" w:hAnsi="Cambria Math"/>
                              </w:rPr>
                              <m:t>RT</m:t>
                            </m:r>
                          </m:den>
                        </m:f>
                      </m:e>
                    </m:d>
                    <m:r>
                      <w:rPr>
                        <w:rFonts w:ascii="Cambria Math" w:hAnsi="Cambria Math"/>
                      </w:rPr>
                      <m:t>.</m:t>
                    </m:r>
                  </m:e>
                </m:func>
              </m:oMath>
            </m:oMathPara>
          </w:p>
        </w:tc>
        <w:tc>
          <w:tcPr>
            <w:tcW w:w="350" w:type="pct"/>
          </w:tcPr>
          <w:p w14:paraId="750278CC" w14:textId="77777777" w:rsidR="00524D59" w:rsidRDefault="00524D59" w:rsidP="005C4DB5">
            <w:pPr>
              <w:jc w:val="right"/>
            </w:pPr>
            <w:r>
              <w:t>(</w:t>
            </w:r>
            <w:r w:rsidR="00887554">
              <w:fldChar w:fldCharType="begin"/>
            </w:r>
            <w:r w:rsidR="00887554">
              <w:instrText xml:space="preserve"> SEQ Equation \* ARABIC </w:instrText>
            </w:r>
            <w:r w:rsidR="00887554">
              <w:fldChar w:fldCharType="separate"/>
            </w:r>
            <w:r w:rsidR="008609CA">
              <w:rPr>
                <w:noProof/>
              </w:rPr>
              <w:t>3</w:t>
            </w:r>
            <w:r w:rsidR="00887554">
              <w:rPr>
                <w:noProof/>
              </w:rPr>
              <w:fldChar w:fldCharType="end"/>
            </w:r>
            <w:r>
              <w:t>)</w:t>
            </w:r>
          </w:p>
        </w:tc>
      </w:tr>
    </w:tbl>
    <w:p w14:paraId="732BC349" w14:textId="3A776E66" w:rsidR="00524D59" w:rsidRDefault="00524D59" w:rsidP="00021FF4"/>
    <w:p w14:paraId="46B6DAFD" w14:textId="6EA85F3E" w:rsidR="00021FF4" w:rsidRDefault="00021FF4" w:rsidP="00021FF4">
      <w:r>
        <w:t xml:space="preserve">whereas rate constants for moving between the unbound and bound surface </w:t>
      </w:r>
      <w:r w:rsidR="001A0360">
        <w:t xml:space="preserve">at bin </w:t>
      </w:r>
      <m:oMath>
        <m:r>
          <w:rPr>
            <w:rFonts w:ascii="Cambria Math" w:hAnsi="Cambria Math"/>
          </w:rPr>
          <m:t>i</m:t>
        </m:r>
      </m:oMath>
      <w:r w:rsidR="001A0360">
        <w:rPr>
          <w:rFonts w:eastAsiaTheme="minorEastAsia"/>
        </w:rPr>
        <w:t xml:space="preserve"> </w:t>
      </w:r>
      <w:r>
        <w:t xml:space="preserve">are </w:t>
      </w:r>
    </w:p>
    <w:p w14:paraId="6FFBF73F" w14:textId="12ED7EEF" w:rsidR="00021FF4" w:rsidRDefault="00DE6C4A" w:rsidP="00021FF4">
      <w: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DE6C4A" w14:paraId="4474F871" w14:textId="77777777" w:rsidTr="00706B71">
        <w:trPr>
          <w:trHeight w:val="549"/>
        </w:trPr>
        <w:tc>
          <w:tcPr>
            <w:tcW w:w="350" w:type="pct"/>
          </w:tcPr>
          <w:p w14:paraId="3AD4F426" w14:textId="77777777" w:rsidR="00DE6C4A" w:rsidRDefault="00DE6C4A" w:rsidP="00021FF4"/>
        </w:tc>
        <w:tc>
          <w:tcPr>
            <w:tcW w:w="4300" w:type="pct"/>
          </w:tcPr>
          <w:p w14:paraId="16A7351E" w14:textId="5F9EF7C8" w:rsidR="00DE6C4A" w:rsidRDefault="00887554" w:rsidP="001735A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1→0,i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m:t>
                </m:r>
                <m:r>
                  <m:rPr>
                    <m:nor/>
                  </m:rPr>
                  <w:rPr>
                    <w:rFonts w:ascii="Cambria Math" w:hAnsi="Cambria Math"/>
                  </w:rPr>
                  <m:t>ATP</m:t>
                </m:r>
                <m:r>
                  <w:rPr>
                    <w:rFonts w:ascii="Cambria Math" w:hAnsi="Cambria Math"/>
                  </w:rPr>
                  <m:t>]</m:t>
                </m:r>
              </m:oMath>
            </m:oMathPara>
          </w:p>
        </w:tc>
        <w:tc>
          <w:tcPr>
            <w:tcW w:w="350" w:type="pct"/>
          </w:tcPr>
          <w:p w14:paraId="27AD752D" w14:textId="77777777" w:rsidR="00DE6C4A" w:rsidRDefault="00DE6C4A" w:rsidP="005C4DB5">
            <w:pPr>
              <w:jc w:val="right"/>
            </w:pPr>
            <w:r>
              <w:t>(</w:t>
            </w:r>
            <w:r w:rsidR="00887554">
              <w:fldChar w:fldCharType="begin"/>
            </w:r>
            <w:r w:rsidR="00887554">
              <w:instrText xml:space="preserve"> SEQ Equation \* ARABIC </w:instrText>
            </w:r>
            <w:r w:rsidR="00887554">
              <w:fldChar w:fldCharType="separate"/>
            </w:r>
            <w:r w:rsidR="008609CA">
              <w:rPr>
                <w:noProof/>
              </w:rPr>
              <w:t>4</w:t>
            </w:r>
            <w:r w:rsidR="00887554">
              <w:rPr>
                <w:noProof/>
              </w:rPr>
              <w:fldChar w:fldCharType="end"/>
            </w:r>
            <w:r>
              <w:t>)</w:t>
            </w:r>
          </w:p>
        </w:tc>
      </w:tr>
    </w:tbl>
    <w:p w14:paraId="03D4B9EE" w14:textId="25509A97" w:rsidR="00DE6C4A" w:rsidRDefault="0086195A" w:rsidP="00021FF4">
      <w:r>
        <w:t>The rate constants for moving from bound to unbound include the effects of catalysis:</w:t>
      </w:r>
    </w:p>
    <w:tbl>
      <w:tblPr>
        <w:tblStyle w:val="TableGrid"/>
        <w:tblW w:w="93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8050"/>
        <w:gridCol w:w="655"/>
      </w:tblGrid>
      <w:tr w:rsidR="00706B71" w14:paraId="13173C3C" w14:textId="77777777" w:rsidTr="00706B71">
        <w:trPr>
          <w:trHeight w:val="297"/>
        </w:trPr>
        <w:tc>
          <w:tcPr>
            <w:tcW w:w="188" w:type="pct"/>
          </w:tcPr>
          <w:p w14:paraId="27817350" w14:textId="77777777" w:rsidR="00706B71" w:rsidRDefault="00706B71" w:rsidP="00021FF4"/>
        </w:tc>
        <w:tc>
          <w:tcPr>
            <w:tcW w:w="2312" w:type="pct"/>
          </w:tcPr>
          <w:p w14:paraId="2E1FC917" w14:textId="78061505" w:rsidR="00706B71" w:rsidRPr="00706B71" w:rsidRDefault="00887554" w:rsidP="00706B71">
            <w:pPr>
              <w:jc w:val="center"/>
              <w:rPr>
                <w:rFonts w:ascii="Arial" w:eastAsia="Times New Roman" w:hAnsi="Arial"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0→1,i</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sz w:val="24"/>
                          </w:rPr>
                        </m:ctrlPr>
                      </m:dPr>
                      <m:e>
                        <m:f>
                          <m:fPr>
                            <m:ctrlPr>
                              <w:rPr>
                                <w:rFonts w:ascii="Cambria Math" w:hAnsi="Cambria Math"/>
                                <w:i/>
                                <w:sz w:val="24"/>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1→0,i</m:t>
                                </m:r>
                              </m:sub>
                            </m:sSub>
                          </m:num>
                          <m:den>
                            <m:r>
                              <w:rPr>
                                <w:rFonts w:ascii="Cambria Math" w:hAnsi="Cambria Math"/>
                              </w:rPr>
                              <m:t>RT</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m:rPr>
                            <m:nor/>
                          </m:rPr>
                          <w:rPr>
                            <w:rFonts w:ascii="Cambria Math" w:hAnsi="Cambria Math"/>
                            <w:sz w:val="24"/>
                          </w:rPr>
                          <m:t>catalysis</m:t>
                        </m:r>
                      </m:sub>
                    </m:sSub>
                  </m:e>
                </m:func>
              </m:oMath>
            </m:oMathPara>
          </w:p>
        </w:tc>
        <w:tc>
          <w:tcPr>
            <w:tcW w:w="2312" w:type="pct"/>
          </w:tcPr>
          <w:p w14:paraId="2C318121" w14:textId="2ADAFCC5" w:rsidR="00706B71" w:rsidRDefault="00887554" w:rsidP="00706B71">
            <w:pPr>
              <w:jc w:val="center"/>
            </w:pPr>
            <w:sdt>
              <w:sdtPr>
                <w:rPr>
                  <w:rFonts w:ascii="Cambria Math" w:hAnsi="Cambria Math"/>
                  <w:i/>
                </w:rPr>
                <w:id w:val="2012561678"/>
                <w:placeholder>
                  <w:docPart w:val="018DE2687CE9474FBBC900ACEBD8937F"/>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188" w:type="pct"/>
          </w:tcPr>
          <w:p w14:paraId="0233AA41" w14:textId="77777777" w:rsidR="00706B71" w:rsidRDefault="00706B71" w:rsidP="005C4DB5">
            <w:pPr>
              <w:jc w:val="right"/>
            </w:pPr>
            <w:r>
              <w:t>(</w:t>
            </w:r>
            <w:r w:rsidR="00887554">
              <w:fldChar w:fldCharType="begin"/>
            </w:r>
            <w:r w:rsidR="00887554">
              <w:instrText xml:space="preserve"> SEQ Equation \* ARABIC </w:instrText>
            </w:r>
            <w:r w:rsidR="00887554">
              <w:fldChar w:fldCharType="separate"/>
            </w:r>
            <w:r w:rsidR="008609CA">
              <w:rPr>
                <w:noProof/>
              </w:rPr>
              <w:t>5</w:t>
            </w:r>
            <w:r w:rsidR="00887554">
              <w:rPr>
                <w:noProof/>
              </w:rPr>
              <w:fldChar w:fldCharType="end"/>
            </w:r>
            <w:r>
              <w:t>)</w:t>
            </w:r>
          </w:p>
        </w:tc>
      </w:tr>
    </w:tbl>
    <w:p w14:paraId="1F51EF28" w14:textId="5F7F5B01" w:rsidR="0086195A" w:rsidRDefault="001735AE" w:rsidP="00021FF4">
      <w:r>
        <w:t>So that the ratio between these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1735AE" w14:paraId="5E72B718" w14:textId="77777777" w:rsidTr="005C4DB5">
        <w:trPr>
          <w:trHeight w:val="297"/>
        </w:trPr>
        <w:tc>
          <w:tcPr>
            <w:tcW w:w="350" w:type="pct"/>
          </w:tcPr>
          <w:p w14:paraId="497CAD68" w14:textId="77777777" w:rsidR="001735AE" w:rsidRDefault="001735AE" w:rsidP="00021FF4"/>
        </w:tc>
        <w:tc>
          <w:tcPr>
            <w:tcW w:w="4300" w:type="pct"/>
          </w:tcPr>
          <w:p w14:paraId="4F1537E9" w14:textId="3657A9E6" w:rsidR="001735AE" w:rsidRDefault="00887554" w:rsidP="002C5CDE">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0→1,i</m:t>
                        </m:r>
                      </m:sub>
                    </m:sSub>
                  </m:num>
                  <m:den>
                    <m:sSub>
                      <m:sSubPr>
                        <m:ctrlPr>
                          <w:rPr>
                            <w:rFonts w:ascii="Cambria Math" w:hAnsi="Cambria Math"/>
                            <w:i/>
                          </w:rPr>
                        </m:ctrlPr>
                      </m:sSubPr>
                      <m:e>
                        <m:r>
                          <w:rPr>
                            <w:rFonts w:ascii="Cambria Math" w:hAnsi="Cambria Math"/>
                          </w:rPr>
                          <m:t>k</m:t>
                        </m:r>
                      </m:e>
                      <m:sub>
                        <m:r>
                          <w:rPr>
                            <w:rFonts w:ascii="Cambria Math" w:hAnsi="Cambria Math"/>
                          </w:rPr>
                          <m:t>1→0,i</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1→0,i</m:t>
                                    </m:r>
                                  </m:sub>
                                </m:sSub>
                              </m:num>
                              <m:den>
                                <m:r>
                                  <w:rPr>
                                    <w:rFonts w:ascii="Cambria Math" w:hAnsi="Cambria Math"/>
                                  </w:rPr>
                                  <m:t>RT</m:t>
                                </m:r>
                              </m:den>
                            </m:f>
                          </m:e>
                        </m:d>
                        <m:r>
                          <w:rPr>
                            <w:rFonts w:ascii="Cambria Math" w:hAnsi="Cambria Math"/>
                          </w:rPr>
                          <m:t>+</m:t>
                        </m:r>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e>
                    </m:func>
                  </m:num>
                  <m:den>
                    <m:d>
                      <m:dPr>
                        <m:begChr m:val="["/>
                        <m:endChr m:val="]"/>
                        <m:ctrlPr>
                          <w:rPr>
                            <w:rFonts w:ascii="Cambria Math" w:hAnsi="Cambria Math"/>
                            <w:i/>
                          </w:rPr>
                        </m:ctrlPr>
                      </m:dPr>
                      <m:e>
                        <m:r>
                          <m:rPr>
                            <m:nor/>
                          </m:rPr>
                          <w:rPr>
                            <w:rFonts w:ascii="Cambria Math" w:hAnsi="Cambria Math"/>
                          </w:rPr>
                          <m:t>ATP</m:t>
                        </m:r>
                      </m:e>
                    </m:d>
                  </m:den>
                </m:f>
              </m:oMath>
            </m:oMathPara>
          </w:p>
        </w:tc>
        <w:tc>
          <w:tcPr>
            <w:tcW w:w="350" w:type="pct"/>
          </w:tcPr>
          <w:p w14:paraId="7C0ECA45" w14:textId="77777777" w:rsidR="001735AE" w:rsidRDefault="001735AE" w:rsidP="005C4DB5">
            <w:pPr>
              <w:jc w:val="right"/>
            </w:pPr>
            <w:r>
              <w:t>(</w:t>
            </w:r>
            <w:r w:rsidR="00887554">
              <w:fldChar w:fldCharType="begin"/>
            </w:r>
            <w:r w:rsidR="00887554">
              <w:instrText xml:space="preserve"> SEQ Equation \* ARABIC </w:instrText>
            </w:r>
            <w:r w:rsidR="00887554">
              <w:fldChar w:fldCharType="separate"/>
            </w:r>
            <w:r w:rsidR="008609CA">
              <w:rPr>
                <w:noProof/>
              </w:rPr>
              <w:t>6</w:t>
            </w:r>
            <w:r w:rsidR="00887554">
              <w:rPr>
                <w:noProof/>
              </w:rPr>
              <w:fldChar w:fldCharType="end"/>
            </w:r>
            <w:r>
              <w:t>)</w:t>
            </w:r>
          </w:p>
        </w:tc>
      </w:tr>
    </w:tbl>
    <w:p w14:paraId="5CBD269E" w14:textId="007487E0" w:rsidR="001735AE" w:rsidRDefault="001735AE" w:rsidP="00021FF4">
      <w:r>
        <w:t>…which, in the absence of catalysis</w:t>
      </w:r>
      <w:r w:rsidR="008609CA">
        <w:t xml:space="preserve"> and with the concentration of ATP equal to 30 mM</w:t>
      </w:r>
      <w:r>
        <w:t>, is</w:t>
      </w:r>
      <w:r w:rsidR="002C5CD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5"/>
        <w:gridCol w:w="8050"/>
        <w:gridCol w:w="655"/>
      </w:tblGrid>
      <w:tr w:rsidR="002C5CDE" w14:paraId="43996872" w14:textId="77777777" w:rsidTr="005C4DB5">
        <w:trPr>
          <w:trHeight w:val="297"/>
        </w:trPr>
        <w:tc>
          <w:tcPr>
            <w:tcW w:w="350" w:type="pct"/>
          </w:tcPr>
          <w:p w14:paraId="4FA540FD" w14:textId="77777777" w:rsidR="002C5CDE" w:rsidRDefault="002C5CDE" w:rsidP="00021FF4"/>
        </w:tc>
        <w:tc>
          <w:tcPr>
            <w:tcW w:w="4300" w:type="pct"/>
          </w:tcPr>
          <w:p w14:paraId="11BB186F" w14:textId="330C511D" w:rsidR="002C5CDE" w:rsidRPr="002C5CDE" w:rsidRDefault="00887554" w:rsidP="0088755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0→1,i</m:t>
                        </m:r>
                      </m:sub>
                    </m:sSub>
                  </m:num>
                  <m:den>
                    <m:sSub>
                      <m:sSubPr>
                        <m:ctrlPr>
                          <w:rPr>
                            <w:rFonts w:ascii="Cambria Math" w:hAnsi="Cambria Math"/>
                            <w:i/>
                          </w:rPr>
                        </m:ctrlPr>
                      </m:sSubPr>
                      <m:e>
                        <m:r>
                          <w:rPr>
                            <w:rFonts w:ascii="Cambria Math" w:hAnsi="Cambria Math"/>
                          </w:rPr>
                          <m:t>k</m:t>
                        </m:r>
                      </m:e>
                      <m:sub>
                        <m:r>
                          <w:rPr>
                            <w:rFonts w:ascii="Cambria Math" w:hAnsi="Cambria Math"/>
                          </w:rPr>
                          <m:t>1→0,i</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1→0,i</m:t>
                                    </m:r>
                                  </m:sub>
                                </m:sSub>
                              </m:num>
                              <m:den>
                                <m:r>
                                  <w:rPr>
                                    <w:rFonts w:ascii="Cambria Math" w:hAnsi="Cambria Math"/>
                                  </w:rPr>
                                  <m:t>RT</m:t>
                                </m:r>
                              </m:den>
                            </m:f>
                          </m:e>
                        </m:d>
                      </m:e>
                    </m:func>
                  </m:num>
                  <m:den>
                    <m:d>
                      <m:dPr>
                        <m:begChr m:val="["/>
                        <m:endChr m:val="]"/>
                        <m:ctrlPr>
                          <w:rPr>
                            <w:rFonts w:ascii="Cambria Math" w:hAnsi="Cambria Math"/>
                            <w:i/>
                          </w:rPr>
                        </m:ctrlPr>
                      </m:dPr>
                      <m:e>
                        <m:r>
                          <m:rPr>
                            <m:nor/>
                          </m:rPr>
                          <w:rPr>
                            <w:rFonts w:ascii="Cambria Math" w:hAnsi="Cambria Math"/>
                          </w:rPr>
                          <m:t>ATP</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0,i</m:t>
                        </m:r>
                      </m:sub>
                    </m:sSub>
                  </m:num>
                  <m:den>
                    <m:d>
                      <m:dPr>
                        <m:begChr m:val="["/>
                        <m:endChr m:val="]"/>
                        <m:ctrlPr>
                          <w:rPr>
                            <w:rFonts w:ascii="Cambria Math" w:hAnsi="Cambria Math"/>
                            <w:i/>
                          </w:rPr>
                        </m:ctrlPr>
                      </m:dPr>
                      <m:e>
                        <m:r>
                          <m:rPr>
                            <m:nor/>
                          </m:rPr>
                          <w:rPr>
                            <w:rFonts w:ascii="Cambria Math" w:hAnsi="Cambria Math"/>
                          </w:rPr>
                          <m:t>ATP</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1,i</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oMath>
            </m:oMathPara>
          </w:p>
        </w:tc>
        <w:tc>
          <w:tcPr>
            <w:tcW w:w="350" w:type="pct"/>
          </w:tcPr>
          <w:p w14:paraId="51A50ABA" w14:textId="77777777" w:rsidR="002C5CDE" w:rsidRDefault="002C5CDE" w:rsidP="005C4DB5">
            <w:pPr>
              <w:jc w:val="right"/>
            </w:pPr>
            <w:r>
              <w:t>(</w:t>
            </w:r>
            <w:r w:rsidR="00887554">
              <w:fldChar w:fldCharType="begin"/>
            </w:r>
            <w:r w:rsidR="00887554">
              <w:instrText xml:space="preserve"> SEQ Equation \* ARABIC </w:instrText>
            </w:r>
            <w:r w:rsidR="00887554">
              <w:fldChar w:fldCharType="separate"/>
            </w:r>
            <w:r w:rsidR="008609CA">
              <w:rPr>
                <w:noProof/>
              </w:rPr>
              <w:t>7</w:t>
            </w:r>
            <w:r w:rsidR="00887554">
              <w:rPr>
                <w:noProof/>
              </w:rPr>
              <w:fldChar w:fldCharType="end"/>
            </w:r>
            <w:r>
              <w:t>)</w:t>
            </w:r>
          </w:p>
        </w:tc>
      </w:tr>
    </w:tbl>
    <w:p w14:paraId="2F6F46C5" w14:textId="435FDCC5" w:rsidR="002C5CDE" w:rsidRPr="001735AE" w:rsidRDefault="002C5CDE" w:rsidP="00021FF4">
      <w:bookmarkStart w:id="2" w:name="_GoBack"/>
      <w:bookmarkEnd w:id="2"/>
    </w:p>
    <w:p w14:paraId="3AB7E23C" w14:textId="77777777" w:rsidR="0086195A" w:rsidRDefault="0086195A" w:rsidP="00021FF4"/>
    <w:p w14:paraId="03169060" w14:textId="77777777" w:rsidR="0086195A" w:rsidRDefault="0086195A" w:rsidP="00021FF4"/>
    <w:p w14:paraId="304915D6" w14:textId="77777777" w:rsidR="00021FF4" w:rsidRDefault="00021FF4" w:rsidP="00021FF4">
      <w:r>
        <w:t xml:space="preserve">The bound to unbound transition rates are increased by a catalytic rate, </w:t>
      </w:r>
    </w:p>
    <w:p w14:paraId="110F5698" w14:textId="76451530" w:rsidR="00257B51" w:rsidRDefault="00021FF4" w:rsidP="00021FF4">
      <w:r>
        <w:t xml:space="preserve">which is determined from the literature to be the amount of time spent in </w:t>
      </w:r>
      <w:r w:rsidR="00F6762E">
        <w:t xml:space="preserve">the bound and unbound states </w:t>
      </w:r>
      <w:r w:rsidR="00537DB5">
        <w:fldChar w:fldCharType="begin"/>
      </w:r>
      <w:r w:rsidR="00031B8B">
        <w:instrText xml:space="preserve"> ADDIN PAPERS2_CITATIONS &lt;citation&gt;&lt;uuid&gt;A341071A-CE2D-46AD-8FBD-D60ECC0EDF12&lt;/uuid&gt;&lt;priority&gt;0&lt;/priority&gt;&lt;publications&gt;&lt;publication&gt;&lt;uuid&gt;5F90A360-17AB-4127-ACC5-A16B8B2896A3&lt;/uuid&gt;&lt;volume&gt;101&lt;/volume&gt;&lt;doi&gt;10.1021/cr000230w&lt;/doi&gt;&lt;startpage&gt;2271&lt;/startpage&gt;&lt;publication_date&gt;99200100001200000000200000&lt;/publication_date&gt;&lt;url&gt;http://pubs.acs.org/doi/abs/10.1021/cr000230w&lt;/url&gt;&lt;citekey&gt;Adams:2001fm&lt;/citekey&gt;&lt;type&gt;400&lt;/type&gt;&lt;title&gt;Kinetic and catalytic mechanisms of protein kinases&lt;/title&gt;&lt;number&gt;8&lt;/number&gt;&lt;subtype&gt;400&lt;/subtype&gt;&lt;endpage&gt;2290&lt;/endpage&gt;&lt;bundle&gt;&lt;publication&gt;&lt;title&gt;Chemical reviews&lt;/title&gt;&lt;type&gt;-100&lt;/type&gt;&lt;subtype&gt;-100&lt;/subtype&gt;&lt;uuid&gt;2A32D65B-7D59-4815-9777-9A1E659BDA49&lt;/uuid&gt;&lt;/publication&gt;&lt;/bundle&gt;&lt;authors&gt;&lt;author&gt;&lt;firstName&gt;Joseph&lt;/firstName&gt;&lt;middleNames&gt;A&lt;/middleNames&gt;&lt;lastName&gt;Adams&lt;/lastName&gt;&lt;/author&gt;&lt;/authors&gt;&lt;/publication&gt;&lt;/publications&gt;&lt;cites&gt;&lt;/cites&gt;&lt;/citation&gt;</w:instrText>
      </w:r>
      <w:r w:rsidR="00537DB5">
        <w:fldChar w:fldCharType="separate"/>
      </w:r>
      <w:r w:rsidR="00537DB5">
        <w:rPr>
          <w:rFonts w:ascii="Arial" w:hAnsi="Arial" w:cs="Arial"/>
          <w:szCs w:val="22"/>
        </w:rPr>
        <w:t>(Adams, 2001)</w:t>
      </w:r>
      <w:r w:rsidR="00537DB5">
        <w:fldChar w:fldCharType="end"/>
      </w:r>
      <w:r w:rsidR="00537DB5">
        <w:t>.</w:t>
      </w:r>
    </w:p>
    <w:p w14:paraId="2C65C82E" w14:textId="139EE2A0" w:rsidR="00200025" w:rsidRDefault="00200025" w:rsidP="00200025">
      <w:pPr>
        <w:pStyle w:val="Heading2"/>
      </w:pPr>
      <w:r>
        <w:t>Model parameters and estimates</w:t>
      </w:r>
    </w:p>
    <w:p w14:paraId="57BD48CE" w14:textId="36D76308" w:rsidR="00200025" w:rsidRPr="00200025" w:rsidRDefault="00CB1018" w:rsidP="00200025">
      <w:r>
        <w:t>There are five free parameters in our model. Three of these can be determined directly from experimental data on PKA and the other two can be determined from computational studies.</w:t>
      </w:r>
    </w:p>
    <w:p w14:paraId="2D530C26" w14:textId="77777777" w:rsidR="00F6762E" w:rsidRDefault="00F6762E" w:rsidP="00021FF4"/>
    <w:p w14:paraId="6605D7C2" w14:textId="77777777" w:rsidR="00021FF4" w:rsidRDefault="00021FF4" w:rsidP="00021FF4">
      <w:r>
        <w:t xml:space="preserve">We build a Markov transition matrix with these rate constants and solve for </w:t>
      </w:r>
    </w:p>
    <w:p w14:paraId="09331209" w14:textId="77777777" w:rsidR="00021FF4" w:rsidRDefault="00021FF4" w:rsidP="00021FF4">
      <w:r>
        <w:t xml:space="preserve">the eigenvalues and eigenvectors. </w:t>
      </w:r>
    </w:p>
    <w:p w14:paraId="07478D9C" w14:textId="77777777" w:rsidR="00021FF4" w:rsidRDefault="00021FF4" w:rsidP="00021FF4">
      <w:r>
        <w:t xml:space="preserve">The prefactor for intrasurface transitions was determined from a simulation </w:t>
      </w:r>
    </w:p>
    <w:p w14:paraId="5F103ED6" w14:textId="77777777" w:rsidR="00021FF4" w:rsidRDefault="00021FF4" w:rsidP="00021FF4">
      <w:r>
        <w:t>of butane in the absence of any rotational energy barriers.</w:t>
      </w:r>
    </w:p>
    <w:p w14:paraId="0D47752E" w14:textId="77777777" w:rsidR="00021FF4" w:rsidRDefault="00021FF4" w:rsidP="00021FF4">
      <w:r>
        <w:t xml:space="preserve">The prefactor for intersurface transitions was determined from the [Adams, </w:t>
      </w:r>
    </w:p>
    <w:p w14:paraId="09672C99" w14:textId="77777777" w:rsidR="00021FF4" w:rsidRDefault="00021FF4" w:rsidP="00021FF4">
      <w:r>
        <w:t>Biochemistry].</w:t>
      </w:r>
    </w:p>
    <w:p w14:paraId="2082D225" w14:textId="77777777" w:rsidR="00537DB5" w:rsidRDefault="00537DB5"/>
    <w:p w14:paraId="204606F8" w14:textId="39861A68" w:rsidR="00CB1018" w:rsidRDefault="00CB1018" w:rsidP="00CB1018">
      <w:pPr>
        <w:pStyle w:val="Heading1"/>
      </w:pPr>
      <w:r>
        <w:t>Results</w:t>
      </w:r>
    </w:p>
    <w:p w14:paraId="6E9C6588" w14:textId="28DB191F" w:rsidR="002231DF" w:rsidRDefault="002231DF" w:rsidP="002231DF">
      <w:pPr>
        <w:pStyle w:val="ListParagraph"/>
        <w:numPr>
          <w:ilvl w:val="0"/>
          <w:numId w:val="4"/>
        </w:numPr>
      </w:pPr>
      <w:r>
        <w:t>There is no net flux without asymmetry in the populations.</w:t>
      </w:r>
    </w:p>
    <w:p w14:paraId="61F90253" w14:textId="0C634EE5" w:rsidR="002231DF" w:rsidRDefault="002231DF" w:rsidP="002231DF">
      <w:pPr>
        <w:pStyle w:val="ListParagraph"/>
        <w:numPr>
          <w:ilvl w:val="0"/>
          <w:numId w:val="4"/>
        </w:numPr>
      </w:pPr>
      <w:r>
        <w:lastRenderedPageBreak/>
        <w:t>Net flux depends upon the catalytic rate, the offset between surfaces, and the ATP concentration.</w:t>
      </w:r>
    </w:p>
    <w:p w14:paraId="34ED3DA9" w14:textId="6A493DB8" w:rsidR="002231DF" w:rsidRDefault="002231DF" w:rsidP="002231DF">
      <w:pPr>
        <w:pStyle w:val="ListParagraph"/>
        <w:numPr>
          <w:ilvl w:val="0"/>
          <w:numId w:val="4"/>
        </w:numPr>
      </w:pPr>
      <w:r>
        <w:t>The individual amino acids act as microscopic molecular motors.</w:t>
      </w:r>
    </w:p>
    <w:p w14:paraId="16D1A4F9" w14:textId="024689B5" w:rsidR="002231DF" w:rsidRDefault="002231DF" w:rsidP="002231DF">
      <w:pPr>
        <w:pStyle w:val="ListParagraph"/>
        <w:numPr>
          <w:ilvl w:val="0"/>
          <w:numId w:val="4"/>
        </w:numPr>
      </w:pPr>
      <w:r>
        <w:t>The stall force is very small for these microscopic motors.</w:t>
      </w:r>
    </w:p>
    <w:p w14:paraId="00196B95" w14:textId="2DE8614E" w:rsidR="002353D3" w:rsidRDefault="002231DF" w:rsidP="002353D3">
      <w:pPr>
        <w:pStyle w:val="ListParagraph"/>
        <w:numPr>
          <w:ilvl w:val="0"/>
          <w:numId w:val="4"/>
        </w:numPr>
      </w:pPr>
      <w:r>
        <w:t>What is the efficiency of the motors?</w:t>
      </w:r>
      <w:r w:rsidR="00620DF7">
        <w:t xml:space="preserve"> Is the duty ratio given by the time spent undergoing directional motion relative to the time spent sloshing or simply going back and forth?</w:t>
      </w:r>
    </w:p>
    <w:p w14:paraId="07F90E77" w14:textId="181C9A0F" w:rsidR="00485978" w:rsidRPr="002231DF" w:rsidRDefault="00485978" w:rsidP="002353D3">
      <w:pPr>
        <w:pStyle w:val="ListParagraph"/>
        <w:numPr>
          <w:ilvl w:val="0"/>
          <w:numId w:val="4"/>
        </w:numPr>
      </w:pPr>
      <w:r>
        <w:t>Any system that exists in two states – and can be driven between them – is capable of exhibiting this behavior.</w:t>
      </w:r>
      <w:r w:rsidR="00986565">
        <w:t xml:space="preserve"> Motors are a (necessary) consequence of being out of equilibrium.</w:t>
      </w:r>
    </w:p>
    <w:p w14:paraId="7420BEDD" w14:textId="77777777" w:rsidR="00537DB5" w:rsidRDefault="00537DB5"/>
    <w:p w14:paraId="25292850" w14:textId="77777777" w:rsidR="00B05F35" w:rsidRDefault="00537DB5">
      <w:pPr>
        <w:sectPr w:rsidR="00B05F35" w:rsidSect="000216FE">
          <w:pgSz w:w="12240" w:h="15840"/>
          <w:pgMar w:top="1440" w:right="1440" w:bottom="1440" w:left="1440" w:header="720" w:footer="720" w:gutter="0"/>
          <w:cols w:space="720"/>
          <w:docGrid w:linePitch="360"/>
        </w:sectPr>
      </w:pPr>
      <w:r>
        <w:fldChar w:fldCharType="begin"/>
      </w:r>
      <w:r>
        <w:instrText xml:space="preserve"> ADDIN PAPERS2_CITATIONS &lt;papers2_bibliography/&gt;</w:instrText>
      </w:r>
      <w:r>
        <w:fldChar w:fldCharType="separate"/>
      </w:r>
      <w:r>
        <w:rPr>
          <w:rFonts w:ascii="Arial" w:hAnsi="Arial" w:cs="Arial"/>
          <w:szCs w:val="22"/>
        </w:rPr>
        <w:t xml:space="preserve">Adams, J.A. (2001). Kinetic and catalytic mechanisms of protein kinases. Chemical Reviews </w:t>
      </w:r>
      <w:r>
        <w:rPr>
          <w:rFonts w:ascii="Arial" w:hAnsi="Arial" w:cs="Arial"/>
          <w:i/>
          <w:iCs/>
          <w:szCs w:val="22"/>
        </w:rPr>
        <w:t>101</w:t>
      </w:r>
      <w:r>
        <w:rPr>
          <w:rFonts w:ascii="Arial" w:hAnsi="Arial" w:cs="Arial"/>
          <w:szCs w:val="22"/>
        </w:rPr>
        <w:t>, 2271–2290.</w:t>
      </w:r>
      <w:r>
        <w:fldChar w:fldCharType="end"/>
      </w:r>
    </w:p>
    <w:p w14:paraId="5626969D" w14:textId="0982E31A" w:rsidR="005C4DB5" w:rsidRDefault="00B05F35" w:rsidP="00B05F35">
      <w:pPr>
        <w:pStyle w:val="Heading1"/>
      </w:pPr>
      <w:r>
        <w:lastRenderedPageBreak/>
        <w:t>Relationship of our model to the Smoluchowski equation</w:t>
      </w:r>
    </w:p>
    <w:p w14:paraId="021C6437" w14:textId="77777777" w:rsidR="005C4DB5" w:rsidRDefault="005C4DB5">
      <w:pPr>
        <w:spacing w:line="240" w:lineRule="auto"/>
      </w:pPr>
      <w:r>
        <w:br w:type="page"/>
      </w:r>
    </w:p>
    <w:p w14:paraId="1FEC49A5" w14:textId="4861E262" w:rsidR="00877247" w:rsidRDefault="005C4DB5" w:rsidP="005C4DB5">
      <w:pPr>
        <w:pStyle w:val="Heading1"/>
      </w:pPr>
      <w:r>
        <w:lastRenderedPageBreak/>
        <w:t>The relationship of our model to the Smulochowski equation</w:t>
      </w:r>
    </w:p>
    <w:p w14:paraId="163D4A8E" w14:textId="77777777" w:rsidR="005C4DB5" w:rsidRPr="005C4DB5" w:rsidRDefault="005C4DB5" w:rsidP="005C4DB5"/>
    <w:sectPr w:rsidR="005C4DB5" w:rsidRPr="005C4DB5" w:rsidSect="00021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4CE42" w14:textId="77777777" w:rsidR="00200D4B" w:rsidRDefault="00200D4B" w:rsidP="00F6762E">
      <w:pPr>
        <w:spacing w:line="240" w:lineRule="auto"/>
      </w:pPr>
      <w:r>
        <w:separator/>
      </w:r>
    </w:p>
  </w:endnote>
  <w:endnote w:type="continuationSeparator" w:id="0">
    <w:p w14:paraId="1E83473D" w14:textId="77777777" w:rsidR="00200D4B" w:rsidRDefault="00200D4B" w:rsidP="00F67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C8755" w14:textId="77777777" w:rsidR="00200D4B" w:rsidRDefault="00200D4B" w:rsidP="00F6762E">
      <w:pPr>
        <w:spacing w:line="240" w:lineRule="auto"/>
      </w:pPr>
      <w:r>
        <w:separator/>
      </w:r>
    </w:p>
  </w:footnote>
  <w:footnote w:type="continuationSeparator" w:id="0">
    <w:p w14:paraId="414C43EB" w14:textId="77777777" w:rsidR="00200D4B" w:rsidRDefault="00200D4B" w:rsidP="00F676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10AE"/>
    <w:multiLevelType w:val="hybridMultilevel"/>
    <w:tmpl w:val="140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012E3"/>
    <w:multiLevelType w:val="multilevel"/>
    <w:tmpl w:val="528EA7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B61B8E"/>
    <w:multiLevelType w:val="multilevel"/>
    <w:tmpl w:val="5FC0AE0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055C74"/>
    <w:multiLevelType w:val="multilevel"/>
    <w:tmpl w:val="957AF4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4"/>
    <w:rsid w:val="000216FE"/>
    <w:rsid w:val="00021FF4"/>
    <w:rsid w:val="00031B8B"/>
    <w:rsid w:val="001735AE"/>
    <w:rsid w:val="001A0360"/>
    <w:rsid w:val="001A3D83"/>
    <w:rsid w:val="001B16DF"/>
    <w:rsid w:val="00200025"/>
    <w:rsid w:val="00200D4B"/>
    <w:rsid w:val="002231DF"/>
    <w:rsid w:val="002353D3"/>
    <w:rsid w:val="00257B51"/>
    <w:rsid w:val="002616A8"/>
    <w:rsid w:val="002B3DFC"/>
    <w:rsid w:val="002C5CDE"/>
    <w:rsid w:val="00302277"/>
    <w:rsid w:val="003D3495"/>
    <w:rsid w:val="00464D84"/>
    <w:rsid w:val="00485978"/>
    <w:rsid w:val="004C7471"/>
    <w:rsid w:val="00524D59"/>
    <w:rsid w:val="00537DB5"/>
    <w:rsid w:val="005C4DB5"/>
    <w:rsid w:val="00620DF7"/>
    <w:rsid w:val="006E7484"/>
    <w:rsid w:val="00706B71"/>
    <w:rsid w:val="008609CA"/>
    <w:rsid w:val="0086195A"/>
    <w:rsid w:val="00887554"/>
    <w:rsid w:val="008D70DC"/>
    <w:rsid w:val="00946D51"/>
    <w:rsid w:val="00986565"/>
    <w:rsid w:val="009B69C2"/>
    <w:rsid w:val="00B05F35"/>
    <w:rsid w:val="00B117E8"/>
    <w:rsid w:val="00B56C62"/>
    <w:rsid w:val="00B84049"/>
    <w:rsid w:val="00C41606"/>
    <w:rsid w:val="00CB1018"/>
    <w:rsid w:val="00D96013"/>
    <w:rsid w:val="00DE6C4A"/>
    <w:rsid w:val="00E51F45"/>
    <w:rsid w:val="00EE0E77"/>
    <w:rsid w:val="00F15518"/>
    <w:rsid w:val="00F6762E"/>
    <w:rsid w:val="00F82346"/>
    <w:rsid w:val="00FD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E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762E"/>
    <w:pPr>
      <w:spacing w:line="312" w:lineRule="auto"/>
    </w:pPr>
    <w:rPr>
      <w:sz w:val="22"/>
    </w:rPr>
  </w:style>
  <w:style w:type="paragraph" w:styleId="Heading1">
    <w:name w:val="heading 1"/>
    <w:basedOn w:val="Normal"/>
    <w:next w:val="Normal"/>
    <w:link w:val="Heading1Char"/>
    <w:uiPriority w:val="9"/>
    <w:qFormat/>
    <w:rsid w:val="00F6762E"/>
    <w:pPr>
      <w:keepNext/>
      <w:keepLines/>
      <w:numPr>
        <w:numId w:val="3"/>
      </w:numPr>
      <w:spacing w:before="24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F6762E"/>
    <w:pPr>
      <w:keepNext/>
      <w:keepLines/>
      <w:numPr>
        <w:ilvl w:val="1"/>
        <w:numId w:val="3"/>
      </w:numPr>
      <w:spacing w:before="40"/>
      <w:ind w:left="432"/>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F6762E"/>
    <w:pPr>
      <w:keepNext/>
      <w:keepLines/>
      <w:numPr>
        <w:ilvl w:val="2"/>
        <w:numId w:val="3"/>
      </w:numPr>
      <w:spacing w:before="40"/>
      <w:ind w:left="504"/>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FF4"/>
    <w:rPr>
      <w:color w:val="808080"/>
    </w:rPr>
  </w:style>
  <w:style w:type="paragraph" w:styleId="Title">
    <w:name w:val="Title"/>
    <w:basedOn w:val="Normal"/>
    <w:next w:val="Normal"/>
    <w:link w:val="TitleChar"/>
    <w:uiPriority w:val="10"/>
    <w:qFormat/>
    <w:rsid w:val="00F6762E"/>
    <w:pPr>
      <w:contextualSpacing/>
    </w:pPr>
    <w:rPr>
      <w:rFonts w:ascii="Arial" w:eastAsiaTheme="majorEastAsia" w:hAnsi="Arial" w:cstheme="majorBidi"/>
      <w:b/>
      <w:kern w:val="28"/>
      <w:szCs w:val="56"/>
    </w:rPr>
  </w:style>
  <w:style w:type="character" w:customStyle="1" w:styleId="TitleChar">
    <w:name w:val="Title Char"/>
    <w:basedOn w:val="DefaultParagraphFont"/>
    <w:link w:val="Title"/>
    <w:uiPriority w:val="10"/>
    <w:rsid w:val="00F6762E"/>
    <w:rPr>
      <w:rFonts w:ascii="Arial" w:eastAsiaTheme="majorEastAsia" w:hAnsi="Arial" w:cstheme="majorBidi"/>
      <w:b/>
      <w:kern w:val="28"/>
      <w:sz w:val="22"/>
      <w:szCs w:val="56"/>
    </w:rPr>
  </w:style>
  <w:style w:type="character" w:customStyle="1" w:styleId="Heading1Char">
    <w:name w:val="Heading 1 Char"/>
    <w:basedOn w:val="DefaultParagraphFont"/>
    <w:link w:val="Heading1"/>
    <w:uiPriority w:val="9"/>
    <w:rsid w:val="00F6762E"/>
    <w:rPr>
      <w:rFonts w:ascii="Arial" w:eastAsiaTheme="majorEastAsia" w:hAnsi="Arial" w:cstheme="majorBidi"/>
      <w:b/>
      <w:color w:val="000000" w:themeColor="text1"/>
      <w:sz w:val="22"/>
      <w:szCs w:val="32"/>
    </w:rPr>
  </w:style>
  <w:style w:type="character" w:customStyle="1" w:styleId="Heading2Char">
    <w:name w:val="Heading 2 Char"/>
    <w:basedOn w:val="DefaultParagraphFont"/>
    <w:link w:val="Heading2"/>
    <w:uiPriority w:val="9"/>
    <w:rsid w:val="00F6762E"/>
    <w:rPr>
      <w:rFonts w:ascii="Arial" w:eastAsiaTheme="majorEastAsia" w:hAnsi="Arial" w:cstheme="majorBidi"/>
      <w:b/>
      <w:color w:val="000000" w:themeColor="text1"/>
      <w:sz w:val="22"/>
      <w:szCs w:val="26"/>
    </w:rPr>
  </w:style>
  <w:style w:type="paragraph" w:styleId="Header">
    <w:name w:val="header"/>
    <w:basedOn w:val="Normal"/>
    <w:link w:val="HeaderChar"/>
    <w:uiPriority w:val="99"/>
    <w:unhideWhenUsed/>
    <w:rsid w:val="00F6762E"/>
    <w:pPr>
      <w:tabs>
        <w:tab w:val="center" w:pos="4680"/>
        <w:tab w:val="right" w:pos="9360"/>
      </w:tabs>
      <w:spacing w:line="240" w:lineRule="auto"/>
    </w:pPr>
  </w:style>
  <w:style w:type="character" w:customStyle="1" w:styleId="HeaderChar">
    <w:name w:val="Header Char"/>
    <w:basedOn w:val="DefaultParagraphFont"/>
    <w:link w:val="Header"/>
    <w:uiPriority w:val="99"/>
    <w:rsid w:val="00F6762E"/>
    <w:rPr>
      <w:sz w:val="22"/>
    </w:rPr>
  </w:style>
  <w:style w:type="paragraph" w:styleId="Footer">
    <w:name w:val="footer"/>
    <w:basedOn w:val="Normal"/>
    <w:link w:val="FooterChar"/>
    <w:uiPriority w:val="99"/>
    <w:unhideWhenUsed/>
    <w:rsid w:val="00F6762E"/>
    <w:pPr>
      <w:tabs>
        <w:tab w:val="center" w:pos="4680"/>
        <w:tab w:val="right" w:pos="9360"/>
      </w:tabs>
      <w:spacing w:line="240" w:lineRule="auto"/>
    </w:pPr>
  </w:style>
  <w:style w:type="character" w:customStyle="1" w:styleId="FooterChar">
    <w:name w:val="Footer Char"/>
    <w:basedOn w:val="DefaultParagraphFont"/>
    <w:link w:val="Footer"/>
    <w:uiPriority w:val="99"/>
    <w:rsid w:val="00F6762E"/>
    <w:rPr>
      <w:sz w:val="22"/>
    </w:rPr>
  </w:style>
  <w:style w:type="character" w:customStyle="1" w:styleId="Heading3Char">
    <w:name w:val="Heading 3 Char"/>
    <w:basedOn w:val="DefaultParagraphFont"/>
    <w:link w:val="Heading3"/>
    <w:uiPriority w:val="9"/>
    <w:semiHidden/>
    <w:rsid w:val="00F6762E"/>
    <w:rPr>
      <w:rFonts w:ascii="Arial" w:eastAsiaTheme="majorEastAsia" w:hAnsi="Arial" w:cstheme="majorBidi"/>
      <w:b/>
      <w:color w:val="000000" w:themeColor="text1"/>
      <w:sz w:val="22"/>
    </w:rPr>
  </w:style>
  <w:style w:type="table" w:styleId="TableGrid">
    <w:name w:val="Table Grid"/>
    <w:basedOn w:val="TableNormal"/>
    <w:uiPriority w:val="39"/>
    <w:rsid w:val="005C4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DB5"/>
    <w:pPr>
      <w:ind w:left="720"/>
      <w:contextualSpacing/>
    </w:pPr>
  </w:style>
  <w:style w:type="paragraph" w:styleId="Caption">
    <w:name w:val="caption"/>
    <w:basedOn w:val="Normal"/>
    <w:next w:val="Normal"/>
    <w:uiPriority w:val="35"/>
    <w:unhideWhenUsed/>
    <w:qFormat/>
    <w:rsid w:val="005C4D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8DE2687CE9474FBBC900ACEBD8937F"/>
        <w:category>
          <w:name w:val="General"/>
          <w:gallery w:val="placeholder"/>
        </w:category>
        <w:types>
          <w:type w:val="bbPlcHdr"/>
        </w:types>
        <w:behaviors>
          <w:behavior w:val="content"/>
        </w:behaviors>
        <w:guid w:val="{C8E171AA-A1EA-464B-A956-242758DB0BB7}"/>
      </w:docPartPr>
      <w:docPartBody>
        <w:p w:rsidR="001E6EB6" w:rsidRDefault="00133574" w:rsidP="00133574">
          <w:pPr>
            <w:pStyle w:val="018DE2687CE9474FBBC900ACEBD8937F"/>
          </w:pPr>
          <w:r w:rsidRPr="00BC203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42"/>
    <w:rsid w:val="00133574"/>
    <w:rsid w:val="001E6EB6"/>
    <w:rsid w:val="00500A9B"/>
    <w:rsid w:val="005E59D0"/>
    <w:rsid w:val="00A3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574"/>
    <w:rPr>
      <w:color w:val="808080"/>
    </w:rPr>
  </w:style>
  <w:style w:type="paragraph" w:customStyle="1" w:styleId="C475DAD539C0684BA865CBB27794C7DE">
    <w:name w:val="C475DAD539C0684BA865CBB27794C7DE"/>
    <w:rsid w:val="00A33E42"/>
  </w:style>
  <w:style w:type="paragraph" w:customStyle="1" w:styleId="CA44038F0FF9F84C8A4B470F2619868C">
    <w:name w:val="CA44038F0FF9F84C8A4B470F2619868C"/>
    <w:rsid w:val="00A33E42"/>
  </w:style>
  <w:style w:type="paragraph" w:customStyle="1" w:styleId="B19600B7CF0CA340BC4EF31E033BC5F7">
    <w:name w:val="B19600B7CF0CA340BC4EF31E033BC5F7"/>
    <w:rsid w:val="00133574"/>
  </w:style>
  <w:style w:type="paragraph" w:customStyle="1" w:styleId="2CFF51F0223D6B4CA70FDD16B9CB91BE">
    <w:name w:val="2CFF51F0223D6B4CA70FDD16B9CB91BE"/>
    <w:rsid w:val="00133574"/>
  </w:style>
  <w:style w:type="paragraph" w:customStyle="1" w:styleId="01F10472D49DAD4F95578DEBBC738C72">
    <w:name w:val="01F10472D49DAD4F95578DEBBC738C72"/>
    <w:rsid w:val="00133574"/>
  </w:style>
  <w:style w:type="paragraph" w:customStyle="1" w:styleId="5CA77054865EC84BA038B40A7341FC90">
    <w:name w:val="5CA77054865EC84BA038B40A7341FC90"/>
    <w:rsid w:val="00133574"/>
  </w:style>
  <w:style w:type="paragraph" w:customStyle="1" w:styleId="8C4F16F8B8D5A54181C343B5E184C36B">
    <w:name w:val="8C4F16F8B8D5A54181C343B5E184C36B"/>
    <w:rsid w:val="00133574"/>
  </w:style>
  <w:style w:type="paragraph" w:customStyle="1" w:styleId="F73EFC9A5F1F5541A44C15C623EB2BDB">
    <w:name w:val="F73EFC9A5F1F5541A44C15C623EB2BDB"/>
    <w:rsid w:val="00133574"/>
  </w:style>
  <w:style w:type="paragraph" w:customStyle="1" w:styleId="CB0E79CD86031048AE40A337C765C158">
    <w:name w:val="CB0E79CD86031048AE40A337C765C158"/>
    <w:rsid w:val="00133574"/>
  </w:style>
  <w:style w:type="paragraph" w:customStyle="1" w:styleId="018DE2687CE9474FBBC900ACEBD8937F">
    <w:name w:val="018DE2687CE9474FBBC900ACEBD8937F"/>
    <w:rsid w:val="00133574"/>
  </w:style>
  <w:style w:type="paragraph" w:customStyle="1" w:styleId="CBDA5C82870EA34BA9A1B9A8F39FD07B">
    <w:name w:val="CBDA5C82870EA34BA9A1B9A8F39FD07B"/>
    <w:rsid w:val="00133574"/>
  </w:style>
  <w:style w:type="paragraph" w:customStyle="1" w:styleId="4A3743E55E096B45B2AFCC6E7E87EAAF">
    <w:name w:val="4A3743E55E096B45B2AFCC6E7E87EAAF"/>
    <w:rsid w:val="00133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Slochower, David</dc:creator>
  <cp:keywords/>
  <dc:description/>
  <cp:lastModifiedBy>David Slochower</cp:lastModifiedBy>
  <cp:revision>33</cp:revision>
  <cp:lastPrinted>2016-08-19T20:12:00Z</cp:lastPrinted>
  <dcterms:created xsi:type="dcterms:W3CDTF">2016-08-19T16:59:00Z</dcterms:created>
  <dcterms:modified xsi:type="dcterms:W3CDTF">2016-08-22T19:57:00Z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id="http://www.zotero.org/styles/cell"/&gt;&lt;hasBiblio/&gt;&lt;format class="21"/&gt;&lt;count citations="3" publications="3"/&gt;&lt;/info&gt;PAPERS2_INFO_END</vt:lpwstr>
  </property>
</Properties>
</file>