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FDC72" w14:textId="77777777" w:rsidR="002D7EDF" w:rsidRDefault="00425E94" w:rsidP="00425E94">
      <w:pPr>
        <w:pStyle w:val="Title"/>
      </w:pPr>
      <w:r>
        <w:t>Running to-do</w:t>
      </w:r>
    </w:p>
    <w:p w14:paraId="5E88C812" w14:textId="77777777" w:rsidR="00425E94" w:rsidRDefault="00425E94" w:rsidP="00425E94">
      <w:pPr>
        <w:pStyle w:val="Heading1"/>
      </w:pPr>
      <w:r>
        <w:t>August 22, 2016</w:t>
      </w:r>
    </w:p>
    <w:p w14:paraId="40703F65" w14:textId="77777777" w:rsidR="00425E94" w:rsidRDefault="00425E94" w:rsidP="00425E94">
      <w:pPr>
        <w:pStyle w:val="ListParagraph"/>
        <w:numPr>
          <w:ilvl w:val="0"/>
          <w:numId w:val="1"/>
        </w:numPr>
      </w:pPr>
      <w:r>
        <w:t xml:space="preserve">Rewrite </w:t>
      </w:r>
      <w:proofErr w:type="spellStart"/>
      <w:r>
        <w:t>C_intrasurface</w:t>
      </w:r>
      <w:proofErr w:type="spellEnd"/>
      <w:r>
        <w:t xml:space="preserve"> in terms of the diffusion coefficient, D. Namely </w:t>
      </w:r>
      <m:oMath>
        <m:r>
          <w:rPr>
            <w:rFonts w:ascii="Cambria Math" w:hAnsi="Cambria Math"/>
          </w:rPr>
          <m:t>C→</m:t>
        </m:r>
        <m:f>
          <m:fPr>
            <m:ctrlPr>
              <w:rPr>
                <w:rFonts w:ascii="Cambria Math" w:hAnsi="Cambria Math"/>
                <w:i/>
              </w:rPr>
            </m:ctrlPr>
          </m:fPr>
          <m:num>
            <m:r>
              <w:rPr>
                <w:rFonts w:ascii="Cambria Math" w:hAnsi="Cambria Math"/>
              </w:rPr>
              <m:t>D</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14:paraId="2D3CCBE7" w14:textId="77777777" w:rsidR="00425E94" w:rsidRDefault="00425E94" w:rsidP="00425E94">
      <w:pPr>
        <w:pStyle w:val="ListParagraph"/>
        <w:numPr>
          <w:ilvl w:val="0"/>
          <w:numId w:val="1"/>
        </w:numPr>
      </w:pPr>
      <w:r>
        <w:t>Look at the MSD of Gaussians (in the iterative method) and compare this to the MSD for the butane torsion. Make sure the MSD is independent of the number of bins.</w:t>
      </w:r>
      <w:r w:rsidR="00C52E04">
        <w:t xml:space="preserve"> Then we can say that we’re properly modeling the diffusion equation.</w:t>
      </w:r>
    </w:p>
    <w:p w14:paraId="106717F7" w14:textId="77777777" w:rsidR="00425E94" w:rsidRDefault="00425E94" w:rsidP="00425E94">
      <w:pPr>
        <w:pStyle w:val="ListParagraph"/>
        <w:numPr>
          <w:ilvl w:val="0"/>
          <w:numId w:val="1"/>
        </w:numPr>
      </w:pPr>
      <w:r>
        <w:t>Look at finding the spline (perhaps 20 points) that gives maximum flux or maximum stall force. Consider genetic algorithm.</w:t>
      </w:r>
    </w:p>
    <w:p w14:paraId="5E0F174D" w14:textId="77777777" w:rsidR="00425E94" w:rsidRDefault="00425E94" w:rsidP="00425E94">
      <w:pPr>
        <w:pStyle w:val="ListParagraph"/>
        <w:numPr>
          <w:ilvl w:val="0"/>
          <w:numId w:val="1"/>
        </w:numPr>
      </w:pPr>
      <w:r>
        <w:t>Look at the parameter scans in the PPT for different files to see if the maxima (or inflection points) are at different values.</w:t>
      </w:r>
    </w:p>
    <w:p w14:paraId="03FDC423" w14:textId="77777777" w:rsidR="00425E94" w:rsidRDefault="00425E94" w:rsidP="00425E94">
      <w:pPr>
        <w:pStyle w:val="ListParagraph"/>
        <w:numPr>
          <w:ilvl w:val="0"/>
          <w:numId w:val="1"/>
        </w:numPr>
      </w:pPr>
      <w:r>
        <w:t>Look at intersurface flux (sloshing).</w:t>
      </w:r>
    </w:p>
    <w:p w14:paraId="395A1A0E" w14:textId="77777777" w:rsidR="00425E94" w:rsidRPr="00425E94" w:rsidRDefault="00425E94" w:rsidP="00425E94">
      <w:pPr>
        <w:pStyle w:val="ListParagraph"/>
        <w:numPr>
          <w:ilvl w:val="0"/>
          <w:numId w:val="1"/>
        </w:numPr>
      </w:pPr>
      <w:r>
        <w:t xml:space="preserve">Calculate the M-M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m:rPr>
                    <m:nor/>
                  </m:rPr>
                  <w:rPr>
                    <w:rFonts w:ascii="Cambria Math" w:hAnsi="Cambria Math"/>
                  </w:rPr>
                  <m:t>cat</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w:r>
        <w:rPr>
          <w:rFonts w:eastAsiaTheme="minorEastAsia"/>
        </w:rPr>
        <w:t>. Specifically</w:t>
      </w:r>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nor/>
                                </m:rPr>
                                <w:rPr>
                                  <w:rFonts w:ascii="Cambria Math" w:hAnsi="Cambria Math"/>
                                </w:rPr>
                                <m:t>stuff</m:t>
                              </m:r>
                            </m:e>
                          </m:d>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func>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num>
            <m:den>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p</m:t>
                          </m:r>
                        </m:e>
                        <m:sub>
                          <m:r>
                            <w:rPr>
                              <w:rFonts w:ascii="Cambria Math" w:hAnsi="Cambria Math"/>
                            </w:rPr>
                            <m:t>i,</m:t>
                          </m:r>
                          <m:r>
                            <m:rPr>
                              <m:nor/>
                            </m:rPr>
                            <w:rPr>
                              <w:rFonts w:ascii="Cambria Math" w:hAnsi="Cambria Math"/>
                            </w:rPr>
                            <m:t>unbound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unbound</m:t>
                          </m:r>
                        </m:sub>
                      </m:sSub>
                    </m:e>
                  </m:nary>
                </m:den>
              </m:f>
            </m:den>
          </m:f>
          <m:r>
            <w:rPr>
              <w:rFonts w:ascii="Cambria Math" w:hAnsi="Cambria Math"/>
            </w:rPr>
            <m:t>.</m:t>
          </m:r>
        </m:oMath>
      </m:oMathPara>
    </w:p>
    <w:p w14:paraId="50A64C6C" w14:textId="77777777" w:rsidR="00425E94" w:rsidRPr="00425E94" w:rsidRDefault="00425E94" w:rsidP="00425E94">
      <w:pPr>
        <w:pStyle w:val="ListParagraph"/>
        <w:numPr>
          <w:ilvl w:val="0"/>
          <w:numId w:val="1"/>
        </w:numPr>
      </w:pPr>
      <w:r>
        <w:rPr>
          <w:rFonts w:eastAsiaTheme="minorEastAsia"/>
        </w:rPr>
        <w:t>Look for a bump (or deflection) around the stall force in the flux vs. applied load graph.</w:t>
      </w:r>
    </w:p>
    <w:p w14:paraId="16CEB410" w14:textId="77777777" w:rsidR="003E3723" w:rsidRPr="003E3723" w:rsidRDefault="00425E94" w:rsidP="003E3723">
      <w:pPr>
        <w:pStyle w:val="ListParagraph"/>
        <w:numPr>
          <w:ilvl w:val="0"/>
          <w:numId w:val="1"/>
        </w:numPr>
      </w:pPr>
      <w:r>
        <w:rPr>
          <w:rFonts w:eastAsiaTheme="minorEastAsia"/>
        </w:rPr>
        <w:t xml:space="preserve">Investigate the mechanism of myosin: how is the power stroke initiated? Is it the rotation of one or a few amino acid torsions? </w:t>
      </w:r>
    </w:p>
    <w:p w14:paraId="12DE81B6" w14:textId="77777777" w:rsidR="003E3723" w:rsidRPr="00605779" w:rsidRDefault="003E3723" w:rsidP="003E3723">
      <w:pPr>
        <w:pStyle w:val="ListParagraph"/>
        <w:numPr>
          <w:ilvl w:val="0"/>
          <w:numId w:val="1"/>
        </w:numPr>
      </w:pPr>
      <w:r>
        <w:rPr>
          <w:rFonts w:eastAsiaTheme="minorEastAsia"/>
        </w:rPr>
        <w:t>Look at simulating an extended and collapsed alpha helix to generate a minimal 2-state model for torsion histograms.</w:t>
      </w:r>
      <w:bookmarkStart w:id="0" w:name="_GoBack"/>
      <w:bookmarkEnd w:id="0"/>
    </w:p>
    <w:p w14:paraId="7D22E9EC" w14:textId="77777777" w:rsidR="00605779" w:rsidRPr="00334648" w:rsidRDefault="00605779" w:rsidP="003E3723">
      <w:pPr>
        <w:pStyle w:val="ListParagraph"/>
        <w:numPr>
          <w:ilvl w:val="0"/>
          <w:numId w:val="1"/>
        </w:numPr>
        <w:rPr>
          <w:color w:val="808080" w:themeColor="background1" w:themeShade="80"/>
        </w:rPr>
      </w:pPr>
      <w:r w:rsidRPr="00334648">
        <w:rPr>
          <w:rFonts w:eastAsiaTheme="minorEastAsia"/>
          <w:color w:val="808080" w:themeColor="background1" w:themeShade="80"/>
        </w:rPr>
        <w:t>Make a graph for ATP concentration of zero.</w:t>
      </w:r>
    </w:p>
    <w:p w14:paraId="3F74F586" w14:textId="77777777" w:rsidR="00AB2C14" w:rsidRPr="00334648" w:rsidRDefault="00AB2C14" w:rsidP="003E3723">
      <w:pPr>
        <w:pStyle w:val="ListParagraph"/>
        <w:numPr>
          <w:ilvl w:val="0"/>
          <w:numId w:val="1"/>
        </w:numPr>
        <w:rPr>
          <w:color w:val="808080" w:themeColor="background1" w:themeShade="80"/>
        </w:rPr>
      </w:pPr>
      <w:r w:rsidRPr="00334648">
        <w:rPr>
          <w:color w:val="808080" w:themeColor="background1" w:themeShade="80"/>
        </w:rPr>
        <w:t>Calculate JSD between original PDF and reversed and symmetrized PDF.</w:t>
      </w:r>
    </w:p>
    <w:p w14:paraId="04FBFA03" w14:textId="753621D7" w:rsidR="00AB2C14" w:rsidRDefault="00AB2C14" w:rsidP="003E3723">
      <w:pPr>
        <w:pStyle w:val="ListParagraph"/>
        <w:numPr>
          <w:ilvl w:val="0"/>
          <w:numId w:val="1"/>
        </w:numPr>
        <w:rPr>
          <w:color w:val="808080" w:themeColor="background1" w:themeShade="80"/>
        </w:rPr>
      </w:pPr>
      <w:r w:rsidRPr="00334648">
        <w:rPr>
          <w:color w:val="808080" w:themeColor="background1" w:themeShade="80"/>
        </w:rPr>
        <w:t>Can two achiral functions (PDFs) be chiral together and make flux?</w:t>
      </w:r>
    </w:p>
    <w:p w14:paraId="38BD2E0A" w14:textId="44A3BCCA" w:rsidR="00312E82" w:rsidRPr="00312E82" w:rsidRDefault="00312E82" w:rsidP="003E3723">
      <w:pPr>
        <w:pStyle w:val="ListParagraph"/>
        <w:numPr>
          <w:ilvl w:val="0"/>
          <w:numId w:val="1"/>
        </w:numPr>
      </w:pPr>
      <w:r w:rsidRPr="00312E82">
        <w:t xml:space="preserve">Re-create or reinstitute the unit tests and/or code coverage for </w:t>
      </w:r>
      <w:proofErr w:type="spellStart"/>
      <w:r w:rsidRPr="00312E82">
        <w:t>github</w:t>
      </w:r>
      <w:proofErr w:type="spellEnd"/>
      <w:r w:rsidRPr="00312E82">
        <w:t>.</w:t>
      </w:r>
    </w:p>
    <w:p w14:paraId="51B300E2" w14:textId="77777777" w:rsidR="003E3723" w:rsidRDefault="003E3723" w:rsidP="003E3723">
      <w:pPr>
        <w:pStyle w:val="Heading1"/>
      </w:pPr>
      <w:r>
        <w:t>Uncategorized notes on the primary paper</w:t>
      </w:r>
    </w:p>
    <w:p w14:paraId="5B35B5FE" w14:textId="77777777" w:rsidR="003E3723" w:rsidRDefault="003E3723" w:rsidP="003E3723">
      <w:pPr>
        <w:pStyle w:val="ListParagraph"/>
        <w:numPr>
          <w:ilvl w:val="0"/>
          <w:numId w:val="2"/>
        </w:numPr>
      </w:pPr>
      <w:r>
        <w:t xml:space="preserve">Re-read Andrew’s PNAS entropy-enthalpy paper </w:t>
      </w:r>
      <w:r>
        <w:fldChar w:fldCharType="begin"/>
      </w:r>
      <w:r>
        <w:instrText xml:space="preserve"> ADDIN EN.CITE &lt;EndNote&gt;&lt;Cite&gt;&lt;Author&gt;Fenley&lt;/Author&gt;&lt;Year&gt;2012&lt;/Year&gt;&lt;RecNum&gt;19&lt;/RecNum&gt;&lt;DisplayText&gt;(Fenley, Muddana et al. 2012)&lt;/DisplayText&gt;&lt;record&gt;&lt;rec-number&gt;19&lt;/rec-number&gt;&lt;foreign-keys&gt;&lt;key app="EN" db-id="fe2s5f9ec9wtvlevz5pvr0xyvd2ft99wpaat" timestamp="1472162945"&gt;19&lt;/key&gt;&lt;/foreign-keys&gt;&lt;ref-type name="Journal Article"&gt;17&lt;/ref-type&gt;&lt;contributors&gt;&lt;authors&gt;&lt;author&gt;Fenley, A. T.&lt;/author&gt;&lt;author&gt;Muddana, H. S.&lt;/author&gt;&lt;author&gt;Gilson, M. K.&lt;/author&gt;&lt;/authors&gt;&lt;/contributors&gt;&lt;auth-address&gt;Skaggs School of Pharmacy and Pharmaceutical Sciences, University of California at San Diego, La Jolla, CA 92093-0736, USA.&lt;/auth-address&gt;&lt;titles&gt;&lt;title&gt;Entropy-enthalpy transduction caused by conformational shifts can obscure the forces driving protein-ligand binding&lt;/title&gt;&lt;secondary-title&gt;Proc Natl Acad Sci U S A&lt;/secondary-title&gt;&lt;/titles&gt;&lt;periodical&gt;&lt;full-title&gt;Proc Natl Acad Sci U S A&lt;/full-title&gt;&lt;abbr-1&gt;Proceedings of the National Academy of Sciences of the United States of America&lt;/abbr-1&gt;&lt;/periodical&gt;&lt;pages&gt;20006-11&lt;/pages&gt;&lt;volume&gt;109&lt;/volume&gt;&lt;number&gt;49&lt;/number&gt;&lt;keywords&gt;&lt;keyword&gt;Animals&lt;/keyword&gt;&lt;keyword&gt;Aprotinin/*chemistry/metabolism&lt;/keyword&gt;&lt;keyword&gt;Calorimetry/methods&lt;/keyword&gt;&lt;keyword&gt;Cattle&lt;/keyword&gt;&lt;keyword&gt;*Entropy&lt;/keyword&gt;&lt;keyword&gt;*Models, Molecular&lt;/keyword&gt;&lt;keyword&gt;Molecular Dynamics Simulation&lt;/keyword&gt;&lt;keyword&gt;Protein Binding&lt;/keyword&gt;&lt;keyword&gt;*Protein Conformation&lt;/keyword&gt;&lt;keyword&gt;Signal Transduction/*physiology&lt;/keyword&gt;&lt;keyword&gt;Thermodynamics&lt;/keyword&gt;&lt;/keywords&gt;&lt;dates&gt;&lt;year&gt;2012&lt;/year&gt;&lt;pub-dates&gt;&lt;date&gt;Dec 4&lt;/date&gt;&lt;/pub-dates&gt;&lt;/dates&gt;&lt;isbn&gt;1091-6490 (Electronic)&amp;#xD;0027-8424 (Linking)&lt;/isbn&gt;&lt;accession-num&gt;23150595&lt;/accession-num&gt;&lt;urls&gt;&lt;related-urls&gt;&lt;url&gt;http://www.ncbi.nlm.nih.gov/pubmed/23150595&lt;/url&gt;&lt;url&gt;https://www.ncbi.nlm.nih.gov/pmc/articles/PMC3523842/pdf/pnas.201213180.pdf&lt;/url&gt;&lt;/related-urls&gt;&lt;/urls&gt;&lt;custom2&gt;PMC3523842&lt;/custom2&gt;&lt;electronic-resource-num&gt;10.1073/pnas.1213180109&lt;/electronic-resource-num&gt;&lt;/record&gt;&lt;/Cite&gt;&lt;/EndNote&gt;</w:instrText>
      </w:r>
      <w:r>
        <w:fldChar w:fldCharType="separate"/>
      </w:r>
      <w:r>
        <w:rPr>
          <w:noProof/>
        </w:rPr>
        <w:t>(Fenley, Muddana et al. 2012)</w:t>
      </w:r>
      <w:r>
        <w:fldChar w:fldCharType="end"/>
      </w:r>
      <w:r w:rsidR="00605779">
        <w:t xml:space="preserve"> for ideas on how to appeal to a general audience.</w:t>
      </w:r>
    </w:p>
    <w:p w14:paraId="3693AD96" w14:textId="77777777" w:rsidR="003E3723" w:rsidRDefault="00605779" w:rsidP="003E3723">
      <w:pPr>
        <w:pStyle w:val="ListParagraph"/>
        <w:numPr>
          <w:ilvl w:val="0"/>
          <w:numId w:val="2"/>
        </w:numPr>
      </w:pPr>
      <w:r>
        <w:t>What is remarkable about molecular motors is that they exhibit directional motion: myosin, F1 ATPase, flagella, and so on. It’s not clear how that asymmetry emerge and we tend to associate that sort of motion with motors. That may not be the case.</w:t>
      </w:r>
    </w:p>
    <w:p w14:paraId="5A7724F0" w14:textId="77777777" w:rsidR="00605779" w:rsidRDefault="0032630A" w:rsidP="003E3723">
      <w:pPr>
        <w:pStyle w:val="ListParagraph"/>
        <w:numPr>
          <w:ilvl w:val="0"/>
          <w:numId w:val="2"/>
        </w:numPr>
      </w:pPr>
      <w:r>
        <w:t xml:space="preserve">It seems </w:t>
      </w:r>
      <w:proofErr w:type="spellStart"/>
      <w:r>
        <w:t>Astumian</w:t>
      </w:r>
      <w:proofErr w:type="spellEnd"/>
      <w:r>
        <w:t xml:space="preserve"> wrote a 2016 paper on chemical </w:t>
      </w:r>
      <w:r w:rsidR="00EF6A46">
        <w:t>and optical pumping of synthetic motors (reference by not full text are in EN).</w:t>
      </w:r>
    </w:p>
    <w:p w14:paraId="27D0F609" w14:textId="77777777" w:rsidR="003E3723" w:rsidRPr="003E3723" w:rsidRDefault="003E3723" w:rsidP="003E3723">
      <w:pPr>
        <w:pStyle w:val="EndNoteBibliographyTitle"/>
      </w:pPr>
      <w:r>
        <w:fldChar w:fldCharType="begin"/>
      </w:r>
      <w:r>
        <w:instrText xml:space="preserve"> ADDIN EN.REFLIST </w:instrText>
      </w:r>
      <w:r>
        <w:fldChar w:fldCharType="separate"/>
      </w:r>
      <w:r w:rsidRPr="003E3723">
        <w:t>References</w:t>
      </w:r>
    </w:p>
    <w:p w14:paraId="167B91DC" w14:textId="77777777" w:rsidR="003E3723" w:rsidRPr="003E3723" w:rsidRDefault="003E3723" w:rsidP="003E3723">
      <w:pPr>
        <w:pStyle w:val="EndNoteBibliographyTitle"/>
      </w:pPr>
    </w:p>
    <w:p w14:paraId="1D976F8E" w14:textId="77777777" w:rsidR="003E3723" w:rsidRPr="003E3723" w:rsidRDefault="003E3723" w:rsidP="003E3723">
      <w:pPr>
        <w:pStyle w:val="EndNoteBibliography"/>
      </w:pPr>
      <w:r w:rsidRPr="003E3723">
        <w:t xml:space="preserve">Fenley, A. T., et al. (2012). "Entropy-enthalpy transduction caused by conformational shifts can obscure the forces driving protein-ligand binding." </w:t>
      </w:r>
      <w:r w:rsidRPr="003E3723">
        <w:rPr>
          <w:u w:val="single"/>
        </w:rPr>
        <w:t>Proc Natl Acad Sci U S A</w:t>
      </w:r>
      <w:r w:rsidRPr="003E3723">
        <w:t xml:space="preserve"> </w:t>
      </w:r>
      <w:r w:rsidRPr="003E3723">
        <w:rPr>
          <w:b/>
        </w:rPr>
        <w:t>109</w:t>
      </w:r>
      <w:r w:rsidRPr="003E3723">
        <w:t>(49): 20006-20011.</w:t>
      </w:r>
    </w:p>
    <w:p w14:paraId="559F4AC4" w14:textId="77777777" w:rsidR="003E3723" w:rsidRPr="003E3723" w:rsidRDefault="003E3723" w:rsidP="003E3723">
      <w:pPr>
        <w:pStyle w:val="EndNoteBibliography"/>
        <w:ind w:left="720" w:hanging="720"/>
      </w:pPr>
      <w:r w:rsidRPr="003E3723">
        <w:lastRenderedPageBreak/>
        <w:tab/>
        <w:t>Molecular dynamics simulations of unprecedented duration now can provide new insights into biomolecular mechanisms. Analysis of a 1-ms molecular dynamics simulation of the small protein bovine pancreatic trypsin inhibitor reveals that its main conformations have different thermodynamic profiles and that perturbation of a single geometric variable, such as a torsion angle or interresidue distance, can select for occupancy of one or another conformational state. These results establish the basis for a mechanism that we term entropy-enthalpy transduction (EET), in which the thermodynamic character of a local perturbation, such as enthalpic binding of a small molecule, is camouflaged by the thermodynamics of a global conformational change induced by the perturbation, such as a switch into a high-entropy conformational state. It is noted that EET could occur in many systems, making measured entropies and enthalpies of folding and binding unreliable indicators of actual thermodynamic driving forces. The same mechanism might also account for the high experimental variance of measured enthalpies and entropies relative to free energies in some calorimetric studies. Finally, EET may be the physical mechanism underlying many cases of entropy-enthalpy compensation.</w:t>
      </w:r>
    </w:p>
    <w:p w14:paraId="5B04132C" w14:textId="77777777" w:rsidR="003E3723" w:rsidRPr="003E3723" w:rsidRDefault="003E3723" w:rsidP="003E3723">
      <w:pPr>
        <w:pStyle w:val="EndNoteBibliography"/>
      </w:pPr>
    </w:p>
    <w:p w14:paraId="4660743F" w14:textId="7689F6BD" w:rsidR="003E3723" w:rsidRPr="003E3723" w:rsidRDefault="003E3723" w:rsidP="00605779">
      <w:r>
        <w:fldChar w:fldCharType="end"/>
      </w:r>
    </w:p>
    <w:sectPr w:rsidR="003E3723" w:rsidRPr="003E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3CC"/>
    <w:multiLevelType w:val="hybridMultilevel"/>
    <w:tmpl w:val="CE1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439EE"/>
    <w:multiLevelType w:val="hybridMultilevel"/>
    <w:tmpl w:val="329E3392"/>
    <w:lvl w:ilvl="0" w:tplc="F7263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2s5f9ec9wtvlevz5pvr0xyvd2ft99wpaat&quot;&gt;Nonequilibrium EndNote Library&lt;record-ids&gt;&lt;item&gt;19&lt;/item&gt;&lt;/record-ids&gt;&lt;/item&gt;&lt;/Libraries&gt;"/>
  </w:docVars>
  <w:rsids>
    <w:rsidRoot w:val="00425E94"/>
    <w:rsid w:val="000A28C3"/>
    <w:rsid w:val="002756CA"/>
    <w:rsid w:val="002D7EDF"/>
    <w:rsid w:val="00312E82"/>
    <w:rsid w:val="0032630A"/>
    <w:rsid w:val="00334648"/>
    <w:rsid w:val="0038192C"/>
    <w:rsid w:val="003E3723"/>
    <w:rsid w:val="00425E94"/>
    <w:rsid w:val="00605779"/>
    <w:rsid w:val="00911D7E"/>
    <w:rsid w:val="009A4E30"/>
    <w:rsid w:val="00AB2C14"/>
    <w:rsid w:val="00B70C72"/>
    <w:rsid w:val="00C52E04"/>
    <w:rsid w:val="00DD17D7"/>
    <w:rsid w:val="00E32DC6"/>
    <w:rsid w:val="00E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A02"/>
  <w15:chartTrackingRefBased/>
  <w15:docId w15:val="{6A172372-82D4-4FA2-AB85-761B537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E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25E94"/>
    <w:pPr>
      <w:ind w:left="720"/>
      <w:contextualSpacing/>
    </w:pPr>
  </w:style>
  <w:style w:type="character" w:styleId="PlaceholderText">
    <w:name w:val="Placeholder Text"/>
    <w:basedOn w:val="DefaultParagraphFont"/>
    <w:uiPriority w:val="99"/>
    <w:semiHidden/>
    <w:rsid w:val="00425E94"/>
    <w:rPr>
      <w:color w:val="808080"/>
    </w:rPr>
  </w:style>
  <w:style w:type="paragraph" w:customStyle="1" w:styleId="EndNoteBibliographyTitle">
    <w:name w:val="EndNote Bibliography Title"/>
    <w:basedOn w:val="Normal"/>
    <w:link w:val="EndNoteBibliographyTitleChar"/>
    <w:rsid w:val="003E372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E3723"/>
  </w:style>
  <w:style w:type="character" w:customStyle="1" w:styleId="EndNoteBibliographyTitleChar">
    <w:name w:val="EndNote Bibliography Title Char"/>
    <w:basedOn w:val="ListParagraphChar"/>
    <w:link w:val="EndNoteBibliographyTitle"/>
    <w:rsid w:val="003E3723"/>
    <w:rPr>
      <w:rFonts w:ascii="Calibri" w:hAnsi="Calibri"/>
      <w:noProof/>
    </w:rPr>
  </w:style>
  <w:style w:type="paragraph" w:customStyle="1" w:styleId="EndNoteBibliography">
    <w:name w:val="EndNote Bibliography"/>
    <w:basedOn w:val="Normal"/>
    <w:link w:val="EndNoteBibliographyChar"/>
    <w:rsid w:val="003E372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E372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5791</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David Slochower</cp:lastModifiedBy>
  <cp:revision>12</cp:revision>
  <dcterms:created xsi:type="dcterms:W3CDTF">2016-08-23T01:30:00Z</dcterms:created>
  <dcterms:modified xsi:type="dcterms:W3CDTF">2016-09-23T23:42:00Z</dcterms:modified>
</cp:coreProperties>
</file>