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20FB3" w14:textId="77777777" w:rsidR="0007412B" w:rsidRDefault="0007412B" w:rsidP="0007412B">
      <w:pPr>
        <w:pStyle w:val="Heading2"/>
      </w:pPr>
      <w:r>
        <w:t>Force field comparison and analysis</w:t>
      </w:r>
    </w:p>
    <w:p w14:paraId="31A12B8E" w14:textId="77777777" w:rsidR="0007412B" w:rsidRPr="007E00F0" w:rsidRDefault="0007412B" w:rsidP="0007412B">
      <w:pPr>
        <w:pStyle w:val="Heading3"/>
        <w:rPr>
          <w:vanish/>
          <w:specVanish/>
        </w:rPr>
      </w:pPr>
      <w:r>
        <w:t>Overall agreement with experiment.</w:t>
      </w:r>
    </w:p>
    <w:p w14:paraId="0F10C539" w14:textId="77777777" w:rsidR="0007412B" w:rsidRDefault="0007412B" w:rsidP="0007412B">
      <w:r>
        <w:t xml:space="preserve"> Overall, the force field combinations we tested (</w:t>
      </w:r>
      <w:r>
        <w:fldChar w:fldCharType="begin"/>
      </w:r>
      <w:r>
        <w:instrText xml:space="preserve"> REF _Ref470237622 \h </w:instrText>
      </w:r>
      <w:r>
        <w:fldChar w:fldCharType="separate"/>
      </w:r>
      <w:r w:rsidRPr="002F1740">
        <w:rPr>
          <w:rFonts w:ascii="Calibri" w:hAnsi="Calibri"/>
          <w:szCs w:val="20"/>
        </w:rPr>
        <w:t xml:space="preserve">Table </w:t>
      </w:r>
      <w:r>
        <w:rPr>
          <w:rFonts w:ascii="Calibri" w:hAnsi="Calibri"/>
          <w:noProof/>
          <w:szCs w:val="20"/>
        </w:rPr>
        <w:t>2</w:t>
      </w:r>
      <w:r>
        <w:fldChar w:fldCharType="end"/>
      </w:r>
      <w:r>
        <w:t>) produced moderate agreement with the experimental reference data from ITC studies</w:t>
      </w:r>
      <w:r>
        <w:fldChar w:fldCharType="begin"/>
      </w:r>
      <w:r>
        <w:instrText xml:space="preserve"> ADDIN ZOTERO_ITEM CSL_CITATION {"citationID":"1rc3p6h5fb","properties":{"formattedCitation":"{\\rtf \\super 37\\nosupersub{}}","plainCitation":"37"},"citationItems":[{"id":131,"uris":["http://zotero.org/users/2130610/items/K65T6KRE"],"uri":["http://zotero.org/users/2130610/items/K65T6KRE"],"itemData":{"id":131,"type":"article-journal","title":"Thermodynamic and Nuclear Magnetic Resonance Study of the Reactions of α- and β-Cyclodextrin with Acids, Aliphatic Amines, and Cyclic Alcohols","container-title":"The Journal of Physical Chemistry B","page":"87-100","volume":"101","issue":"1","source":"ACS Publications","abstract":"Titration calorimetry was used to determine equilibrium constants and standard molar enthalpy, Gibbs energy, and entropy changes for the reactions of a series of acids, amines, and cyclic alcohols with α- and ?-cyclodextrin. The results have been examined in terms of structural features in the ligands such as the number of alkyl groups, the charge number, the presence of a double bond, branching, and the presence of methyl and methoxy groups. The values of thermodynamic quantities, in particular the standard molar Gibbs energy, correlate well with the structural features in the ligands. These structural correlations can be used for the estimation of thermodynamic quantities for related reactions. Enthalpy?entropy compensation is evident when the individual classes of substances studied herein are considered, but does not hold when these various classes of ligands are considered collectively. The NMR results indicate that the mode of accommodation of the acids and amines in the α-cyclodextrin cavity is very similar, but that the 1-methyl groups in 1-methylhexylamine and in 1-methylheptylamine and the N-methyl group in N-methylhexylamine lie outside the α-cyclodextrin cavity. This latter finding is consistent with the calorimetric results. Many of the thermodynamic and NMR results can be qualitatively understood in terms of van der Waals forces and hydrophobic effects.","DOI":"10.1021/jp962715n","ISSN":"1520-6106","journalAbbreviation":"J. Phys. Chem. B","language":"ignore","author":[{"family":"Rekharsky","given":"Mikhail V."},{"family":"Mayhew","given":"Martin P."},{"family":"Goldberg","given":"Robert N."},{"family":"Ross","given":"Philip D."},{"family":"Yamashoji","given":"Yuko"},{"family":"Inoue","given":"Yoshihisa"}],"issued":{"date-parts":[["1997",1,1]]},"accessed":{"date-parts":[["2015",4,17]]}}}],"schema":"https://github.com/citation-style-language/schema/raw/master/csl-citation.json"} </w:instrText>
      </w:r>
      <w:r>
        <w:fldChar w:fldCharType="separate"/>
      </w:r>
      <w:r w:rsidRPr="00730EC5">
        <w:rPr>
          <w:rFonts w:ascii="Calibri" w:hAnsi="Calibri" w:cs="Calibri"/>
          <w:szCs w:val="24"/>
          <w:vertAlign w:val="superscript"/>
        </w:rPr>
        <w:t>37</w:t>
      </w:r>
      <w:r>
        <w:fldChar w:fldCharType="end"/>
      </w:r>
      <w:r>
        <w:t xml:space="preserve">; see </w:t>
      </w:r>
      <w:r>
        <w:fldChar w:fldCharType="begin"/>
      </w:r>
      <w:r>
        <w:instrText xml:space="preserve"> REF _Ref460184867 \h </w:instrText>
      </w:r>
      <w:r>
        <w:fldChar w:fldCharType="separate"/>
      </w:r>
      <w:r w:rsidRPr="002F1740">
        <w:rPr>
          <w:rFonts w:ascii="Calibri" w:hAnsi="Calibri"/>
          <w:szCs w:val="20"/>
        </w:rPr>
        <w:t xml:space="preserve">Table </w:t>
      </w:r>
      <w:r>
        <w:rPr>
          <w:rFonts w:ascii="Calibri" w:hAnsi="Calibri"/>
          <w:noProof/>
          <w:szCs w:val="20"/>
        </w:rPr>
        <w:t>3</w:t>
      </w:r>
      <w:r>
        <w:fldChar w:fldCharType="end"/>
      </w:r>
      <w:r>
        <w:t xml:space="preserve">, </w:t>
      </w:r>
      <w:r>
        <w:fldChar w:fldCharType="begin"/>
      </w:r>
      <w:r>
        <w:instrText xml:space="preserve"> REF _Ref460185059 \h </w:instrText>
      </w:r>
      <w:r>
        <w:fldChar w:fldCharType="separate"/>
      </w:r>
      <w:r w:rsidRPr="002F1740">
        <w:rPr>
          <w:rFonts w:ascii="Calibri" w:hAnsi="Calibri"/>
          <w:szCs w:val="20"/>
        </w:rPr>
        <w:t xml:space="preserve">Table </w:t>
      </w:r>
      <w:r>
        <w:rPr>
          <w:rFonts w:ascii="Calibri" w:hAnsi="Calibri"/>
          <w:noProof/>
          <w:szCs w:val="20"/>
        </w:rPr>
        <w:t>4</w:t>
      </w:r>
      <w:r>
        <w:fldChar w:fldCharType="end"/>
      </w:r>
      <w:r>
        <w:t xml:space="preserve">, </w:t>
      </w:r>
      <w:r>
        <w:fldChar w:fldCharType="begin"/>
      </w:r>
      <w:r>
        <w:instrText xml:space="preserve"> REF _Ref460187076 \h </w:instrText>
      </w:r>
      <w:r>
        <w:fldChar w:fldCharType="separate"/>
      </w:r>
      <w:r>
        <w:t xml:space="preserve">Figure </w:t>
      </w:r>
      <w:r>
        <w:rPr>
          <w:noProof/>
        </w:rPr>
        <w:t>3</w:t>
      </w:r>
      <w:r>
        <w:fldChar w:fldCharType="end"/>
      </w:r>
      <w:r>
        <w:t xml:space="preserve">, and </w:t>
      </w:r>
      <w:r>
        <w:fldChar w:fldCharType="begin"/>
      </w:r>
      <w:r>
        <w:instrText xml:space="preserve"> REF _Ref469657606 \h </w:instrText>
      </w:r>
      <w:r>
        <w:fldChar w:fldCharType="separate"/>
      </w:r>
      <w:r>
        <w:t xml:space="preserve">Figure </w:t>
      </w:r>
      <w:r>
        <w:rPr>
          <w:noProof/>
        </w:rPr>
        <w:t>4</w:t>
      </w:r>
      <w:r>
        <w:fldChar w:fldCharType="end"/>
      </w:r>
      <w:r>
        <w:t>. Thus, the binding free energy and enthalpy predictions had an RMSE range of 0.9 - 1.8 kcal/mol and 0.9 - 4.0 kcal/mol, respectively. No single force field combination emerged as superior to the others at predicting both binding free energy and enthalpy.  The Q4RG-TIP3P force field, which we expect would be the initial, "default" choice for an AMBER user, shows poor correlation (R</w:t>
      </w:r>
      <w:r>
        <w:rPr>
          <w:vertAlign w:val="superscript"/>
        </w:rPr>
        <w:t>2</w:t>
      </w:r>
      <w:r>
        <w:t xml:space="preserve"> = 0.44) and significant deviation (RMSE = 1.8 kcal/mol) from experimental binding free energies, making it one of the worst force fields tested. For binding enthalpies, the Q4RG-TIP3P force field showed improved correlation (R</w:t>
      </w:r>
      <w:r>
        <w:rPr>
          <w:vertAlign w:val="superscript"/>
        </w:rPr>
        <w:t>2</w:t>
      </w:r>
      <w:r>
        <w:t xml:space="preserve"> = 0.67), but even greater deviation from experiment (RMSE = 2.0 kcal/mol). Surprisingly, the best force field for predicting the binding free energy was the BGBG-TIP3P combination, which produced the highest correlation (R</w:t>
      </w:r>
      <w:r>
        <w:rPr>
          <w:vertAlign w:val="superscript"/>
        </w:rPr>
        <w:t>2</w:t>
      </w:r>
      <w:r>
        <w:t xml:space="preserve"> = 0.56) and lowest deviation (RMSE = 0.9 kcal/mol) to experimental v</w:t>
      </w:r>
      <w:bookmarkStart w:id="0" w:name="_GoBack"/>
      <w:bookmarkEnd w:id="0"/>
      <w:r>
        <w:t>alues of all force fields tested. The BGBG-TIP3P combination was expected to perform poorly because we crudely parameterized the CD host molecule and made no effort to tune its experimentally known conformational properties, as was done for the Q4MD-CD force field.</w:t>
      </w:r>
      <w:r>
        <w:fldChar w:fldCharType="begin"/>
      </w:r>
      <w:r>
        <w:instrText xml:space="preserve"> ADDIN ZOTERO_ITEM CSL_CITATION {"citationID":"at24l94p","properties":{"formattedCitation":"{\\rtf \\super 45\\nosupersub{}}","plainCitation":"45"},"citationItems":[{"id":59,"uris":["http://zotero.org/users/2130610/items/WIHK6SFS"],"uri":["http://zotero.org/users/2130610/items/WIHK6SFS"],"itemData":{"id":59,"type":"article-journal","title":"Molecular dynamics studies of native and substituted cyclodextrins in different media: 1. Charge derivation and force field performances","container-title":"Physical Chemistry Chemical Physics","page":"15103-15121","volume":"13","issue":"33","source":"pubs.rsc.org","abstract":"Molecular dynamics simulations describing the solvation process of native and modified cyclodextrins (per-substituted α-, β-, and γ-cyclodextrins, as well as an amino-acid derived β-cyclodextrin) have been performed. A homogeneous force field, namely “q4md-CD”, has been built from the development of a new force field topology database and from a combination of the GLYCAM04 and Amber99SB force fields to correctly describe the geometrical, structural, dynamical and hydrogen bonding aspects of heterogeneous cyclodextrin based systems. These include native, organo- and peptidic-linked cyclodextrins. q4md-CD features: (i) geometrical parameters from Amber99SB to describe the protein parts, (ii) geometrical parameters from GLYCAM04 for the carbohydrate and organic parts when available or those of Amber99SB otherwise, (iii) partial atomic charges, embedded in force field libraries for the carbohydrate and organic fragments, were derived using the R.E.D. tools according to the “Amber” strategy and (iv) scaling factors of 1.2 and 2.0 were imposed for the 1–4 electrostatic and 1–4 van der Waals interactions, respectively. Results given by q4md-CD on native cyclodextrins have been compared to those obtained with reference to force fields like GLYCAM04, GLYCAM06 and Amber99SB as well as with experimental data. This work not only gives a global view of the performances of the aforementioned force fields towards a correct description of solvated cyclodextrins, but also extends the capabilities of current force fields by addressing some issues concerning hydrogen bonding and opens new possibilities towards studies of glycoconjugates by molecular dynamics.","DOI":"10.1039/C1CP20854C","ISSN":"1463-9084","shortTitle":"Molecular dynamics studies of native and substituted cyclodextrins in different media","journalAbbreviation":"Phys. Chem. Chem. Phys.","language":"en","author":[{"family":"Cézard","given":"Christine"},{"family":"Trivelli","given":"Xavier"},{"family":"Aubry","given":"Frédéric"},{"family":"Djedaïni-Pilard","given":"Florence"},{"family":"Dupradeau","given":"François-Yves"}],"issued":{"date-parts":[["2011",9,7]]},"accessed":{"date-parts":[["2014",11,25]]}}}],"schema":"https://github.com/citation-style-language/schema/raw/master/csl-citation.json"} </w:instrText>
      </w:r>
      <w:r>
        <w:fldChar w:fldCharType="separate"/>
      </w:r>
      <w:r w:rsidRPr="001B3104">
        <w:rPr>
          <w:rFonts w:ascii="Calibri" w:hAnsi="Calibri" w:cs="Calibri"/>
          <w:szCs w:val="24"/>
          <w:vertAlign w:val="superscript"/>
        </w:rPr>
        <w:t>45</w:t>
      </w:r>
      <w:r>
        <w:fldChar w:fldCharType="end"/>
      </w:r>
      <w:r>
        <w:t xml:space="preserve"> On the other hand, the BGBG-TIP3P combination was among the worst at predicting binding enthalpy, showing low correlation (R</w:t>
      </w:r>
      <w:r>
        <w:rPr>
          <w:vertAlign w:val="superscript"/>
        </w:rPr>
        <w:t>2</w:t>
      </w:r>
      <w:r>
        <w:t>=0.39) and high deviation (RMSE = 2.6 kcal/mol) relative to experiment. The best force field for binding enthalpies, Q4RG-TIP4Pew (R</w:t>
      </w:r>
      <w:r>
        <w:rPr>
          <w:vertAlign w:val="superscript"/>
        </w:rPr>
        <w:t>2</w:t>
      </w:r>
      <w:r>
        <w:t xml:space="preserve"> = 0.76, RMSE = 0.9 kcal/mol), produced mediocre binding free energy results, similar to those observed for Q4RG-TIP3P.</w:t>
      </w:r>
    </w:p>
    <w:p w14:paraId="116ADEFF" w14:textId="77777777" w:rsidR="00820091" w:rsidRDefault="00820091"/>
    <w:sectPr w:rsidR="0082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2B"/>
    <w:rsid w:val="0007412B"/>
    <w:rsid w:val="0063229C"/>
    <w:rsid w:val="00820091"/>
    <w:rsid w:val="009C1E21"/>
    <w:rsid w:val="00FC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32B5"/>
  <w15:chartTrackingRefBased/>
  <w15:docId w15:val="{78211735-4063-4D94-A685-2889B0F2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2B"/>
    <w:pPr>
      <w:widowControl w:val="0"/>
      <w:spacing w:after="120"/>
      <w:jc w:val="both"/>
    </w:pPr>
  </w:style>
  <w:style w:type="paragraph" w:styleId="Heading1">
    <w:name w:val="heading 1"/>
    <w:basedOn w:val="Normal"/>
    <w:next w:val="Normal"/>
    <w:link w:val="Heading1Char"/>
    <w:uiPriority w:val="9"/>
    <w:qFormat/>
    <w:rsid w:val="0063229C"/>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07412B"/>
    <w:pPr>
      <w:spacing w:before="24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7412B"/>
    <w:pPr>
      <w:spacing w:before="60" w:after="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12B"/>
    <w:rPr>
      <w:rFonts w:eastAsiaTheme="majorEastAsia" w:cstheme="majorBidi"/>
      <w:b/>
      <w:sz w:val="24"/>
      <w:szCs w:val="26"/>
    </w:rPr>
  </w:style>
  <w:style w:type="character" w:customStyle="1" w:styleId="Heading3Char">
    <w:name w:val="Heading 3 Char"/>
    <w:basedOn w:val="DefaultParagraphFont"/>
    <w:link w:val="Heading3"/>
    <w:uiPriority w:val="9"/>
    <w:rsid w:val="0007412B"/>
    <w:rPr>
      <w:rFonts w:eastAsiaTheme="majorEastAsia" w:cstheme="majorBidi"/>
      <w:i/>
      <w:sz w:val="24"/>
      <w:szCs w:val="24"/>
    </w:rPr>
  </w:style>
  <w:style w:type="character" w:customStyle="1" w:styleId="Heading1Char">
    <w:name w:val="Heading 1 Char"/>
    <w:basedOn w:val="DefaultParagraphFont"/>
    <w:link w:val="Heading1"/>
    <w:uiPriority w:val="9"/>
    <w:rsid w:val="0063229C"/>
    <w:rPr>
      <w:rFonts w:eastAsiaTheme="majorEastAsia" w:cstheme="majorBidi"/>
      <w:color w:val="2E74B5"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dc:creator>
  <cp:keywords/>
  <dc:description/>
  <cp:lastModifiedBy>Slochower, David</cp:lastModifiedBy>
  <cp:revision>3</cp:revision>
  <dcterms:created xsi:type="dcterms:W3CDTF">2018-08-19T15:25:00Z</dcterms:created>
  <dcterms:modified xsi:type="dcterms:W3CDTF">2018-08-19T15:27:00Z</dcterms:modified>
</cp:coreProperties>
</file>