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3" w:name="content"/>
    <w:bookmarkStart w:id="62" w:name="X50babff75ddaffc5df894221547dec25949a844"/>
    <w:p>
      <w:pPr>
        <w:pStyle w:val="Heading1"/>
      </w:pPr>
      <w:r>
        <w:t xml:space="preserve">Quantifying the Expectation–Realisation Gap for Agentic AI Systems</w:t>
      </w:r>
    </w:p>
    <w:bookmarkStart w:id="27" w:name="executive-summary"/>
    <w:p>
      <w:pPr>
        <w:pStyle w:val="Heading2"/>
      </w:pPr>
      <w:r>
        <w:t xml:space="preserve">Executive summary</w:t>
      </w:r>
    </w:p>
    <w:p>
      <w:pPr>
        <w:pStyle w:val="FirstParagraph"/>
      </w:pPr>
      <w:r>
        <w:t xml:space="preserve">Empirical evidence that</w:t>
      </w:r>
      <w:r>
        <w:t xml:space="preserve"> </w:t>
      </w:r>
      <w:r>
        <w:rPr>
          <w:i/>
          <w:iCs/>
        </w:rPr>
        <w:t xml:space="preserve">directly quantifies</w:t>
      </w:r>
      <w:r>
        <w:t xml:space="preserve"> </w:t>
      </w:r>
      <w:r>
        <w:t xml:space="preserve">the gap between</w:t>
      </w:r>
      <w:r>
        <w:t xml:space="preserve"> </w:t>
      </w:r>
      <w:r>
        <w:rPr>
          <w:b/>
          <w:bCs/>
        </w:rPr>
        <w:t xml:space="preserve">pre-deployment expectations/claims</w:t>
      </w:r>
      <w:r>
        <w:t xml:space="preserve"> </w:t>
      </w:r>
      <w:r>
        <w:t xml:space="preserve">and</w:t>
      </w:r>
      <w:r>
        <w:t xml:space="preserve"> </w:t>
      </w:r>
      <w:r>
        <w:rPr>
          <w:b/>
          <w:bCs/>
        </w:rPr>
        <w:t xml:space="preserve">post-deployment realised outcomes</w:t>
      </w:r>
      <w:r>
        <w:t xml:space="preserve"> </w:t>
      </w:r>
      <w:r>
        <w:t xml:space="preserve">for agentic AI systems is uneven across domains, but several rigorous studies expose large, directionally consistent “calibration errors” in forecasts—especially when moving from</w:t>
      </w:r>
      <w:r>
        <w:t xml:space="preserve"> </w:t>
      </w:r>
      <w:r>
        <w:rPr>
          <w:i/>
          <w:iCs/>
        </w:rPr>
        <w:t xml:space="preserve">benchmarks and lab-style tasks</w:t>
      </w:r>
      <w:r>
        <w:t xml:space="preserve"> </w:t>
      </w:r>
      <w:r>
        <w:t xml:space="preserve">to</w:t>
      </w:r>
      <w:r>
        <w:t xml:space="preserve"> </w:t>
      </w:r>
      <w:r>
        <w:rPr>
          <w:i/>
          <w:iCs/>
        </w:rPr>
        <w:t xml:space="preserve">high-context field settings</w:t>
      </w:r>
      <w:r>
        <w:t xml:space="preserve">.</w:t>
      </w:r>
      <w:r>
        <w:t xml:space="preserve"> </w:t>
      </w:r>
      <w:hyperlink r:id="rId21">
        <w:r>
          <w:rPr>
            <w:rStyle w:val="Hyperlink"/>
          </w:rPr>
          <w:t xml:space="preserve">[1]</w:t>
        </w:r>
      </w:hyperlink>
    </w:p>
    <w:p>
      <w:pPr>
        <w:pStyle w:val="BodyText"/>
      </w:pPr>
      <w:r>
        <w:t xml:space="preserve">Across the most directly comparable studies:</w:t>
      </w:r>
    </w:p>
    <w:p>
      <w:pPr>
        <w:pStyle w:val="Compact"/>
        <w:numPr>
          <w:ilvl w:val="0"/>
          <w:numId w:val="1001"/>
        </w:numPr>
      </w:pPr>
      <w:r>
        <w:t xml:space="preserve">In a randomised controlled trial (RCT) by</w:t>
      </w:r>
      <w:r>
        <w:t xml:space="preserve"> </w:t>
      </w:r>
      <w:r>
        <w:rPr>
          <w:b/>
          <w:bCs/>
        </w:rPr>
        <w:t xml:space="preserve">entity["organization","Model Evaluation &amp; Threat Research","ai evaluation nonprofit"]</w:t>
      </w:r>
      <w:r>
        <w:t xml:space="preserve"> </w:t>
      </w:r>
      <w:r>
        <w:t xml:space="preserve">on experienced open-source developers working in their</w:t>
      </w:r>
      <w:r>
        <w:t xml:space="preserve"> </w:t>
      </w:r>
      <w:r>
        <w:rPr>
          <w:i/>
          <w:iCs/>
        </w:rPr>
        <w:t xml:space="preserve">own</w:t>
      </w:r>
      <w:r>
        <w:t xml:space="preserve"> </w:t>
      </w:r>
      <w:r>
        <w:t xml:space="preserve">mature repositories (16 developers; 246 real tasks), participants</w:t>
      </w:r>
      <w:r>
        <w:t xml:space="preserve"> </w:t>
      </w:r>
      <w:r>
        <w:rPr>
          <w:b/>
          <w:bCs/>
        </w:rPr>
        <w:t xml:space="preserve">forecast a 24% completion-time reduction</w:t>
      </w:r>
      <w:r>
        <w:t xml:space="preserve"> </w:t>
      </w:r>
      <w:r>
        <w:t xml:space="preserve">with AI tools, but</w:t>
      </w:r>
      <w:r>
        <w:t xml:space="preserve"> </w:t>
      </w:r>
      <w:r>
        <w:rPr>
          <w:b/>
          <w:bCs/>
        </w:rPr>
        <w:t xml:space="preserve">observed completion time increased by 19%</w:t>
      </w:r>
      <w:r>
        <w:t xml:space="preserve"> </w:t>
      </w:r>
      <w:r>
        <w:t xml:space="preserve">(i.e., a productivity</w:t>
      </w:r>
      <w:r>
        <w:t xml:space="preserve"> </w:t>
      </w:r>
      <w:r>
        <w:rPr>
          <w:i/>
          <w:iCs/>
        </w:rPr>
        <w:t xml:space="preserve">reversal</w:t>
      </w:r>
      <w:r>
        <w:t xml:space="preserve"> </w:t>
      </w:r>
      <w:r>
        <w:t xml:space="preserve">relative to expectations). This is a</w:t>
      </w:r>
      <w:r>
        <w:t xml:space="preserve"> </w:t>
      </w:r>
      <w:r>
        <w:rPr>
          <w:b/>
          <w:bCs/>
        </w:rPr>
        <w:t xml:space="preserve">43 percentage-point expectation error</w:t>
      </w:r>
      <w:r>
        <w:t xml:space="preserve"> </w:t>
      </w:r>
      <w:r>
        <w:t xml:space="preserve">on the time-change scale (expected −24% vs realised +19%).</w:t>
      </w:r>
      <w:r>
        <w:t xml:space="preserve"> </w:t>
      </w:r>
      <w:hyperlink r:id="rId21">
        <w:r>
          <w:rPr>
            <w:rStyle w:val="Hyperlink"/>
          </w:rPr>
          <w:t xml:space="preserve">[2]</w:t>
        </w:r>
      </w:hyperlink>
    </w:p>
    <w:p>
      <w:pPr>
        <w:pStyle w:val="Compact"/>
        <w:numPr>
          <w:ilvl w:val="0"/>
          <w:numId w:val="1001"/>
        </w:numPr>
      </w:pPr>
      <w:r>
        <w:t xml:space="preserve">In contrast, a controlled pre-release experiment of GitHub Copilot (Upwork-recruited developers) found</w:t>
      </w:r>
      <w:r>
        <w:t xml:space="preserve"> </w:t>
      </w:r>
      <w:r>
        <w:rPr>
          <w:b/>
          <w:bCs/>
        </w:rPr>
        <w:t xml:space="preserve">55.8% faster completion</w:t>
      </w:r>
      <w:r>
        <w:t xml:space="preserve"> </w:t>
      </w:r>
      <w:r>
        <w:t xml:space="preserve">(95% CI 21–89%) on a</w:t>
      </w:r>
      <w:r>
        <w:t xml:space="preserve"> </w:t>
      </w:r>
      <w:r>
        <w:rPr>
          <w:i/>
          <w:iCs/>
        </w:rPr>
        <w:t xml:space="preserve">synthetic, self-contained</w:t>
      </w:r>
      <w:r>
        <w:t xml:space="preserve"> </w:t>
      </w:r>
      <w:r>
        <w:t xml:space="preserve">task; notably, participants’ own self-estimated productivity gains averaged ~35%, i.e., they</w:t>
      </w:r>
      <w:r>
        <w:t xml:space="preserve"> </w:t>
      </w:r>
      <w:r>
        <w:rPr>
          <w:b/>
          <w:bCs/>
        </w:rPr>
        <w:t xml:space="preserve">underestimated</w:t>
      </w:r>
      <w:r>
        <w:t xml:space="preserve"> </w:t>
      </w:r>
      <w:r>
        <w:t xml:space="preserve">the realised speedup in that lab setting.</w:t>
      </w:r>
      <w:r>
        <w:t xml:space="preserve"> </w:t>
      </w:r>
      <w:hyperlink r:id="rId22">
        <w:r>
          <w:rPr>
            <w:rStyle w:val="Hyperlink"/>
          </w:rPr>
          <w:t xml:space="preserve">[3]</w:t>
        </w:r>
      </w:hyperlink>
    </w:p>
    <w:p>
      <w:pPr>
        <w:pStyle w:val="Compact"/>
        <w:numPr>
          <w:ilvl w:val="0"/>
          <w:numId w:val="1001"/>
        </w:numPr>
      </w:pPr>
      <w:r>
        <w:t xml:space="preserve">In clinical documentation agents (ambient AI scribes), an RCT in 238 physicians across 14 specialties found a</w:t>
      </w:r>
      <w:r>
        <w:t xml:space="preserve"> </w:t>
      </w:r>
      <w:r>
        <w:rPr>
          <w:b/>
          <w:bCs/>
        </w:rPr>
        <w:t xml:space="preserve">−9.5%</w:t>
      </w:r>
      <w:r>
        <w:t xml:space="preserve"> </w:t>
      </w:r>
      <w:r>
        <w:t xml:space="preserve">(95% CI −17.2 to −1.8) reduction in “time-in-note” for one tool, while another widely deployed product showed</w:t>
      </w:r>
      <w:r>
        <w:t xml:space="preserve"> </w:t>
      </w:r>
      <w:r>
        <w:rPr>
          <w:b/>
          <w:bCs/>
        </w:rPr>
        <w:t xml:space="preserve">no statistically significant difference</w:t>
      </w:r>
      <w:r>
        <w:t xml:space="preserve"> </w:t>
      </w:r>
      <w:r>
        <w:t xml:space="preserve">vs control (−1.7%, 95% CI −9.4 to +5.9). This contrasts with prominent vendor messaging that frames time savings in</w:t>
      </w:r>
      <w:r>
        <w:t xml:space="preserve"> </w:t>
      </w:r>
      <w:r>
        <w:rPr>
          <w:i/>
          <w:iCs/>
        </w:rPr>
        <w:t xml:space="preserve">minutes per encounter</w:t>
      </w:r>
      <w:r>
        <w:t xml:space="preserve">, suggesting a substantial expectation–metric mismatch and strong dependence on local implementation and adoption.</w:t>
      </w:r>
      <w:r>
        <w:t xml:space="preserve"> </w:t>
      </w:r>
      <w:hyperlink r:id="rId23">
        <w:r>
          <w:rPr>
            <w:rStyle w:val="Hyperlink"/>
          </w:rPr>
          <w:t xml:space="preserve">[4]</w:t>
        </w:r>
      </w:hyperlink>
    </w:p>
    <w:p>
      <w:pPr>
        <w:pStyle w:val="Compact"/>
        <w:numPr>
          <w:ilvl w:val="0"/>
          <w:numId w:val="1001"/>
        </w:numPr>
      </w:pPr>
      <w:r>
        <w:t xml:space="preserve">In clinical decision-support, independent external validation of a widely implemented proprietary sepsis prediction model reported an AUC of</w:t>
      </w:r>
      <w:r>
        <w:t xml:space="preserve"> </w:t>
      </w:r>
      <w:r>
        <w:rPr>
          <w:b/>
          <w:bCs/>
        </w:rPr>
        <w:t xml:space="preserve">0.63</w:t>
      </w:r>
      <w:r>
        <w:t xml:space="preserve"> </w:t>
      </w:r>
      <w:r>
        <w:t xml:space="preserve">(95% CI 0.62–0.64), while the developer’s internal documentation cited</w:t>
      </w:r>
      <w:r>
        <w:t xml:space="preserve"> </w:t>
      </w:r>
      <w:r>
        <w:rPr>
          <w:b/>
          <w:bCs/>
        </w:rPr>
        <w:t xml:space="preserve">AUC 0.76–0.83</w:t>
      </w:r>
      <w:r>
        <w:t xml:space="preserve">, implying a material shortfall between “developer-reported” and “real-world hospitalisation-level” discrimination.</w:t>
      </w:r>
      <w:r>
        <w:t xml:space="preserve"> </w:t>
      </w:r>
      <w:hyperlink r:id="rId24">
        <w:r>
          <w:rPr>
            <w:rStyle w:val="Hyperlink"/>
          </w:rPr>
          <w:t xml:space="preserve">[5]</w:t>
        </w:r>
      </w:hyperlink>
    </w:p>
    <w:p>
      <w:pPr>
        <w:pStyle w:val="Compact"/>
        <w:numPr>
          <w:ilvl w:val="0"/>
          <w:numId w:val="1001"/>
        </w:numPr>
      </w:pPr>
      <w:r>
        <w:t xml:space="preserve">For oncology decision-support,</w:t>
      </w:r>
      <w:r>
        <w:t xml:space="preserve"> </w:t>
      </w:r>
      <w:r>
        <w:rPr>
          <w:b/>
          <w:bCs/>
        </w:rPr>
        <w:t xml:space="preserve">IBM</w:t>
      </w:r>
      <w:hyperlink r:id="rId25">
        <w:r>
          <w:rPr>
            <w:rStyle w:val="Hyperlink"/>
            <w:b/>
            <w:bCs/>
          </w:rPr>
          <w:t xml:space="preserve">[6]</w:t>
        </w:r>
      </w:hyperlink>
      <w:r>
        <w:t xml:space="preserve"> </w:t>
      </w:r>
      <w:r>
        <w:t xml:space="preserve">publicised very high concordance figures for Watson for Oncology (including 96% in a tumour-board comparison for lung cases), whereas a peer-reviewed retrospective study in Korea reported</w:t>
      </w:r>
      <w:r>
        <w:t xml:space="preserve"> </w:t>
      </w:r>
      <w:r>
        <w:rPr>
          <w:b/>
          <w:bCs/>
        </w:rPr>
        <w:t xml:space="preserve">48.9% absolute concordance</w:t>
      </w:r>
      <w:r>
        <w:t xml:space="preserve"> </w:t>
      </w:r>
      <w:r>
        <w:t xml:space="preserve">(strict) for colon cancer and strong heterogeneity by age and local constraints (e.g., reimbursement).</w:t>
      </w:r>
      <w:r>
        <w:t xml:space="preserve"> </w:t>
      </w:r>
      <w:hyperlink r:id="rId26">
        <w:r>
          <w:rPr>
            <w:rStyle w:val="Hyperlink"/>
          </w:rPr>
          <w:t xml:space="preserve">[7]</w:t>
        </w:r>
      </w:hyperlink>
    </w:p>
    <w:p>
      <w:pPr>
        <w:pStyle w:val="FirstParagraph"/>
      </w:pPr>
      <w:r>
        <w:t xml:space="preserve">Mechanistically, the shortfalls that</w:t>
      </w:r>
      <w:r>
        <w:t xml:space="preserve"> </w:t>
      </w:r>
      <w:r>
        <w:rPr>
          <w:i/>
          <w:iCs/>
        </w:rPr>
        <w:t xml:space="preserve">do</w:t>
      </w:r>
      <w:r>
        <w:t xml:space="preserve"> </w:t>
      </w:r>
      <w:r>
        <w:t xml:space="preserve">appear are repeatedly attributed to: (i)</w:t>
      </w:r>
      <w:r>
        <w:t xml:space="preserve"> </w:t>
      </w:r>
      <w:r>
        <w:rPr>
          <w:b/>
          <w:bCs/>
        </w:rPr>
        <w:t xml:space="preserve">workflow integration and compliance</w:t>
      </w:r>
      <w:r>
        <w:t xml:space="preserve"> </w:t>
      </w:r>
      <w:r>
        <w:t xml:space="preserve">(low or partial tool usage; additional “review/clean-up” time; lag), (ii)</w:t>
      </w:r>
      <w:r>
        <w:t xml:space="preserve"> </w:t>
      </w:r>
      <w:r>
        <w:rPr>
          <w:b/>
          <w:bCs/>
        </w:rPr>
        <w:t xml:space="preserve">context and task mix</w:t>
      </w:r>
      <w:r>
        <w:t xml:space="preserve"> </w:t>
      </w:r>
      <w:r>
        <w:t xml:space="preserve">(high-context tasks reduce marginal value of generic assistance; “benchmark familiarity” advantages lab settings), and (iii)</w:t>
      </w:r>
      <w:r>
        <w:t xml:space="preserve"> </w:t>
      </w:r>
      <w:r>
        <w:rPr>
          <w:b/>
          <w:bCs/>
        </w:rPr>
        <w:t xml:space="preserve">measurement choices</w:t>
      </w:r>
      <w:r>
        <w:t xml:space="preserve"> </w:t>
      </w:r>
      <w:r>
        <w:t xml:space="preserve">(self-report vs audit logs; time horizon vs hospitalisation-level evaluation; “per note” vs “total EHR”) that can either inflate or conceal true effects.</w:t>
      </w:r>
      <w:r>
        <w:t xml:space="preserve"> </w:t>
      </w:r>
      <w:hyperlink r:id="rId23">
        <w:r>
          <w:rPr>
            <w:rStyle w:val="Hyperlink"/>
          </w:rPr>
          <w:t xml:space="preserve">[8]</w:t>
        </w:r>
      </w:hyperlink>
    </w:p>
    <w:bookmarkEnd w:id="27"/>
    <w:bookmarkStart w:id="31" w:name="X747804e176cbc634020cd032f92f7f8838b9edb"/>
    <w:p>
      <w:pPr>
        <w:pStyle w:val="Heading2"/>
      </w:pPr>
      <w:r>
        <w:t xml:space="preserve">Scope, definitions, and evidence-gathering method</w:t>
      </w:r>
    </w:p>
    <w:p>
      <w:pPr>
        <w:pStyle w:val="FirstParagraph"/>
      </w:pPr>
      <w:r>
        <w:t xml:space="preserve">This report focuses on</w:t>
      </w:r>
      <w:r>
        <w:t xml:space="preserve"> </w:t>
      </w:r>
      <w:r>
        <w:rPr>
          <w:b/>
          <w:bCs/>
        </w:rPr>
        <w:t xml:space="preserve">agentic systems</w:t>
      </w:r>
      <w:r>
        <w:t xml:space="preserve"> </w:t>
      </w:r>
      <w:r>
        <w:t xml:space="preserve">that (a) generate drafts/actions/recommendations that users then accept/edit/act upon and (b) are evaluated with</w:t>
      </w:r>
      <w:r>
        <w:t xml:space="preserve"> </w:t>
      </w:r>
      <w:r>
        <w:rPr>
          <w:b/>
          <w:bCs/>
        </w:rPr>
        <w:t xml:space="preserve">quantitative, pre/post or treatment/control comparisons</w:t>
      </w:r>
      <w:r>
        <w:t xml:space="preserve">. Domains emphasised are: clinical documentation agents (ambient AI scribes), software engineering copilots/agents, and adjacent decision-support/automation systems (sepsis prediction, oncology treatment recommendation, customer-support assistants).</w:t>
      </w:r>
      <w:r>
        <w:t xml:space="preserve"> </w:t>
      </w:r>
      <w:hyperlink r:id="rId23">
        <w:r>
          <w:rPr>
            <w:rStyle w:val="Hyperlink"/>
          </w:rPr>
          <w:t xml:space="preserve">[9]</w:t>
        </w:r>
      </w:hyperlink>
    </w:p>
    <w:p>
      <w:pPr>
        <w:pStyle w:val="BodyText"/>
      </w:pPr>
      <w:r>
        <w:rPr>
          <w:b/>
          <w:bCs/>
        </w:rPr>
        <w:t xml:space="preserve">Pre-deployment expectations</w:t>
      </w:r>
      <w:r>
        <w:t xml:space="preserve"> </w:t>
      </w:r>
      <w:r>
        <w:t xml:space="preserve">are operationalised in three empirically observable forms:</w:t>
      </w:r>
    </w:p>
    <w:p>
      <w:pPr>
        <w:pStyle w:val="Compact"/>
        <w:numPr>
          <w:ilvl w:val="0"/>
          <w:numId w:val="1002"/>
        </w:numPr>
      </w:pPr>
      <w:r>
        <w:rPr>
          <w:b/>
          <w:bCs/>
        </w:rPr>
        <w:t xml:space="preserve">Stakeholder forecasts</w:t>
      </w:r>
      <w:r>
        <w:t xml:space="preserve"> </w:t>
      </w:r>
      <w:r>
        <w:t xml:space="preserve">measured</w:t>
      </w:r>
      <w:r>
        <w:t xml:space="preserve"> </w:t>
      </w:r>
      <w:r>
        <w:rPr>
          <w:i/>
          <w:iCs/>
        </w:rPr>
        <w:t xml:space="preserve">before tasks/rollout</w:t>
      </w:r>
      <w:r>
        <w:t xml:space="preserve"> </w:t>
      </w:r>
      <w:r>
        <w:t xml:space="preserve">(e.g., predicted % time reduction).</w:t>
      </w:r>
      <w:r>
        <w:t xml:space="preserve"> </w:t>
      </w:r>
      <w:hyperlink r:id="rId21">
        <w:r>
          <w:rPr>
            <w:rStyle w:val="Hyperlink"/>
          </w:rPr>
          <w:t xml:space="preserve">[2]</w:t>
        </w:r>
      </w:hyperlink>
    </w:p>
    <w:p>
      <w:pPr>
        <w:pStyle w:val="Compact"/>
        <w:numPr>
          <w:ilvl w:val="0"/>
          <w:numId w:val="1002"/>
        </w:numPr>
      </w:pPr>
      <w:r>
        <w:rPr>
          <w:b/>
          <w:bCs/>
        </w:rPr>
        <w:t xml:space="preserve">Vendor/developer claims</w:t>
      </w:r>
      <w:r>
        <w:t xml:space="preserve"> </w:t>
      </w:r>
      <w:r>
        <w:t xml:space="preserve">(marketing statements; developer-internal performance metrics).</w:t>
      </w:r>
      <w:r>
        <w:t xml:space="preserve"> </w:t>
      </w:r>
      <w:hyperlink r:id="rId28">
        <w:r>
          <w:rPr>
            <w:rStyle w:val="Hyperlink"/>
          </w:rPr>
          <w:t xml:space="preserve">[10]</w:t>
        </w:r>
      </w:hyperlink>
    </w:p>
    <w:p>
      <w:pPr>
        <w:pStyle w:val="Compact"/>
        <w:numPr>
          <w:ilvl w:val="0"/>
          <w:numId w:val="1002"/>
        </w:numPr>
      </w:pPr>
      <w:r>
        <w:rPr>
          <w:b/>
          <w:bCs/>
        </w:rPr>
        <w:t xml:space="preserve">Perceived impact</w:t>
      </w:r>
      <w:r>
        <w:t xml:space="preserve"> </w:t>
      </w:r>
      <w:r>
        <w:t xml:space="preserve">(users reporting expected/experienced reductions) contrasted with objective logs (a form of expectation/interpretation gap).</w:t>
      </w:r>
      <w:r>
        <w:t xml:space="preserve"> </w:t>
      </w:r>
      <w:hyperlink r:id="rId29">
        <w:r>
          <w:rPr>
            <w:rStyle w:val="Hyperlink"/>
          </w:rPr>
          <w:t xml:space="preserve">[11]</w:t>
        </w:r>
      </w:hyperlink>
    </w:p>
    <w:p>
      <w:pPr>
        <w:pStyle w:val="FirstParagraph"/>
      </w:pPr>
      <w:r>
        <w:rPr>
          <w:b/>
          <w:bCs/>
        </w:rPr>
        <w:t xml:space="preserve">Realised outcomes</w:t>
      </w:r>
      <w:r>
        <w:t xml:space="preserve"> </w:t>
      </w:r>
      <w:r>
        <w:t xml:space="preserve">are taken as the post-deployment (or treatment) measurements reported in the cited studies, including effect sizes and confidence intervals where provided (e.g., % change with 95% CI; AUC with CI; odds ratios).</w:t>
      </w:r>
      <w:r>
        <w:t xml:space="preserve"> </w:t>
      </w:r>
      <w:hyperlink r:id="rId23">
        <w:r>
          <w:rPr>
            <w:rStyle w:val="Hyperlink"/>
          </w:rPr>
          <w:t xml:space="preserve">[12]</w:t>
        </w:r>
      </w:hyperlink>
    </w:p>
    <w:p>
      <w:pPr>
        <w:pStyle w:val="BodyText"/>
      </w:pPr>
      <w:r>
        <w:t xml:space="preserve">Evidence was prioritised as: peer-reviewed primary studies (e.g.,</w:t>
      </w:r>
      <w:r>
        <w:t xml:space="preserve"> </w:t>
      </w:r>
      <w:r>
        <w:rPr>
          <w:b/>
          <w:bCs/>
        </w:rPr>
        <w:t xml:space="preserve">JAMA Network</w:t>
      </w:r>
      <w:hyperlink r:id="rId22">
        <w:r>
          <w:rPr>
            <w:rStyle w:val="Hyperlink"/>
            <w:b/>
            <w:bCs/>
          </w:rPr>
          <w:t xml:space="preserve">[13]</w:t>
        </w:r>
      </w:hyperlink>
      <w:r>
        <w:t xml:space="preserve"> </w:t>
      </w:r>
      <w:r>
        <w:t xml:space="preserve">publications hosted on</w:t>
      </w:r>
      <w:r>
        <w:t xml:space="preserve"> </w:t>
      </w:r>
      <w:r>
        <w:rPr>
          <w:b/>
          <w:bCs/>
        </w:rPr>
        <w:t xml:space="preserve">JAMA Network Open</w:t>
      </w:r>
      <w:hyperlink r:id="rId24">
        <w:r>
          <w:rPr>
            <w:rStyle w:val="Hyperlink"/>
            <w:b/>
            <w:bCs/>
          </w:rPr>
          <w:t xml:space="preserve">[14]</w:t>
        </w:r>
      </w:hyperlink>
      <w:r>
        <w:t xml:space="preserve"> </w:t>
      </w:r>
      <w:r>
        <w:t xml:space="preserve">pages), authoritative open-access repositories (e.g.,</w:t>
      </w:r>
      <w:r>
        <w:t xml:space="preserve"> </w:t>
      </w:r>
      <w:r>
        <w:rPr>
          <w:b/>
          <w:bCs/>
        </w:rPr>
        <w:t xml:space="preserve">PubMed</w:t>
      </w:r>
      <w:hyperlink r:id="rId30">
        <w:r>
          <w:rPr>
            <w:rStyle w:val="Hyperlink"/>
            <w:b/>
            <w:bCs/>
          </w:rPr>
          <w:t xml:space="preserve">[15]</w:t>
        </w:r>
      </w:hyperlink>
      <w:r>
        <w:t xml:space="preserve">,</w:t>
      </w:r>
      <w:r>
        <w:t xml:space="preserve"> </w:t>
      </w:r>
      <w:r>
        <w:rPr>
          <w:b/>
          <w:bCs/>
        </w:rPr>
        <w:t xml:space="preserve">arXiv</w:t>
      </w:r>
      <w:hyperlink r:id="rId23">
        <w:r>
          <w:rPr>
            <w:rStyle w:val="Hyperlink"/>
            <w:b/>
            <w:bCs/>
          </w:rPr>
          <w:t xml:space="preserve">[16]</w:t>
        </w:r>
      </w:hyperlink>
      <w:r>
        <w:t xml:space="preserve">,</w:t>
      </w:r>
      <w:r>
        <w:t xml:space="preserve"> </w:t>
      </w:r>
      <w:r>
        <w:rPr>
          <w:b/>
          <w:bCs/>
        </w:rPr>
        <w:t xml:space="preserve">PubMed Central</w:t>
      </w:r>
      <w:hyperlink r:id="rId29">
        <w:r>
          <w:rPr>
            <w:rStyle w:val="Hyperlink"/>
            <w:b/>
            <w:bCs/>
          </w:rPr>
          <w:t xml:space="preserve">[17]</w:t>
        </w:r>
      </w:hyperlink>
      <w:r>
        <w:t xml:space="preserve">), and transparently labelled vendor communications when used strictly as</w:t>
      </w:r>
      <w:r>
        <w:t xml:space="preserve"> </w:t>
      </w:r>
      <w:r>
        <w:rPr>
          <w:i/>
          <w:iCs/>
        </w:rPr>
        <w:t xml:space="preserve">expectation baselines</w:t>
      </w:r>
      <w:r>
        <w:t xml:space="preserve">.</w:t>
      </w:r>
      <w:r>
        <w:t xml:space="preserve"> </w:t>
      </w:r>
      <w:hyperlink r:id="rId23">
        <w:r>
          <w:rPr>
            <w:rStyle w:val="Hyperlink"/>
          </w:rPr>
          <w:t xml:space="preserve">[18]</w:t>
        </w:r>
      </w:hyperlink>
    </w:p>
    <w:bookmarkEnd w:id="31"/>
    <w:bookmarkStart w:id="38" w:name="X0b9948e7d7f1b675d887d35a522b0efe1944f0a"/>
    <w:p>
      <w:pPr>
        <w:pStyle w:val="Heading2"/>
      </w:pPr>
      <w:r>
        <w:t xml:space="preserve">Clinical documentation agents (ambient AI scribes)</w:t>
      </w:r>
    </w:p>
    <w:bookmarkStart w:id="32" w:name="evidence-base-and-designs"/>
    <w:p>
      <w:pPr>
        <w:pStyle w:val="Heading3"/>
      </w:pPr>
      <w:r>
        <w:t xml:space="preserve">Evidence base and designs</w:t>
      </w:r>
    </w:p>
    <w:p>
      <w:pPr>
        <w:pStyle w:val="FirstParagraph"/>
      </w:pPr>
      <w:r>
        <w:t xml:space="preserve">The strongest recent evidence includes: (i) a randomised trial across two commercial ambient scribe tools vs usual care, (ii) peer-matched or pre/post cohort evaluations using EHR audit-log style outcomes, and (iii) multi-site survey-based evaluations with quantified changes in burnout and after-hours documentation.</w:t>
      </w:r>
      <w:r>
        <w:t xml:space="preserve"> </w:t>
      </w:r>
      <w:hyperlink r:id="rId23">
        <w:r>
          <w:rPr>
            <w:rStyle w:val="Hyperlink"/>
          </w:rPr>
          <w:t xml:space="preserve">[19]</w:t>
        </w:r>
      </w:hyperlink>
    </w:p>
    <w:p>
      <w:pPr>
        <w:pStyle w:val="BodyText"/>
      </w:pPr>
      <w:r>
        <w:t xml:space="preserve">A key methodological feature, relevant to expectation gaps, is</w:t>
      </w:r>
      <w:r>
        <w:t xml:space="preserve"> </w:t>
      </w:r>
      <w:r>
        <w:rPr>
          <w:b/>
          <w:bCs/>
        </w:rPr>
        <w:t xml:space="preserve">partial compliance</w:t>
      </w:r>
      <w:r>
        <w:t xml:space="preserve"> </w:t>
      </w:r>
      <w:r>
        <w:t xml:space="preserve">(some clinicians use the tool for a minority of encounters; some never use it), which mechanically attenuates intention-to-treat estimates even if per-use effects are larger. One RCT reported that tool use occurred in roughly</w:t>
      </w:r>
      <w:r>
        <w:t xml:space="preserve"> </w:t>
      </w:r>
      <w:r>
        <w:rPr>
          <w:b/>
          <w:bCs/>
        </w:rPr>
        <w:t xml:space="preserve">30–34% of visits</w:t>
      </w:r>
      <w:r>
        <w:t xml:space="preserve">, with ~15% of treatment-group physicians never using their assigned scribe.</w:t>
      </w:r>
      <w:r>
        <w:t xml:space="preserve"> </w:t>
      </w:r>
      <w:hyperlink r:id="rId23">
        <w:r>
          <w:rPr>
            <w:rStyle w:val="Hyperlink"/>
          </w:rPr>
          <w:t xml:space="preserve">[20]</w:t>
        </w:r>
      </w:hyperlink>
    </w:p>
    <w:bookmarkEnd w:id="32"/>
    <w:bookmarkStart w:id="34" w:name="Xc525d13f53b535741b79e246c2423dfe2828e38"/>
    <w:p>
      <w:pPr>
        <w:pStyle w:val="Heading3"/>
      </w:pPr>
      <w:r>
        <w:t xml:space="preserve">Quantitative expectations/claims vs measured outcomes</w:t>
      </w:r>
    </w:p>
    <w:p>
      <w:pPr>
        <w:pStyle w:val="FirstParagraph"/>
      </w:pPr>
      <w:r>
        <w:t xml:space="preserve">The table below focuses on studies where an “expectation” can be anchored to either explicit pre/post perceptions, or to a well-specified public claim.</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Study</w:t>
            </w:r>
          </w:p>
        </w:tc>
        <w:tc>
          <w:tcPr/>
          <w:p>
            <w:pPr>
              <w:pStyle w:val="Compact"/>
            </w:pPr>
            <w:r>
              <w:t xml:space="preserve">Domain &amp; system</w:t>
            </w:r>
          </w:p>
        </w:tc>
        <w:tc>
          <w:tcPr/>
          <w:p>
            <w:pPr>
              <w:pStyle w:val="Compact"/>
            </w:pPr>
            <w:r>
              <w:t xml:space="preserve">Sample size &amp; setting</w:t>
            </w:r>
          </w:p>
        </w:tc>
        <w:tc>
          <w:tcPr/>
          <w:p>
            <w:pPr>
              <w:pStyle w:val="Compact"/>
            </w:pPr>
            <w:r>
              <w:t xml:space="preserve">Design</w:t>
            </w:r>
          </w:p>
        </w:tc>
        <w:tc>
          <w:tcPr/>
          <w:p>
            <w:pPr>
              <w:pStyle w:val="Compact"/>
            </w:pPr>
            <w:r>
              <w:t xml:space="preserve">Measured expectation (source)</w:t>
            </w:r>
          </w:p>
        </w:tc>
        <w:tc>
          <w:tcPr/>
          <w:p>
            <w:pPr>
              <w:pStyle w:val="Compact"/>
            </w:pPr>
            <w:r>
              <w:t xml:space="preserve">Measured outcomes (post; effect sizes)</w:t>
            </w:r>
          </w:p>
        </w:tc>
        <w:tc>
          <w:tcPr/>
          <w:p>
            <w:pPr>
              <w:pStyle w:val="Compact"/>
            </w:pPr>
            <w:r>
              <w:t xml:space="preserve">Discrepancy magnitude (absolute / relative)</w:t>
            </w:r>
          </w:p>
        </w:tc>
        <w:tc>
          <w:tcPr/>
          <w:p>
            <w:pPr>
              <w:pStyle w:val="Compact"/>
            </w:pPr>
            <w:r>
              <w:t xml:space="preserve">Reported moderators / shortfall reasons</w:t>
            </w:r>
          </w:p>
        </w:tc>
      </w:tr>
      <w:tr>
        <w:tc>
          <w:tcPr/>
          <w:p>
            <w:pPr>
              <w:pStyle w:val="Compact"/>
            </w:pPr>
            <w:r>
              <w:t xml:space="preserve">Ambient AI scribes RCT (UCLA; DAX vs Nabla vs control)</w:t>
            </w:r>
          </w:p>
        </w:tc>
        <w:tc>
          <w:tcPr/>
          <w:p>
            <w:pPr>
              <w:pStyle w:val="Compact"/>
            </w:pPr>
            <w:r>
              <w:t xml:space="preserve">Clinical documentation agent</w:t>
            </w:r>
          </w:p>
        </w:tc>
        <w:tc>
          <w:tcPr/>
          <w:p>
            <w:pPr>
              <w:pStyle w:val="Compact"/>
            </w:pPr>
            <w:r>
              <w:t xml:space="preserve">238 physicians; 14 specialties; DAX N=79, Nabla N=79, control N=80; ~24k encounters per arm</w:t>
            </w:r>
          </w:p>
        </w:tc>
        <w:tc>
          <w:tcPr/>
          <w:p>
            <w:pPr>
              <w:pStyle w:val="Compact"/>
            </w:pPr>
            <w:r>
              <w:t xml:space="preserve">RCT (physician-level randomisation with covariate-constrained assignment)</w:t>
            </w:r>
          </w:p>
        </w:tc>
        <w:tc>
          <w:tcPr/>
          <w:p>
            <w:pPr>
              <w:pStyle w:val="Compact"/>
            </w:pPr>
            <w:r>
              <w:t xml:space="preserve">Vendor-facing “minutes saved” claims are often used in procurement narratives; e.g.,</w:t>
            </w:r>
            <w:r>
              <w:t xml:space="preserve"> </w:t>
            </w:r>
            <w:r>
              <w:rPr>
                <w:b/>
                <w:bCs/>
              </w:rPr>
              <w:t xml:space="preserve">Microsoft</w:t>
            </w:r>
            <w:hyperlink r:id="rId23">
              <w:r>
                <w:rPr>
                  <w:rStyle w:val="Hyperlink"/>
                  <w:b/>
                  <w:bCs/>
                </w:rPr>
                <w:t xml:space="preserve">[21]</w:t>
              </w:r>
            </w:hyperlink>
            <w:r>
              <w:t xml:space="preserve"> </w:t>
            </w:r>
            <w:r>
              <w:t xml:space="preserve">publicised “5 minutes saved per clinician per encounter on average”.</w:t>
            </w:r>
            <w:r>
              <w:t xml:space="preserve"> </w:t>
            </w:r>
            <w:hyperlink r:id="rId23">
              <w:r>
                <w:rPr>
                  <w:rStyle w:val="Hyperlink"/>
                </w:rPr>
                <w:t xml:space="preserve">[22]</w:t>
              </w:r>
            </w:hyperlink>
          </w:p>
        </w:tc>
        <w:tc>
          <w:tcPr/>
          <w:p>
            <w:pPr>
              <w:pStyle w:val="Compact"/>
            </w:pPr>
            <w:r>
              <w:t xml:space="preserve">Nabla reduced time-in-note vs control by</w:t>
            </w:r>
            <w:r>
              <w:t xml:space="preserve"> </w:t>
            </w:r>
            <w:r>
              <w:rPr>
                <w:b/>
                <w:bCs/>
              </w:rPr>
              <w:t xml:space="preserve">−9.5%</w:t>
            </w:r>
            <w:r>
              <w:t xml:space="preserve"> </w:t>
            </w:r>
            <w:r>
              <w:t xml:space="preserve">(95% CI −17.2 to −1.8; P=0.02); DAX vs control</w:t>
            </w:r>
            <w:r>
              <w:t xml:space="preserve"> </w:t>
            </w:r>
            <w:r>
              <w:rPr>
                <w:b/>
                <w:bCs/>
              </w:rPr>
              <w:t xml:space="preserve">−1.7%</w:t>
            </w:r>
            <w:r>
              <w:t xml:space="preserve"> </w:t>
            </w:r>
            <w:r>
              <w:t xml:space="preserve">(95% CI −9.4 to +5.9; P=0.66). Occasional clinically significant inaccuracies were reported on Likert scales (means ~2.7–2.8/5).</w:t>
            </w:r>
            <w:r>
              <w:t xml:space="preserve"> </w:t>
            </w:r>
            <w:hyperlink r:id="rId23">
              <w:r>
                <w:rPr>
                  <w:rStyle w:val="Hyperlink"/>
                </w:rPr>
                <w:t xml:space="preserve">[23]</w:t>
              </w:r>
            </w:hyperlink>
          </w:p>
        </w:tc>
        <w:tc>
          <w:tcPr/>
          <w:p>
            <w:pPr>
              <w:pStyle w:val="Compact"/>
            </w:pPr>
            <w:r>
              <w:t xml:space="preserve">If one compares the “5 min per encounter” claim to the within-group observed changes in time-in-note (tens of seconds), realised</w:t>
            </w:r>
            <w:r>
              <w:t xml:space="preserve"> </w:t>
            </w:r>
            <w:r>
              <w:rPr>
                <w:i/>
                <w:iCs/>
              </w:rPr>
              <w:t xml:space="preserve">note-writing time</w:t>
            </w:r>
            <w:r>
              <w:t xml:space="preserve"> </w:t>
            </w:r>
            <w:r>
              <w:t xml:space="preserve">reductions appear far smaller than “minutes-per-encounter” messaging; additionally, DAX’s RCT effect is statistically indistinguishable from control. (This is partly a metric mismatch: “time-in-note” ≠ “all documentation time”.)</w:t>
            </w:r>
            <w:r>
              <w:t xml:space="preserve"> </w:t>
            </w:r>
            <w:hyperlink r:id="rId23">
              <w:r>
                <w:rPr>
                  <w:rStyle w:val="Hyperlink"/>
                </w:rPr>
                <w:t xml:space="preserve">[24]</w:t>
              </w:r>
            </w:hyperlink>
          </w:p>
        </w:tc>
        <w:tc>
          <w:tcPr/>
          <w:p>
            <w:pPr>
              <w:pStyle w:val="Compact"/>
            </w:pPr>
            <w:r>
              <w:t xml:space="preserve">Partial adoption (tool used in ~30% of visits; some never used) and workflow friction are explicit contextual factors; users also rated “notes at least as good as my own” near neutral, signalling non-trivial editing/review.</w:t>
            </w:r>
            <w:r>
              <w:t xml:space="preserve"> </w:t>
            </w:r>
            <w:hyperlink r:id="rId23">
              <w:r>
                <w:rPr>
                  <w:rStyle w:val="Hyperlink"/>
                </w:rPr>
                <w:t xml:space="preserve">[20]</w:t>
              </w:r>
            </w:hyperlink>
          </w:p>
        </w:tc>
      </w:tr>
      <w:tr>
        <w:tc>
          <w:tcPr/>
          <w:p>
            <w:pPr>
              <w:pStyle w:val="Compact"/>
            </w:pPr>
            <w:r>
              <w:t xml:space="preserve">DAX cohort in integrated delivery system</w:t>
            </w:r>
          </w:p>
        </w:tc>
        <w:tc>
          <w:tcPr/>
          <w:p>
            <w:pPr>
              <w:pStyle w:val="Compact"/>
            </w:pPr>
            <w:r>
              <w:t xml:space="preserve">Clinical documentation agent (hybrid AI + human review)</w:t>
            </w:r>
          </w:p>
        </w:tc>
        <w:tc>
          <w:tcPr/>
          <w:p>
            <w:pPr>
              <w:pStyle w:val="Compact"/>
            </w:pPr>
            <w:r>
              <w:t xml:space="preserve">99 providers; 12 specialties; matched controls</w:t>
            </w:r>
          </w:p>
        </w:tc>
        <w:tc>
          <w:tcPr/>
          <w:p>
            <w:pPr>
              <w:pStyle w:val="Compact"/>
            </w:pPr>
            <w:r>
              <w:t xml:space="preserve">Peer-matched controlled cohort (March–Sept 2022)</w:t>
            </w:r>
          </w:p>
        </w:tc>
        <w:tc>
          <w:tcPr/>
          <w:p>
            <w:pPr>
              <w:pStyle w:val="Compact"/>
            </w:pPr>
            <w:r>
              <w:t xml:space="preserve">Tool was selected “to save the provider time spent in documentation.”</w:t>
            </w:r>
            <w:r>
              <w:t xml:space="preserve"> </w:t>
            </w:r>
            <w:hyperlink r:id="rId30">
              <w:r>
                <w:rPr>
                  <w:rStyle w:val="Hyperlink"/>
                </w:rPr>
                <w:t xml:space="preserve">[25]</w:t>
              </w:r>
            </w:hyperlink>
          </w:p>
        </w:tc>
        <w:tc>
          <w:tcPr/>
          <w:p>
            <w:pPr>
              <w:pStyle w:val="Compact"/>
            </w:pPr>
            <w:r>
              <w:t xml:space="preserve">Documentation EHR time fell from</w:t>
            </w:r>
            <w:r>
              <w:t xml:space="preserve"> </w:t>
            </w:r>
            <w:r>
              <w:rPr>
                <w:b/>
                <w:bCs/>
              </w:rPr>
              <w:t xml:space="preserve">5.3 to 4.54 min/patient</w:t>
            </w:r>
            <w:r>
              <w:t xml:space="preserve"> </w:t>
            </w:r>
            <w:r>
              <w:t xml:space="preserve">(P&lt;0.001) in DAX group; after-hours EHR share worsened significantly (+4.69% vs baseline); median utilisation ~47% among active participants.</w:t>
            </w:r>
            <w:r>
              <w:t xml:space="preserve"> </w:t>
            </w:r>
            <w:hyperlink r:id="rId30">
              <w:r>
                <w:rPr>
                  <w:rStyle w:val="Hyperlink"/>
                </w:rPr>
                <w:t xml:space="preserve">[26]</w:t>
              </w:r>
            </w:hyperlink>
          </w:p>
        </w:tc>
        <w:tc>
          <w:tcPr/>
          <w:p>
            <w:pPr>
              <w:pStyle w:val="Compact"/>
            </w:pPr>
            <w:r>
              <w:t xml:space="preserve">Time savings were</w:t>
            </w:r>
            <w:r>
              <w:t xml:space="preserve"> </w:t>
            </w:r>
            <w:r>
              <w:rPr>
                <w:b/>
                <w:bCs/>
              </w:rPr>
              <w:t xml:space="preserve">~0.76 minutes/patient</w:t>
            </w:r>
            <w:r>
              <w:t xml:space="preserve"> </w:t>
            </w:r>
            <w:r>
              <w:t xml:space="preserve">(≈46 seconds) on the documentation-time metric used; simultaneously, after-hours EHR worsened, showing a</w:t>
            </w:r>
            <w:r>
              <w:t xml:space="preserve"> </w:t>
            </w:r>
            <w:r>
              <w:rPr>
                <w:i/>
                <w:iCs/>
              </w:rPr>
              <w:t xml:space="preserve">time-shifting</w:t>
            </w:r>
            <w:r>
              <w:t xml:space="preserve"> </w:t>
            </w:r>
            <w:r>
              <w:t xml:space="preserve">risk rather than uniform savings.</w:t>
            </w:r>
            <w:r>
              <w:t xml:space="preserve"> </w:t>
            </w:r>
            <w:hyperlink r:id="rId30">
              <w:r>
                <w:rPr>
                  <w:rStyle w:val="Hyperlink"/>
                </w:rPr>
                <w:t xml:space="preserve">[27]</w:t>
              </w:r>
            </w:hyperlink>
          </w:p>
        </w:tc>
        <w:tc>
          <w:tcPr/>
          <w:p>
            <w:pPr>
              <w:pStyle w:val="Compact"/>
            </w:pPr>
            <w:r>
              <w:t xml:space="preserve">The workflow includes a human quality reviewer editing drafts and routing to clinicians, adding potential latency and coordination load; low utilisation/attrition was non-trivial (licenses removed for low utilisation; some stopped entirely).</w:t>
            </w:r>
            <w:r>
              <w:t xml:space="preserve"> </w:t>
            </w:r>
            <w:hyperlink r:id="rId30">
              <w:r>
                <w:rPr>
                  <w:rStyle w:val="Hyperlink"/>
                </w:rPr>
                <w:t xml:space="preserve">[25]</w:t>
              </w:r>
            </w:hyperlink>
          </w:p>
        </w:tc>
      </w:tr>
      <w:tr>
        <w:tc>
          <w:tcPr/>
          <w:p>
            <w:pPr>
              <w:pStyle w:val="Compact"/>
            </w:pPr>
            <w:r>
              <w:t xml:space="preserve">Abridge ambient listening in primary care (large-scale pre/post)</w:t>
            </w:r>
          </w:p>
        </w:tc>
        <w:tc>
          <w:tcPr/>
          <w:p>
            <w:pPr>
              <w:pStyle w:val="Compact"/>
            </w:pPr>
            <w:r>
              <w:t xml:space="preserve">Clinical documentation agent</w:t>
            </w:r>
          </w:p>
        </w:tc>
        <w:tc>
          <w:tcPr/>
          <w:p>
            <w:pPr>
              <w:pStyle w:val="Compact"/>
            </w:pPr>
            <w:r>
              <w:t xml:space="preserve">332 physicians with matched pre/post “time in notes” data; broader dataset 582 physicians</w:t>
            </w:r>
          </w:p>
        </w:tc>
        <w:tc>
          <w:tcPr/>
          <w:p>
            <w:pPr>
              <w:pStyle w:val="Compact"/>
            </w:pPr>
            <w:r>
              <w:t xml:space="preserve">Pre/post matched pairs using EHR metric “time in notes per note”</w:t>
            </w:r>
          </w:p>
        </w:tc>
        <w:tc>
          <w:tcPr/>
          <w:p>
            <w:pPr>
              <w:pStyle w:val="Compact"/>
            </w:pPr>
            <w:r>
              <w:t xml:space="preserve">Not a numeric expectation study; baseline exists and time savings are often assumed to translate to capacity/relief</w:t>
            </w:r>
          </w:p>
        </w:tc>
        <w:tc>
          <w:tcPr/>
          <w:p>
            <w:pPr>
              <w:pStyle w:val="Compact"/>
            </w:pPr>
            <w:r>
              <w:t xml:space="preserve">Mean time in notes per note fell from</w:t>
            </w:r>
            <w:r>
              <w:t xml:space="preserve"> </w:t>
            </w:r>
            <w:r>
              <w:rPr>
                <w:b/>
                <w:bCs/>
              </w:rPr>
              <w:t xml:space="preserve">5.11 to 4.16 minutes</w:t>
            </w:r>
            <w:r>
              <w:t xml:space="preserve">; mean difference</w:t>
            </w:r>
            <w:r>
              <w:t xml:space="preserve"> </w:t>
            </w:r>
            <w:r>
              <w:rPr>
                <w:b/>
                <w:bCs/>
              </w:rPr>
              <w:t xml:space="preserve">0.95 minutes</w:t>
            </w:r>
            <w:r>
              <w:t xml:space="preserve"> </w:t>
            </w:r>
            <w:r>
              <w:t xml:space="preserve">(95% CI 0.48–1.42; P&lt;0.0001).</w:t>
            </w:r>
            <w:r>
              <w:t xml:space="preserve"> </w:t>
            </w:r>
            <w:hyperlink r:id="rId33">
              <w:r>
                <w:rPr>
                  <w:rStyle w:val="Hyperlink"/>
                </w:rPr>
                <w:t xml:space="preserve">[28]</w:t>
              </w:r>
            </w:hyperlink>
          </w:p>
        </w:tc>
        <w:tc>
          <w:tcPr/>
          <w:p>
            <w:pPr>
              <w:pStyle w:val="Compact"/>
            </w:pPr>
            <w:r>
              <w:t xml:space="preserve">Realised time savings are &lt;1 minute per note on this metric, substantially less than “multi-minute per encounter” narratives, but non-trivial at scale depending on visit volume.</w:t>
            </w:r>
            <w:r>
              <w:t xml:space="preserve"> </w:t>
            </w:r>
            <w:hyperlink r:id="rId33">
              <w:r>
                <w:rPr>
                  <w:rStyle w:val="Hyperlink"/>
                </w:rPr>
                <w:t xml:space="preserve">[28]</w:t>
              </w:r>
            </w:hyperlink>
          </w:p>
        </w:tc>
        <w:tc>
          <w:tcPr/>
          <w:p>
            <w:pPr>
              <w:pStyle w:val="Compact"/>
            </w:pPr>
            <w:r>
              <w:t xml:space="preserve">Highlights dose–response style effects (greater tool-attributed note content with time), plus similarity to other tools’ sub-minute savings; implies learning curve and heterogeneity.</w:t>
            </w:r>
            <w:r>
              <w:t xml:space="preserve"> </w:t>
            </w:r>
            <w:hyperlink r:id="rId33">
              <w:r>
                <w:rPr>
                  <w:rStyle w:val="Hyperlink"/>
                </w:rPr>
                <w:t xml:space="preserve">[28]</w:t>
              </w:r>
            </w:hyperlink>
          </w:p>
        </w:tc>
      </w:tr>
      <w:tr>
        <w:tc>
          <w:tcPr/>
          <w:p>
            <w:pPr>
              <w:pStyle w:val="Compact"/>
            </w:pPr>
            <w:r>
              <w:t xml:space="preserve">Subjective vs objective impacts of ambulatory AI scribes (DocTime)</w:t>
            </w:r>
          </w:p>
        </w:tc>
        <w:tc>
          <w:tcPr/>
          <w:p>
            <w:pPr>
              <w:pStyle w:val="Compact"/>
            </w:pPr>
            <w:r>
              <w:t xml:space="preserve">Clinical documentation agent</w:t>
            </w:r>
          </w:p>
        </w:tc>
        <w:tc>
          <w:tcPr/>
          <w:p>
            <w:pPr>
              <w:pStyle w:val="Compact"/>
            </w:pPr>
            <w:r>
              <w:t xml:space="preserve">252 physicians with survey data; objective DocTime tracked 12 weeks after adoption</w:t>
            </w:r>
          </w:p>
        </w:tc>
        <w:tc>
          <w:tcPr/>
          <w:p>
            <w:pPr>
              <w:pStyle w:val="Compact"/>
            </w:pPr>
            <w:r>
              <w:t xml:space="preserve">Observational: ordered logit + multivariate regression</w:t>
            </w:r>
          </w:p>
        </w:tc>
        <w:tc>
          <w:tcPr/>
          <w:p>
            <w:pPr>
              <w:pStyle w:val="Compact"/>
            </w:pPr>
            <w:r>
              <w:t xml:space="preserve">86.5% of physicians</w:t>
            </w:r>
            <w:r>
              <w:t xml:space="preserve"> </w:t>
            </w:r>
            <w:r>
              <w:rPr>
                <w:b/>
                <w:bCs/>
              </w:rPr>
              <w:t xml:space="preserve">perceived</w:t>
            </w:r>
            <w:r>
              <w:t xml:space="preserve"> </w:t>
            </w:r>
            <w:r>
              <w:t xml:space="preserve">DocTime reductions (subjective expectation/interpretation).</w:t>
            </w:r>
            <w:r>
              <w:t xml:space="preserve"> </w:t>
            </w:r>
            <w:hyperlink r:id="rId29">
              <w:r>
                <w:rPr>
                  <w:rStyle w:val="Hyperlink"/>
                </w:rPr>
                <w:t xml:space="preserve">[11]</w:t>
              </w:r>
            </w:hyperlink>
          </w:p>
        </w:tc>
        <w:tc>
          <w:tcPr/>
          <w:p>
            <w:pPr>
              <w:pStyle w:val="Compact"/>
            </w:pPr>
            <w:r>
              <w:t xml:space="preserve">No overall association between perceived reductions and actual DocTime change (OR 0.975; P=0.144). Objective effect: each +10% encounters using AI scribe associated with ~</w:t>
            </w:r>
            <w:r>
              <w:rPr>
                <w:b/>
                <w:bCs/>
              </w:rPr>
              <w:t xml:space="preserve">30 seconds lower DocTime per scheduled hour</w:t>
            </w:r>
            <w:r>
              <w:t xml:space="preserve"> </w:t>
            </w:r>
            <w:r>
              <w:t xml:space="preserve">(P&lt;0.001).</w:t>
            </w:r>
            <w:r>
              <w:t xml:space="preserve"> </w:t>
            </w:r>
            <w:hyperlink r:id="rId29">
              <w:r>
                <w:rPr>
                  <w:rStyle w:val="Hyperlink"/>
                </w:rPr>
                <w:t xml:space="preserve">[11]</w:t>
              </w:r>
            </w:hyperlink>
          </w:p>
        </w:tc>
        <w:tc>
          <w:tcPr/>
          <w:p>
            <w:pPr>
              <w:pStyle w:val="Compact"/>
            </w:pPr>
            <w:r>
              <w:t xml:space="preserve">A clear perception–reality mismatch: most believe time fell, but measured change is modest on average and concentrated among specific subgroups (less efficient baseline documenters).</w:t>
            </w:r>
            <w:r>
              <w:t xml:space="preserve"> </w:t>
            </w:r>
            <w:hyperlink r:id="rId29">
              <w:r>
                <w:rPr>
                  <w:rStyle w:val="Hyperlink"/>
                </w:rPr>
                <w:t xml:space="preserve">[11]</w:t>
              </w:r>
            </w:hyperlink>
          </w:p>
        </w:tc>
        <w:tc>
          <w:tcPr/>
          <w:p>
            <w:pPr>
              <w:pStyle w:val="Compact"/>
            </w:pPr>
            <w:r>
              <w:t xml:space="preserve">Baseline documentation inefficiency moderates benefit; adoption intensity matters, reinforcing that average “headline” savings can conceal strong heterogeneity.</w:t>
            </w:r>
            <w:r>
              <w:t xml:space="preserve"> </w:t>
            </w:r>
            <w:hyperlink r:id="rId29">
              <w:r>
                <w:rPr>
                  <w:rStyle w:val="Hyperlink"/>
                </w:rPr>
                <w:t xml:space="preserve">[11]</w:t>
              </w:r>
            </w:hyperlink>
          </w:p>
        </w:tc>
      </w:tr>
    </w:tbl>
    <w:bookmarkEnd w:id="34"/>
    <w:bookmarkStart w:id="36" w:name="X9e933e36db9f13e161093bff442fd8a98fb0d36"/>
    <w:p>
      <w:pPr>
        <w:pStyle w:val="Heading3"/>
      </w:pPr>
      <w:r>
        <w:t xml:space="preserve">Economic impact, time-on-task, and productivity metrics</w:t>
      </w:r>
    </w:p>
    <w:p>
      <w:pPr>
        <w:pStyle w:val="FirstParagraph"/>
      </w:pPr>
      <w:r>
        <w:t xml:space="preserve">Direct “cost savings vs projected” figures are rarely reported in the peer-reviewed studies above; instead, the literature typically reports</w:t>
      </w:r>
      <w:r>
        <w:t xml:space="preserve"> </w:t>
      </w:r>
      <w:r>
        <w:rPr>
          <w:b/>
          <w:bCs/>
        </w:rPr>
        <w:t xml:space="preserve">time-in-note</w:t>
      </w:r>
      <w:r>
        <w:t xml:space="preserve">,</w:t>
      </w:r>
      <w:r>
        <w:t xml:space="preserve"> </w:t>
      </w:r>
      <w:r>
        <w:rPr>
          <w:b/>
          <w:bCs/>
        </w:rPr>
        <w:t xml:space="preserve">after-hours EHR</w:t>
      </w:r>
      <w:r>
        <w:t xml:space="preserve">, and occasionally</w:t>
      </w:r>
      <w:r>
        <w:t xml:space="preserve"> </w:t>
      </w:r>
      <w:r>
        <w:rPr>
          <w:b/>
          <w:bCs/>
        </w:rPr>
        <w:t xml:space="preserve">productivity proxies</w:t>
      </w:r>
      <w:r>
        <w:t xml:space="preserve"> </w:t>
      </w:r>
      <w:r>
        <w:t xml:space="preserve">such as wRVUs.</w:t>
      </w:r>
      <w:r>
        <w:t xml:space="preserve"> </w:t>
      </w:r>
      <w:hyperlink r:id="rId30">
        <w:r>
          <w:rPr>
            <w:rStyle w:val="Hyperlink"/>
          </w:rPr>
          <w:t xml:space="preserve">[29]</w:t>
        </w:r>
      </w:hyperlink>
    </w:p>
    <w:p>
      <w:pPr>
        <w:pStyle w:val="BodyText"/>
      </w:pPr>
      <w:r>
        <w:t xml:space="preserve">The DAX cohort observed a statistically significant reduction in documentation EHR time per patient alongside a statistically significant worsening in after-hours EHR share, implying that “time saved” can be partly offset by</w:t>
      </w:r>
      <w:r>
        <w:t xml:space="preserve"> </w:t>
      </w:r>
      <w:r>
        <w:rPr>
          <w:b/>
          <w:bCs/>
        </w:rPr>
        <w:t xml:space="preserve">time reallocated to review/coordination</w:t>
      </w:r>
      <w:r>
        <w:t xml:space="preserve"> </w:t>
      </w:r>
      <w:r>
        <w:t xml:space="preserve">or by workflow-induced delays.</w:t>
      </w:r>
      <w:r>
        <w:t xml:space="preserve"> </w:t>
      </w:r>
      <w:hyperlink r:id="rId30">
        <w:r>
          <w:rPr>
            <w:rStyle w:val="Hyperlink"/>
          </w:rPr>
          <w:t xml:space="preserve">[27]</w:t>
        </w:r>
      </w:hyperlink>
    </w:p>
    <w:p>
      <w:pPr>
        <w:pStyle w:val="BodyText"/>
      </w:pPr>
      <w:r>
        <w:t xml:space="preserve">Some evaluations do measure</w:t>
      </w:r>
      <w:r>
        <w:t xml:space="preserve"> </w:t>
      </w:r>
      <w:r>
        <w:rPr>
          <w:i/>
          <w:iCs/>
        </w:rPr>
        <w:t xml:space="preserve">perceived capacity expansion</w:t>
      </w:r>
      <w:r>
        <w:t xml:space="preserve">. For example, a multi-centre ambient scribe evaluation across six US health systems reported improved after-hours documentation time (mean [SE] difference 0.90 [0.19] hours) and a substantial burnout odds reduction (odds ratio 0.26; 95% CI 0.13–0.54) after 30 days, but also reported no statistically significant change in the number of additional patients clinicians could add to their schedules.</w:t>
      </w:r>
      <w:r>
        <w:t xml:space="preserve"> </w:t>
      </w:r>
      <w:hyperlink r:id="rId35">
        <w:r>
          <w:rPr>
            <w:rStyle w:val="Hyperlink"/>
          </w:rPr>
          <w:t xml:space="preserve">[30]</w:t>
        </w:r>
      </w:hyperlink>
    </w:p>
    <w:bookmarkEnd w:id="36"/>
    <w:bookmarkStart w:id="37" w:name="accuracy-error-satisfaction-and-trust"/>
    <w:p>
      <w:pPr>
        <w:pStyle w:val="Heading3"/>
      </w:pPr>
      <w:r>
        <w:t xml:space="preserve">Accuracy, error, satisfaction, and trust</w:t>
      </w:r>
    </w:p>
    <w:p>
      <w:pPr>
        <w:pStyle w:val="FirstParagraph"/>
      </w:pPr>
      <w:r>
        <w:t xml:space="preserve">The RCT explicitly elicited clinician-reported frequency of “clinically significant inaccuracy” and “bias,” with mean inaccuracy responses around “occasionally” and bias around “rarely,” and it also documented that users did</w:t>
      </w:r>
      <w:r>
        <w:t xml:space="preserve"> </w:t>
      </w:r>
      <w:r>
        <w:rPr>
          <w:b/>
          <w:bCs/>
        </w:rPr>
        <w:t xml:space="preserve">not</w:t>
      </w:r>
      <w:r>
        <w:t xml:space="preserve"> </w:t>
      </w:r>
      <w:r>
        <w:t xml:space="preserve">strongly endorse that generated notes were “at least as good as my own” (around neutral).</w:t>
      </w:r>
      <w:r>
        <w:t xml:space="preserve"> </w:t>
      </w:r>
      <w:hyperlink r:id="rId23">
        <w:r>
          <w:rPr>
            <w:rStyle w:val="Hyperlink"/>
          </w:rPr>
          <w:t xml:space="preserve">[23]</w:t>
        </w:r>
      </w:hyperlink>
    </w:p>
    <w:p>
      <w:pPr>
        <w:pStyle w:val="BodyText"/>
      </w:pPr>
      <w:r>
        <w:t xml:space="preserve">Patient acceptance appears high in the studies that report opt-out behaviour, but reported rates vary by consent mechanics and measurement. The RCT reported clinician-estimated patient decline rates averaging ~6–7% with wide SDs, while the DAX cohort’s tracked opt-outs were extremely rare relative to total encounters (0.014%).</w:t>
      </w:r>
      <w:r>
        <w:t xml:space="preserve"> </w:t>
      </w:r>
      <w:hyperlink r:id="rId23">
        <w:r>
          <w:rPr>
            <w:rStyle w:val="Hyperlink"/>
          </w:rPr>
          <w:t xml:space="preserve">[31]</w:t>
        </w:r>
      </w:hyperlink>
    </w:p>
    <w:bookmarkEnd w:id="37"/>
    <w:bookmarkEnd w:id="38"/>
    <w:bookmarkStart w:id="48" w:name="Xa5afc12a007d306300cd2c59db3ac1fe400356e"/>
    <w:p>
      <w:pPr>
        <w:pStyle w:val="Heading2"/>
      </w:pPr>
      <w:r>
        <w:t xml:space="preserve">Software development copilots and coding agents</w:t>
      </w:r>
    </w:p>
    <w:bookmarkStart w:id="39" w:name="Xbb94e0bb5e9f2dd0a5904425c47a359b80f2832"/>
    <w:p>
      <w:pPr>
        <w:pStyle w:val="Heading3"/>
      </w:pPr>
      <w:r>
        <w:t xml:space="preserve">Contrasting lab-measured outcomes with “in-the-wild” expectations</w:t>
      </w:r>
    </w:p>
    <w:p>
      <w:pPr>
        <w:pStyle w:val="FirstParagraph"/>
      </w:pPr>
      <w:r>
        <w:t xml:space="preserve">A central result across software agents is that</w:t>
      </w:r>
      <w:r>
        <w:t xml:space="preserve"> </w:t>
      </w:r>
      <w:r>
        <w:rPr>
          <w:b/>
          <w:bCs/>
        </w:rPr>
        <w:t xml:space="preserve">task realism and context</w:t>
      </w:r>
      <w:r>
        <w:t xml:space="preserve"> </w:t>
      </w:r>
      <w:r>
        <w:t xml:space="preserve">heavily determine whether expectations overshoot or undershoot.</w:t>
      </w:r>
    </w:p>
    <w:p>
      <w:pPr>
        <w:pStyle w:val="BodyText"/>
      </w:pPr>
      <w:r>
        <w:t xml:space="preserve">In a controlled trial of GitHub Copilot conducted before general availability (recruited via</w:t>
      </w:r>
      <w:r>
        <w:t xml:space="preserve"> </w:t>
      </w:r>
      <w:r>
        <w:rPr>
          <w:b/>
          <w:bCs/>
        </w:rPr>
        <w:t xml:space="preserve">Upwork</w:t>
      </w:r>
      <w:hyperlink r:id="rId21">
        <w:r>
          <w:rPr>
            <w:rStyle w:val="Hyperlink"/>
            <w:b/>
            <w:bCs/>
          </w:rPr>
          <w:t xml:space="preserve">[32]</w:t>
        </w:r>
      </w:hyperlink>
      <w:r>
        <w:t xml:space="preserve">), the treated group completed a standardised programming task 55.8% faster than control (95% CI 21–89%). In that experiment, participants’ self-estimated productivity gains averaged ~35%, which</w:t>
      </w:r>
      <w:r>
        <w:t xml:space="preserve"> </w:t>
      </w:r>
      <w:r>
        <w:rPr>
          <w:i/>
          <w:iCs/>
        </w:rPr>
        <w:t xml:space="preserve">underestimated</w:t>
      </w:r>
      <w:r>
        <w:t xml:space="preserve"> </w:t>
      </w:r>
      <w:r>
        <w:t xml:space="preserve">the realised speedup—showing that expectation gaps are not always “overhype”; they can also reflect under-calibration in new tools on narrow tasks.</w:t>
      </w:r>
      <w:r>
        <w:t xml:space="preserve"> </w:t>
      </w:r>
      <w:hyperlink r:id="rId22">
        <w:r>
          <w:rPr>
            <w:rStyle w:val="Hyperlink"/>
          </w:rPr>
          <w:t xml:space="preserve">[3]</w:t>
        </w:r>
      </w:hyperlink>
    </w:p>
    <w:p>
      <w:pPr>
        <w:pStyle w:val="BodyText"/>
      </w:pPr>
      <w:r>
        <w:t xml:space="preserve">By contrast,</w:t>
      </w:r>
      <w:r>
        <w:t xml:space="preserve"> </w:t>
      </w:r>
      <w:r>
        <w:rPr>
          <w:b/>
          <w:bCs/>
        </w:rPr>
        <w:t xml:space="preserve">in a high-context field-like RCT</w:t>
      </w:r>
      <w:r>
        <w:t xml:space="preserve"> </w:t>
      </w:r>
      <w:r>
        <w:t xml:space="preserve">(experienced open-source contributors working in repositories where they had ~5 years’ experience), the direction flips: developers forecast large speedups, but observed speed</w:t>
      </w:r>
      <w:r>
        <w:t xml:space="preserve"> </w:t>
      </w:r>
      <w:r>
        <w:rPr>
          <w:i/>
          <w:iCs/>
        </w:rPr>
        <w:t xml:space="preserve">decreases</w:t>
      </w:r>
      <w:r>
        <w:t xml:space="preserve">.</w:t>
      </w:r>
      <w:r>
        <w:t xml:space="preserve"> </w:t>
      </w:r>
      <w:hyperlink r:id="rId21">
        <w:r>
          <w:rPr>
            <w:rStyle w:val="Hyperlink"/>
          </w:rPr>
          <w:t xml:space="preserve">[2]</w:t>
        </w:r>
      </w:hyperlink>
    </w:p>
    <w:bookmarkEnd w:id="39"/>
    <w:bookmarkStart w:id="40" w:name="X01548f4622cfecf242defa2783493947f48cae2"/>
    <w:p>
      <w:pPr>
        <w:pStyle w:val="Heading3"/>
      </w:pPr>
      <w:r>
        <w:t xml:space="preserve">Core expectation–realisation comparisons in software</w:t>
      </w:r>
    </w:p>
    <w:p>
      <w:pPr>
        <w:pStyle w:val="SourceCode"/>
      </w:pPr>
      <w:r>
        <w:rPr>
          <w:rStyle w:val="VerbatimChar"/>
        </w:rPr>
        <w:t xml:space="preserve">xychart-beta</w:t>
      </w:r>
      <w:r>
        <w:br/>
      </w:r>
      <w:r>
        <w:rPr>
          <w:rStyle w:val="VerbatimChar"/>
        </w:rPr>
        <w:t xml:space="preserve">title "Software development: expected vs realised percentage change in completion time"</w:t>
      </w:r>
      <w:r>
        <w:br/>
      </w:r>
      <w:r>
        <w:rPr>
          <w:rStyle w:val="VerbatimChar"/>
        </w:rPr>
        <w:t xml:space="preserve">x-axis ["METR RCT (experienced OSS devs)", "Copilot lab RCT (Upwork devs)"]</w:t>
      </w:r>
      <w:r>
        <w:br/>
      </w:r>
      <w:r>
        <w:rPr>
          <w:rStyle w:val="VerbatimChar"/>
        </w:rPr>
        <w:t xml:space="preserve">y-axis "% faster (negative = slower)" -25 --&gt; 60</w:t>
      </w:r>
      <w:r>
        <w:br/>
      </w:r>
      <w:r>
        <w:rPr>
          <w:rStyle w:val="VerbatimChar"/>
        </w:rPr>
        <w:t xml:space="preserve">bar "Expected" [24, 35]</w:t>
      </w:r>
      <w:r>
        <w:br/>
      </w:r>
      <w:r>
        <w:rPr>
          <w:rStyle w:val="VerbatimChar"/>
        </w:rPr>
        <w:t xml:space="preserve">bar "Realised" [-19, 55.8]</w:t>
      </w:r>
    </w:p>
    <w:p>
      <w:pPr>
        <w:pStyle w:val="FirstParagraph"/>
      </w:pPr>
      <w:r>
        <w:t xml:space="preserve">The METR values come from pre-task participant forecasts vs observed completion times.</w:t>
      </w:r>
      <w:r>
        <w:t xml:space="preserve"> </w:t>
      </w:r>
      <w:hyperlink r:id="rId21">
        <w:r>
          <w:rPr>
            <w:rStyle w:val="Hyperlink"/>
          </w:rPr>
          <w:t xml:space="preserve">[2]</w:t>
        </w:r>
      </w:hyperlink>
      <w:r>
        <w:br/>
      </w:r>
      <w:r>
        <w:t xml:space="preserve">The Copilot lab “Expected” is participants’ average self-estimated gain; “Realised” is measured time reduction with 95% CI reported.</w:t>
      </w:r>
      <w:r>
        <w:t xml:space="preserve"> </w:t>
      </w:r>
      <w:hyperlink r:id="rId22">
        <w:r>
          <w:rPr>
            <w:rStyle w:val="Hyperlink"/>
          </w:rPr>
          <w:t xml:space="preserve">[3]</w:t>
        </w:r>
      </w:hyperlink>
    </w:p>
    <w:p>
      <w:pPr>
        <w:pStyle w:val="BodyText"/>
      </w:pPr>
      <w:r>
        <w:t xml:space="preserve">A compact quantitative interpretation of these gaps:</w:t>
      </w:r>
    </w:p>
    <w:p>
      <w:pPr>
        <w:pStyle w:val="Compact"/>
        <w:numPr>
          <w:ilvl w:val="0"/>
          <w:numId w:val="1003"/>
        </w:numPr>
      </w:pPr>
      <w:r>
        <w:rPr>
          <w:b/>
          <w:bCs/>
        </w:rPr>
        <w:t xml:space="preserve">METR RCT</w:t>
      </w:r>
      <w:r>
        <w:t xml:space="preserve">: expected completion time factor 0.76 vs realised 1.19 → tasks took ~</w:t>
      </w:r>
      <w:r>
        <w:rPr>
          <w:b/>
          <w:bCs/>
        </w:rPr>
        <w:t xml:space="preserve">56% longer than expected</w:t>
      </w:r>
      <w:r>
        <w:t xml:space="preserve"> </w:t>
      </w:r>
      <w:r>
        <w:t xml:space="preserve">(1.19/0.76 ≈ 1.57).</w:t>
      </w:r>
      <w:r>
        <w:t xml:space="preserve"> </w:t>
      </w:r>
      <w:hyperlink r:id="rId21">
        <w:r>
          <w:rPr>
            <w:rStyle w:val="Hyperlink"/>
          </w:rPr>
          <w:t xml:space="preserve">[2]</w:t>
        </w:r>
      </w:hyperlink>
    </w:p>
    <w:p>
      <w:pPr>
        <w:pStyle w:val="Compact"/>
        <w:numPr>
          <w:ilvl w:val="0"/>
          <w:numId w:val="1003"/>
        </w:numPr>
      </w:pPr>
      <w:r>
        <w:rPr>
          <w:b/>
          <w:bCs/>
        </w:rPr>
        <w:t xml:space="preserve">Copilot lab</w:t>
      </w:r>
      <w:r>
        <w:t xml:space="preserve">: expected 35% vs realised 55.8% speedup → realised ~</w:t>
      </w:r>
      <w:r>
        <w:rPr>
          <w:b/>
          <w:bCs/>
        </w:rPr>
        <w:t xml:space="preserve">1.59×</w:t>
      </w:r>
      <w:r>
        <w:t xml:space="preserve"> </w:t>
      </w:r>
      <w:r>
        <w:t xml:space="preserve">the expected gain on that task.</w:t>
      </w:r>
      <w:r>
        <w:t xml:space="preserve"> </w:t>
      </w:r>
      <w:hyperlink r:id="rId22">
        <w:r>
          <w:rPr>
            <w:rStyle w:val="Hyperlink"/>
          </w:rPr>
          <w:t xml:space="preserve">[3]</w:t>
        </w:r>
      </w:hyperlink>
    </w:p>
    <w:bookmarkEnd w:id="40"/>
    <w:bookmarkStart w:id="42" w:name="Xd05b57470e41658484b0f73d6dbcd1f979e38fe"/>
    <w:p>
      <w:pPr>
        <w:pStyle w:val="Heading3"/>
      </w:pPr>
      <w:r>
        <w:t xml:space="preserve">Field evidence on workplace output metrics</w:t>
      </w:r>
    </w:p>
    <w:p>
      <w:pPr>
        <w:pStyle w:val="FirstParagraph"/>
      </w:pPr>
      <w:r>
        <w:t xml:space="preserve">Rigorous field RCTs with deep organisational telemetry are less commonly available publicly, but a published early release of two corporate field experiments reports that developers assigned to Copilot completed</w:t>
      </w:r>
      <w:r>
        <w:t xml:space="preserve"> </w:t>
      </w:r>
      <w:r>
        <w:rPr>
          <w:b/>
          <w:bCs/>
        </w:rPr>
        <w:t xml:space="preserve">~12.9–21.8% more pull requests per week at Microsoft</w:t>
      </w:r>
      <w:r>
        <w:t xml:space="preserve"> </w:t>
      </w:r>
      <w:r>
        <w:t xml:space="preserve">and</w:t>
      </w:r>
      <w:r>
        <w:t xml:space="preserve"> </w:t>
      </w:r>
      <w:r>
        <w:rPr>
          <w:b/>
          <w:bCs/>
        </w:rPr>
        <w:t xml:space="preserve">~7.5–8.7% more at Accenture</w:t>
      </w:r>
      <w:r>
        <w:t xml:space="preserve">, with the authors emphasising imprecision and threats to inference (low compliance, organisational changes).</w:t>
      </w:r>
      <w:r>
        <w:t xml:space="preserve"> </w:t>
      </w:r>
      <w:hyperlink r:id="rId41">
        <w:r>
          <w:rPr>
            <w:rStyle w:val="Hyperlink"/>
          </w:rPr>
          <w:t xml:space="preserve">[33]</w:t>
        </w:r>
      </w:hyperlink>
    </w:p>
    <w:p>
      <w:pPr>
        <w:pStyle w:val="BodyText"/>
      </w:pPr>
      <w:r>
        <w:t xml:space="preserve">This is not directly commensurate with “time-to-complete” lab metrics, but it illustrates a frequent manuscript-relevant point:</w:t>
      </w:r>
      <w:r>
        <w:t xml:space="preserve"> </w:t>
      </w:r>
      <w:r>
        <w:rPr>
          <w:b/>
          <w:bCs/>
        </w:rPr>
        <w:t xml:space="preserve">the numerator changes</w:t>
      </w:r>
      <w:r>
        <w:t xml:space="preserve"> </w:t>
      </w:r>
      <w:r>
        <w:t xml:space="preserve">(PRs, commits, tasks) are not straightforward welfare measures unless paired with quality and review-cost accounting.</w:t>
      </w:r>
      <w:r>
        <w:t xml:space="preserve"> </w:t>
      </w:r>
      <w:hyperlink r:id="rId41">
        <w:r>
          <w:rPr>
            <w:rStyle w:val="Hyperlink"/>
          </w:rPr>
          <w:t xml:space="preserve">[33]</w:t>
        </w:r>
      </w:hyperlink>
    </w:p>
    <w:bookmarkEnd w:id="42"/>
    <w:bookmarkStart w:id="45" w:name="X9c7e42421ee042188e2989fbe3622d96de93b3c"/>
    <w:p>
      <w:pPr>
        <w:pStyle w:val="Heading3"/>
      </w:pPr>
      <w:r>
        <w:t xml:space="preserve">Accuracy, error rates, and downstream risk in coding agents</w:t>
      </w:r>
    </w:p>
    <w:p>
      <w:pPr>
        <w:pStyle w:val="FirstParagraph"/>
      </w:pPr>
      <w:r>
        <w:t xml:space="preserve">A major axis of expectation vs realised outcomes for software copilots is</w:t>
      </w:r>
      <w:r>
        <w:t xml:space="preserve"> </w:t>
      </w:r>
      <w:r>
        <w:rPr>
          <w:b/>
          <w:bCs/>
        </w:rPr>
        <w:t xml:space="preserve">code quality and security</w:t>
      </w:r>
      <w:r>
        <w:t xml:space="preserve">: expectations often presume quality improvements, while empirical work repeatedly finds non-trivial vulnerability risk and “replication” of insecure patterns.</w:t>
      </w:r>
    </w:p>
    <w:p>
      <w:pPr>
        <w:pStyle w:val="BodyText"/>
      </w:pPr>
      <w:r>
        <w:t xml:space="preserve">Peer-reviewed and preprint evidence includes:</w:t>
      </w:r>
    </w:p>
    <w:p>
      <w:pPr>
        <w:pStyle w:val="Compact"/>
        <w:numPr>
          <w:ilvl w:val="0"/>
          <w:numId w:val="1004"/>
        </w:numPr>
      </w:pPr>
      <w:r>
        <w:t xml:space="preserve">A comparative security analysis concludes Copilot can replicate vulnerable code; reported replication rates include vulnerable-code replication on the order of</w:t>
      </w:r>
      <w:r>
        <w:t xml:space="preserve"> </w:t>
      </w:r>
      <w:r>
        <w:rPr>
          <w:b/>
          <w:bCs/>
        </w:rPr>
        <w:t xml:space="preserve">~33%</w:t>
      </w:r>
      <w:r>
        <w:t xml:space="preserve"> </w:t>
      </w:r>
      <w:r>
        <w:t xml:space="preserve">and fixed-code replication around</w:t>
      </w:r>
      <w:r>
        <w:t xml:space="preserve"> </w:t>
      </w:r>
      <w:r>
        <w:rPr>
          <w:b/>
          <w:bCs/>
        </w:rPr>
        <w:t xml:space="preserve">~25%</w:t>
      </w:r>
      <w:r>
        <w:t xml:space="preserve"> </w:t>
      </w:r>
      <w:r>
        <w:t xml:space="preserve">in the scenarios studied, underscoring that “completion” can reproduce known-bad patterns rather than robustly repair them.</w:t>
      </w:r>
      <w:r>
        <w:t xml:space="preserve"> </w:t>
      </w:r>
      <w:hyperlink r:id="rId43">
        <w:r>
          <w:rPr>
            <w:rStyle w:val="Hyperlink"/>
          </w:rPr>
          <w:t xml:space="preserve">[34]</w:t>
        </w:r>
      </w:hyperlink>
    </w:p>
    <w:p>
      <w:pPr>
        <w:pStyle w:val="Compact"/>
        <w:numPr>
          <w:ilvl w:val="0"/>
          <w:numId w:val="1004"/>
        </w:numPr>
      </w:pPr>
      <w:r>
        <w:t xml:space="preserve">A large-scale empirical analysis of Copilot-generated snippets found substantial proportions flagged with security issues (e.g.,</w:t>
      </w:r>
      <w:r>
        <w:t xml:space="preserve"> </w:t>
      </w:r>
      <w:r>
        <w:rPr>
          <w:b/>
          <w:bCs/>
        </w:rPr>
        <w:t xml:space="preserve">32.8%</w:t>
      </w:r>
      <w:r>
        <w:t xml:space="preserve"> </w:t>
      </w:r>
      <w:r>
        <w:t xml:space="preserve">of Python and</w:t>
      </w:r>
      <w:r>
        <w:t xml:space="preserve"> </w:t>
      </w:r>
      <w:r>
        <w:rPr>
          <w:b/>
          <w:bCs/>
        </w:rPr>
        <w:t xml:space="preserve">24.5%</w:t>
      </w:r>
      <w:r>
        <w:t xml:space="preserve"> </w:t>
      </w:r>
      <w:r>
        <w:t xml:space="preserve">of JavaScript snippets affected in their dataset).</w:t>
      </w:r>
      <w:r>
        <w:t xml:space="preserve"> </w:t>
      </w:r>
      <w:hyperlink r:id="rId44">
        <w:r>
          <w:rPr>
            <w:rStyle w:val="Hyperlink"/>
          </w:rPr>
          <w:t xml:space="preserve">[35]</w:t>
        </w:r>
      </w:hyperlink>
    </w:p>
    <w:p>
      <w:pPr>
        <w:pStyle w:val="Compact"/>
        <w:numPr>
          <w:ilvl w:val="0"/>
          <w:numId w:val="1004"/>
        </w:numPr>
      </w:pPr>
      <w:r>
        <w:t xml:space="preserve">Vendor-facing guidance itself cautions that AI-generated code may be syntactically correct without being secure and recommends secure coding and review practices, reflecting recognition that quality and safety do not follow automatically from faster generation.</w:t>
      </w:r>
      <w:r>
        <w:t xml:space="preserve"> </w:t>
      </w:r>
      <w:hyperlink r:id="rId25">
        <w:r>
          <w:rPr>
            <w:rStyle w:val="Hyperlink"/>
          </w:rPr>
          <w:t xml:space="preserve">[36]</w:t>
        </w:r>
      </w:hyperlink>
    </w:p>
    <w:p>
      <w:pPr>
        <w:pStyle w:val="FirstParagraph"/>
      </w:pPr>
      <w:r>
        <w:t xml:space="preserve">From an expectation-gap standpoint, these results imply that “productivity” gains can be offset by</w:t>
      </w:r>
      <w:r>
        <w:t xml:space="preserve"> </w:t>
      </w:r>
      <w:r>
        <w:rPr>
          <w:b/>
          <w:bCs/>
        </w:rPr>
        <w:t xml:space="preserve">review, remediation, and incident risk externalities</w:t>
      </w:r>
      <w:r>
        <w:t xml:space="preserve">, which are often not incorporated in pre-deployment ROI narratives that focus narrowly on time-to-code.</w:t>
      </w:r>
      <w:r>
        <w:t xml:space="preserve"> </w:t>
      </w:r>
      <w:hyperlink r:id="rId25">
        <w:r>
          <w:rPr>
            <w:rStyle w:val="Hyperlink"/>
          </w:rPr>
          <w:t xml:space="preserve">[37]</w:t>
        </w:r>
      </w:hyperlink>
    </w:p>
    <w:bookmarkEnd w:id="45"/>
    <w:bookmarkStart w:id="47" w:name="Xb148f0c8c206fd0c7b3223f31ebd4c53bd5c183"/>
    <w:p>
      <w:pPr>
        <w:pStyle w:val="Heading3"/>
      </w:pPr>
      <w:r>
        <w:t xml:space="preserve">Knowledge retention, learning, and skill formation</w:t>
      </w:r>
    </w:p>
    <w:p>
      <w:pPr>
        <w:pStyle w:val="FirstParagraph"/>
      </w:pPr>
      <w:r>
        <w:t xml:space="preserve">Robust,</w:t>
      </w:r>
      <w:r>
        <w:t xml:space="preserve"> </w:t>
      </w:r>
      <w:r>
        <w:rPr>
          <w:i/>
          <w:iCs/>
        </w:rPr>
        <w:t xml:space="preserve">long-horizon</w:t>
      </w:r>
      <w:r>
        <w:t xml:space="preserve"> </w:t>
      </w:r>
      <w:r>
        <w:t xml:space="preserve">evidence on whether coding copilots improve or degrade developers’ durable skills remains limited in the software-engineering workplace literature. However, high-quality experimental evidence in adjacent settings suggests a plausible mechanism for long-run gaps:</w:t>
      </w:r>
      <w:r>
        <w:t xml:space="preserve"> </w:t>
      </w:r>
      <w:r>
        <w:rPr>
          <w:b/>
          <w:bCs/>
        </w:rPr>
        <w:t xml:space="preserve">cognitive offloading</w:t>
      </w:r>
      <w:r>
        <w:t xml:space="preserve"> </w:t>
      </w:r>
      <w:r>
        <w:t xml:space="preserve">can harm retention even when short-run performance improves.</w:t>
      </w:r>
    </w:p>
    <w:p>
      <w:pPr>
        <w:pStyle w:val="BodyText"/>
      </w:pPr>
      <w:r>
        <w:t xml:space="preserve">A randomised controlled trial in higher education found that students allowed to use ChatGPT as a study aid scored significantly lower on a surprise retention test 45 days later (57.5% vs 68.5%; Cohen’s d = 0.68).</w:t>
      </w:r>
      <w:r>
        <w:t xml:space="preserve"> </w:t>
      </w:r>
      <w:hyperlink r:id="rId46">
        <w:r>
          <w:rPr>
            <w:rStyle w:val="Hyperlink"/>
          </w:rPr>
          <w:t xml:space="preserve">[38]</w:t>
        </w:r>
      </w:hyperlink>
    </w:p>
    <w:p>
      <w:pPr>
        <w:pStyle w:val="BodyText"/>
      </w:pPr>
      <w:r>
        <w:t xml:space="preserve">For manuscript framing, this supports treating “agentic assistance” as potentially trading off</w:t>
      </w:r>
      <w:r>
        <w:t xml:space="preserve"> </w:t>
      </w:r>
      <w:r>
        <w:rPr>
          <w:i/>
          <w:iCs/>
        </w:rPr>
        <w:t xml:space="preserve">immediate task completion</w:t>
      </w:r>
      <w:r>
        <w:t xml:space="preserve"> </w:t>
      </w:r>
      <w:r>
        <w:t xml:space="preserve">against</w:t>
      </w:r>
      <w:r>
        <w:t xml:space="preserve"> </w:t>
      </w:r>
      <w:r>
        <w:rPr>
          <w:i/>
          <w:iCs/>
        </w:rPr>
        <w:t xml:space="preserve">effortful processing that supports durable learning</w:t>
      </w:r>
      <w:r>
        <w:t xml:space="preserve">, and it motivates measuring retention/transfer (not just throughput) when evaluating copilots.</w:t>
      </w:r>
      <w:r>
        <w:t xml:space="preserve"> </w:t>
      </w:r>
      <w:hyperlink r:id="rId46">
        <w:r>
          <w:rPr>
            <w:rStyle w:val="Hyperlink"/>
          </w:rPr>
          <w:t xml:space="preserve">[38]</w:t>
        </w:r>
      </w:hyperlink>
    </w:p>
    <w:bookmarkEnd w:id="47"/>
    <w:bookmarkEnd w:id="48"/>
    <w:bookmarkStart w:id="54" w:name="X3628fe123ea0cd9a37ad45d31557d26d536ad30"/>
    <w:p>
      <w:pPr>
        <w:pStyle w:val="Heading2"/>
      </w:pPr>
      <w:r>
        <w:t xml:space="preserve">Decision-support and automation agents beyond documentation and coding</w:t>
      </w:r>
    </w:p>
    <w:bookmarkStart w:id="49" w:name="Xa29de883b9c19903201db610bc2227adf1f142d"/>
    <w:p>
      <w:pPr>
        <w:pStyle w:val="Heading3"/>
      </w:pPr>
      <w:r>
        <w:t xml:space="preserve">Predictive clinical decision support: internal claims vs external validation</w:t>
      </w:r>
    </w:p>
    <w:p>
      <w:pPr>
        <w:pStyle w:val="FirstParagraph"/>
      </w:pPr>
      <w:r>
        <w:t xml:space="preserve">A canonical, well-quantified expectation–realisation gap in clinical AI is external validation of proprietary models.</w:t>
      </w:r>
    </w:p>
    <w:p>
      <w:pPr>
        <w:pStyle w:val="BodyText"/>
      </w:pPr>
      <w:r>
        <w:t xml:space="preserve">The external validation of the Epic Sepsis Model in a large academic health system (38,455 hospitalisations among 27,697 patients) found a</w:t>
      </w:r>
      <w:r>
        <w:t xml:space="preserve"> </w:t>
      </w:r>
      <w:r>
        <w:rPr>
          <w:b/>
          <w:bCs/>
        </w:rPr>
        <w:t xml:space="preserve">hospitalisation-level AUC of 0.63</w:t>
      </w:r>
      <w:r>
        <w:t xml:space="preserve"> </w:t>
      </w:r>
      <w:r>
        <w:t xml:space="preserve">(95% CI 0.62–0.64) and low sensitivity at an operational threshold (33% sensitivity at score ≥6).</w:t>
      </w:r>
      <w:r>
        <w:t xml:space="preserve"> </w:t>
      </w:r>
      <w:hyperlink r:id="rId24">
        <w:r>
          <w:rPr>
            <w:rStyle w:val="Hyperlink"/>
          </w:rPr>
          <w:t xml:space="preserve">[5]</w:t>
        </w:r>
      </w:hyperlink>
    </w:p>
    <w:p>
      <w:pPr>
        <w:pStyle w:val="BodyText"/>
      </w:pPr>
      <w:r>
        <w:t xml:space="preserve">Crucially for “expectations”, the authors report that this observed performance was “substantially worse” than that reported by the developer:</w:t>
      </w:r>
      <w:r>
        <w:t xml:space="preserve"> </w:t>
      </w:r>
      <w:r>
        <w:rPr>
          <w:b/>
          <w:bCs/>
        </w:rPr>
        <w:t xml:space="preserve">Epic internal documentation AUC 0.76–0.83</w:t>
      </w:r>
      <w:r>
        <w:t xml:space="preserve"> </w:t>
      </w:r>
      <w:r>
        <w:t xml:space="preserve">(shared with permission) and a coauthored conference proceeding AUC 0.73.</w:t>
      </w:r>
      <w:r>
        <w:t xml:space="preserve"> </w:t>
      </w:r>
      <w:hyperlink r:id="rId24">
        <w:r>
          <w:rPr>
            <w:rStyle w:val="Hyperlink"/>
          </w:rPr>
          <w:t xml:space="preserve">[5]</w:t>
        </w:r>
      </w:hyperlink>
    </w:p>
    <w:p>
      <w:pPr>
        <w:pStyle w:val="BodyText"/>
      </w:pPr>
      <w:r>
        <w:t xml:space="preserve">Mechanistically, the paper attributes part of the discrepancy to evaluation choices around</w:t>
      </w:r>
      <w:r>
        <w:t xml:space="preserve"> </w:t>
      </w:r>
      <w:r>
        <w:rPr>
          <w:b/>
          <w:bCs/>
        </w:rPr>
        <w:t xml:space="preserve">sepsis timing</w:t>
      </w:r>
      <w:r>
        <w:t xml:space="preserve"> </w:t>
      </w:r>
      <w:r>
        <w:t xml:space="preserve">(e.g., time-horizon AUCs can appear higher but be misleading for alerting due to independence assumptions; including predictions after onset inflates AUC).</w:t>
      </w:r>
      <w:r>
        <w:t xml:space="preserve"> </w:t>
      </w:r>
      <w:hyperlink r:id="rId24">
        <w:r>
          <w:rPr>
            <w:rStyle w:val="Hyperlink"/>
          </w:rPr>
          <w:t xml:space="preserve">[5]</w:t>
        </w:r>
      </w:hyperlink>
    </w:p>
    <w:p>
      <w:pPr>
        <w:pStyle w:val="SourceCode"/>
      </w:pPr>
      <w:r>
        <w:rPr>
          <w:rStyle w:val="VerbatimChar"/>
        </w:rPr>
        <w:t xml:space="preserve">xychart-beta</w:t>
      </w:r>
      <w:r>
        <w:br/>
      </w:r>
      <w:r>
        <w:rPr>
          <w:rStyle w:val="VerbatimChar"/>
        </w:rPr>
        <w:t xml:space="preserve">title "Clinical decision support: advertised/developer-reported vs observed discrimination/concordance"</w:t>
      </w:r>
      <w:r>
        <w:br/>
      </w:r>
      <w:r>
        <w:rPr>
          <w:rStyle w:val="VerbatimChar"/>
        </w:rPr>
        <w:t xml:space="preserve">x-axis ["Epic sepsis model AUC", "Watson for Oncology strict concordance"]</w:t>
      </w:r>
      <w:r>
        <w:br/>
      </w:r>
      <w:r>
        <w:rPr>
          <w:rStyle w:val="VerbatimChar"/>
        </w:rPr>
        <w:t xml:space="preserve">y-axis "Percent" 0 --&gt; 100</w:t>
      </w:r>
      <w:r>
        <w:br/>
      </w:r>
      <w:r>
        <w:rPr>
          <w:rStyle w:val="VerbatimChar"/>
        </w:rPr>
        <w:t xml:space="preserve">bar "Expected" [79.5, 96]</w:t>
      </w:r>
      <w:r>
        <w:br/>
      </w:r>
      <w:r>
        <w:rPr>
          <w:rStyle w:val="VerbatimChar"/>
        </w:rPr>
        <w:t xml:space="preserve">bar "Observed" [63, 48.9]</w:t>
      </w:r>
    </w:p>
    <w:p>
      <w:pPr>
        <w:pStyle w:val="FirstParagraph"/>
      </w:pPr>
      <w:r>
        <w:t xml:space="preserve">The Epic AUC “Expected” bar uses the midpoint of the developer-reported range (0.76–0.83).</w:t>
      </w:r>
      <w:r>
        <w:t xml:space="preserve"> </w:t>
      </w:r>
      <w:hyperlink r:id="rId24">
        <w:r>
          <w:rPr>
            <w:rStyle w:val="Hyperlink"/>
          </w:rPr>
          <w:t xml:space="preserve">[39]</w:t>
        </w:r>
      </w:hyperlink>
      <w:r>
        <w:br/>
      </w:r>
      <w:r>
        <w:t xml:space="preserve">The Watson “Expected” bar uses IBM’s publicised concordance figure for lung cases; “Observed” uses strict concordance in a peer-reviewed retrospective cohort.</w:t>
      </w:r>
      <w:r>
        <w:t xml:space="preserve"> </w:t>
      </w:r>
      <w:hyperlink r:id="rId26">
        <w:r>
          <w:rPr>
            <w:rStyle w:val="Hyperlink"/>
          </w:rPr>
          <w:t xml:space="preserve">[7]</w:t>
        </w:r>
      </w:hyperlink>
    </w:p>
    <w:bookmarkEnd w:id="49"/>
    <w:bookmarkStart w:id="51" w:name="X8ecb410ce4b646c0ff1dfa76b22f355e5c89882"/>
    <w:p>
      <w:pPr>
        <w:pStyle w:val="Heading3"/>
      </w:pPr>
      <w:r>
        <w:t xml:space="preserve">Oncology decision-support: concordance claims vs concordance in practice</w:t>
      </w:r>
    </w:p>
    <w:p>
      <w:pPr>
        <w:pStyle w:val="FirstParagraph"/>
      </w:pPr>
      <w:r>
        <w:t xml:space="preserve">IBM’s newsroom announcement summarised multiple concordance studies, including a claim of</w:t>
      </w:r>
      <w:r>
        <w:t xml:space="preserve"> </w:t>
      </w:r>
      <w:r>
        <w:rPr>
          <w:b/>
          <w:bCs/>
        </w:rPr>
        <w:t xml:space="preserve">96% concordance</w:t>
      </w:r>
      <w:r>
        <w:t xml:space="preserve"> </w:t>
      </w:r>
      <w:r>
        <w:t xml:space="preserve">for lung cancer cases relative to a multidisciplinary tumour board in India.</w:t>
      </w:r>
      <w:r>
        <w:t xml:space="preserve"> </w:t>
      </w:r>
      <w:hyperlink r:id="rId26">
        <w:r>
          <w:rPr>
            <w:rStyle w:val="Hyperlink"/>
          </w:rPr>
          <w:t xml:space="preserve">[40]</w:t>
        </w:r>
      </w:hyperlink>
    </w:p>
    <w:p>
      <w:pPr>
        <w:pStyle w:val="BodyText"/>
      </w:pPr>
      <w:r>
        <w:t xml:space="preserve">In a separate peer-reviewed retrospective study in Korea evaluating Watson for Oncology’s colon cancer recommendations, strict/absolute concordance with the local cancer centre’s recommendations was</w:t>
      </w:r>
      <w:r>
        <w:t xml:space="preserve"> </w:t>
      </w:r>
      <w:r>
        <w:rPr>
          <w:b/>
          <w:bCs/>
        </w:rPr>
        <w:t xml:space="preserve">48.9%</w:t>
      </w:r>
      <w:r>
        <w:t xml:space="preserve">, with broad “acceptable” concordance of</w:t>
      </w:r>
      <w:r>
        <w:t xml:space="preserve"> </w:t>
      </w:r>
      <w:r>
        <w:rPr>
          <w:b/>
          <w:bCs/>
        </w:rPr>
        <w:t xml:space="preserve">65.8%</w:t>
      </w:r>
      <w:r>
        <w:t xml:space="preserve"> </w:t>
      </w:r>
      <w:r>
        <w:t xml:space="preserve">and substantial heterogeneity (e.g., concordance ~20% among patients aged ≥70).</w:t>
      </w:r>
      <w:r>
        <w:t xml:space="preserve"> </w:t>
      </w:r>
      <w:hyperlink r:id="rId50">
        <w:r>
          <w:rPr>
            <w:rStyle w:val="Hyperlink"/>
          </w:rPr>
          <w:t xml:space="preserve">[41]</w:t>
        </w:r>
      </w:hyperlink>
    </w:p>
    <w:p>
      <w:pPr>
        <w:pStyle w:val="BodyText"/>
      </w:pPr>
      <w:r>
        <w:t xml:space="preserve">For expectation-gap analysis, this pairing illustrates two recurring issues:</w:t>
      </w:r>
    </w:p>
    <w:p>
      <w:pPr>
        <w:pStyle w:val="Compact"/>
        <w:numPr>
          <w:ilvl w:val="0"/>
          <w:numId w:val="1005"/>
        </w:numPr>
      </w:pPr>
      <w:r>
        <w:rPr>
          <w:b/>
          <w:bCs/>
        </w:rPr>
        <w:t xml:space="preserve">Definition dependence</w:t>
      </w:r>
      <w:r>
        <w:t xml:space="preserve">: concordance rises when “for consideration” is treated as concordant; strict match is much lower.</w:t>
      </w:r>
      <w:r>
        <w:t xml:space="preserve"> </w:t>
      </w:r>
      <w:hyperlink r:id="rId50">
        <w:r>
          <w:rPr>
            <w:rStyle w:val="Hyperlink"/>
          </w:rPr>
          <w:t xml:space="preserve">[41]</w:t>
        </w:r>
      </w:hyperlink>
    </w:p>
    <w:p>
      <w:pPr>
        <w:pStyle w:val="Compact"/>
        <w:numPr>
          <w:ilvl w:val="0"/>
          <w:numId w:val="1005"/>
        </w:numPr>
      </w:pPr>
      <w:r>
        <w:rPr>
          <w:b/>
          <w:bCs/>
        </w:rPr>
        <w:t xml:space="preserve">Local constraint mismatch</w:t>
      </w:r>
      <w:r>
        <w:t xml:space="preserve">: age, reimbursement, and guideline differences materially affect “agreement”, so cross-site concordance claims may not transfer without localisation.</w:t>
      </w:r>
      <w:r>
        <w:t xml:space="preserve"> </w:t>
      </w:r>
      <w:hyperlink r:id="rId50">
        <w:r>
          <w:rPr>
            <w:rStyle w:val="Hyperlink"/>
          </w:rPr>
          <w:t xml:space="preserve">[41]</w:t>
        </w:r>
      </w:hyperlink>
    </w:p>
    <w:bookmarkEnd w:id="51"/>
    <w:bookmarkStart w:id="53" w:name="Xbb75d4cd967a7a9132beec9e18af907dffa75f9"/>
    <w:p>
      <w:pPr>
        <w:pStyle w:val="Heading3"/>
      </w:pPr>
      <w:r>
        <w:t xml:space="preserve">Customer service automation agents: measured gains with strong heterogeneity</w:t>
      </w:r>
    </w:p>
    <w:p>
      <w:pPr>
        <w:pStyle w:val="FirstParagraph"/>
      </w:pPr>
      <w:r>
        <w:t xml:space="preserve">Large-scale workplace evidence for generative customer-support assistants suggests average gains that are meaningful but not uniform.</w:t>
      </w:r>
    </w:p>
    <w:p>
      <w:pPr>
        <w:pStyle w:val="BodyText"/>
      </w:pPr>
      <w:r>
        <w:t xml:space="preserve">A field study of a generative AI conversational assistant in customer support (5,172 agents; staggered introduction) reports</w:t>
      </w:r>
      <w:r>
        <w:t xml:space="preserve"> </w:t>
      </w:r>
      <w:r>
        <w:rPr>
          <w:b/>
          <w:bCs/>
        </w:rPr>
        <w:t xml:space="preserve">~15% average productivity increase</w:t>
      </w:r>
      <w:r>
        <w:t xml:space="preserve"> </w:t>
      </w:r>
      <w:r>
        <w:t xml:space="preserve">(issues per hour), with large heterogeneity: larger gains for less experienced / lower-skilled workers and smaller gains (and some quality declines) for the most experienced.</w:t>
      </w:r>
      <w:r>
        <w:t xml:space="preserve"> </w:t>
      </w:r>
      <w:hyperlink r:id="rId52">
        <w:r>
          <w:rPr>
            <w:rStyle w:val="Hyperlink"/>
          </w:rPr>
          <w:t xml:space="preserve">[42]</w:t>
        </w:r>
      </w:hyperlink>
    </w:p>
    <w:p>
      <w:pPr>
        <w:pStyle w:val="BodyText"/>
      </w:pPr>
      <w:r>
        <w:t xml:space="preserve">This pattern parallels both clinical scribes and software copilots: impacts concentrate among users with higher baseline friction or lower baseline skill, which means “average ROI” can be mis-estimated if adoption is not targeted to the right subpopulation.</w:t>
      </w:r>
      <w:r>
        <w:t xml:space="preserve"> </w:t>
      </w:r>
      <w:hyperlink r:id="rId29">
        <w:r>
          <w:rPr>
            <w:rStyle w:val="Hyperlink"/>
          </w:rPr>
          <w:t xml:space="preserve">[43]</w:t>
        </w:r>
      </w:hyperlink>
    </w:p>
    <w:bookmarkEnd w:id="53"/>
    <w:bookmarkEnd w:id="54"/>
    <w:bookmarkStart w:id="58" w:name="Xccfac757811e172c414db9e8b2e9aeb3b50aaf6"/>
    <w:p>
      <w:pPr>
        <w:pStyle w:val="Heading2"/>
      </w:pPr>
      <w:r>
        <w:t xml:space="preserve">Cross-domain synthesis of discrepancy drivers and generalisability</w:t>
      </w:r>
    </w:p>
    <w:bookmarkStart w:id="55" w:name="X07202d3f0d107874d70fbfba714fe05a125e819"/>
    <w:p>
      <w:pPr>
        <w:pStyle w:val="Heading3"/>
      </w:pPr>
      <w:r>
        <w:t xml:space="preserve">A causal schematic for the expectation–realisation gap</w:t>
      </w:r>
    </w:p>
    <w:p>
      <w:pPr>
        <w:pStyle w:val="SourceCode"/>
      </w:pPr>
      <w:r>
        <w:rPr>
          <w:rStyle w:val="VerbatimChar"/>
        </w:rPr>
        <w:t xml:space="preserve">flowchart LR</w:t>
      </w:r>
      <w:r>
        <w:br/>
      </w:r>
      <w:r>
        <w:rPr>
          <w:rStyle w:val="VerbatimChar"/>
        </w:rPr>
        <w:t xml:space="preserve">  A[Ex ante expectations] --&gt;|forecasts, claims, internal validation| B[Deployment setting]</w:t>
      </w:r>
      <w:r>
        <w:br/>
      </w:r>
      <w:r>
        <w:rPr>
          <w:rStyle w:val="VerbatimChar"/>
        </w:rPr>
        <w:t xml:space="preserve">  B --&gt; C[Human-AI interaction]</w:t>
      </w:r>
      <w:r>
        <w:br/>
      </w:r>
      <w:r>
        <w:rPr>
          <w:rStyle w:val="VerbatimChar"/>
        </w:rPr>
        <w:t xml:space="preserve">  C --&gt; D[Realised outcomes]</w:t>
      </w:r>
      <w:r>
        <w:br/>
      </w:r>
      <w:r>
        <w:rPr>
          <w:rStyle w:val="VerbatimChar"/>
        </w:rPr>
        <w:t xml:space="preserve">  D --&gt; E[Measured gap vs expectation]</w:t>
      </w:r>
      <w:r>
        <w:br/>
      </w:r>
      <w:r>
        <w:br/>
      </w:r>
      <w:r>
        <w:rPr>
          <w:rStyle w:val="VerbatimChar"/>
        </w:rPr>
        <w:t xml:space="preserve">  B --&gt;|workflow integration, latency, governance| D</w:t>
      </w:r>
      <w:r>
        <w:br/>
      </w:r>
      <w:r>
        <w:rPr>
          <w:rStyle w:val="VerbatimChar"/>
        </w:rPr>
        <w:t xml:space="preserve">  C --&gt;|use intensity, review burden, over/under-trust| D</w:t>
      </w:r>
      <w:r>
        <w:br/>
      </w:r>
      <w:r>
        <w:rPr>
          <w:rStyle w:val="VerbatimChar"/>
        </w:rPr>
        <w:t xml:space="preserve">  D --&gt;|metric choice: logs vs self-report; short vs long horizon| E</w:t>
      </w:r>
      <w:r>
        <w:br/>
      </w:r>
      <w:r>
        <w:rPr>
          <w:rStyle w:val="VerbatimChar"/>
        </w:rPr>
        <w:t xml:space="preserve">  E --&gt; F[Iterate]</w:t>
      </w:r>
      <w:r>
        <w:br/>
      </w:r>
      <w:r>
        <w:rPr>
          <w:rStyle w:val="VerbatimChar"/>
        </w:rPr>
        <w:t xml:space="preserve">  F --&gt; A</w:t>
      </w:r>
    </w:p>
    <w:p>
      <w:pPr>
        <w:pStyle w:val="FirstParagraph"/>
      </w:pPr>
      <w:r>
        <w:t xml:space="preserve">This synthesis is consistent with observed contributors documented across the core empirical exemplars: adoption intensity and workflow show up in clinical scribe trials; review/clean-up time and high-context tasks show up in the METR RCT; and evaluation choices (e.g., time horizon AUC) explain why internal performance narratives can fail to predict deployment performance for clinical prediction models.</w:t>
      </w:r>
      <w:r>
        <w:t xml:space="preserve"> </w:t>
      </w:r>
      <w:hyperlink r:id="rId23">
        <w:r>
          <w:rPr>
            <w:rStyle w:val="Hyperlink"/>
          </w:rPr>
          <w:t xml:space="preserve">[44]</w:t>
        </w:r>
      </w:hyperlink>
    </w:p>
    <w:bookmarkEnd w:id="55"/>
    <w:bookmarkStart w:id="56" w:name="recurrent-reasons-for-shortfall"/>
    <w:p>
      <w:pPr>
        <w:pStyle w:val="Heading3"/>
      </w:pPr>
      <w:r>
        <w:t xml:space="preserve">Recurrent reasons for shortfall</w:t>
      </w:r>
    </w:p>
    <w:p>
      <w:pPr>
        <w:pStyle w:val="FirstParagraph"/>
      </w:pPr>
      <w:r>
        <w:rPr>
          <w:b/>
          <w:bCs/>
        </w:rPr>
        <w:t xml:space="preserve">Workflow integration and compliance</w:t>
      </w:r>
      <w:r>
        <w:t xml:space="preserve">:</w:t>
      </w:r>
      <w:r>
        <w:br/>
      </w:r>
      <w:r>
        <w:t xml:space="preserve">Clinical scribe evaluations repeatedly show partial use (tool used in a minority of encounters; drop-off), which weakens average effects and creates a “heavy-user tail” where benefits concentrate.</w:t>
      </w:r>
      <w:r>
        <w:t xml:space="preserve"> </w:t>
      </w:r>
      <w:hyperlink r:id="rId23">
        <w:r>
          <w:rPr>
            <w:rStyle w:val="Hyperlink"/>
          </w:rPr>
          <w:t xml:space="preserve">[45]</w:t>
        </w:r>
      </w:hyperlink>
    </w:p>
    <w:p>
      <w:pPr>
        <w:pStyle w:val="BodyText"/>
      </w:pPr>
      <w:r>
        <w:rPr>
          <w:b/>
          <w:bCs/>
        </w:rPr>
        <w:t xml:space="preserve">User behaviour and review burden</w:t>
      </w:r>
      <w:r>
        <w:t xml:space="preserve">:</w:t>
      </w:r>
      <w:r>
        <w:br/>
      </w:r>
      <w:r>
        <w:t xml:space="preserve">In software, the METR trial’s empirical result (slowdown) is itself a statement that the</w:t>
      </w:r>
      <w:r>
        <w:t xml:space="preserve"> </w:t>
      </w:r>
      <w:r>
        <w:rPr>
          <w:i/>
          <w:iCs/>
        </w:rPr>
        <w:t xml:space="preserve">net</w:t>
      </w:r>
      <w:r>
        <w:t xml:space="preserve"> </w:t>
      </w:r>
      <w:r>
        <w:t xml:space="preserve">of generation + verification + integration can be negative in high-context repositories, despite strong prior expectations.</w:t>
      </w:r>
      <w:r>
        <w:t xml:space="preserve"> </w:t>
      </w:r>
      <w:hyperlink r:id="rId21">
        <w:r>
          <w:rPr>
            <w:rStyle w:val="Hyperlink"/>
          </w:rPr>
          <w:t xml:space="preserve">[2]</w:t>
        </w:r>
      </w:hyperlink>
      <w:r>
        <w:br/>
      </w:r>
      <w:r>
        <w:t xml:space="preserve">In clinical scribes, neutral ratings on “note quality at least as good as my own” and “occasional inaccuracies” are consistent with non-trivial review/edit work, limiting time savings.</w:t>
      </w:r>
      <w:r>
        <w:t xml:space="preserve"> </w:t>
      </w:r>
      <w:hyperlink r:id="rId23">
        <w:r>
          <w:rPr>
            <w:rStyle w:val="Hyperlink"/>
          </w:rPr>
          <w:t xml:space="preserve">[23]</w:t>
        </w:r>
      </w:hyperlink>
    </w:p>
    <w:p>
      <w:pPr>
        <w:pStyle w:val="BodyText"/>
      </w:pPr>
      <w:r>
        <w:rPr>
          <w:b/>
          <w:bCs/>
        </w:rPr>
        <w:t xml:space="preserve">Measurement and construct validity</w:t>
      </w:r>
      <w:r>
        <w:t xml:space="preserve">:</w:t>
      </w:r>
      <w:r>
        <w:br/>
      </w:r>
      <w:r>
        <w:t xml:space="preserve">The sepsis model example shows how seemingly strong metrics (time-horizon AUCs) can overstate operational utility for alerting and how developer-reported performance can be non-comparable to independent validation once timing/denominator choices shift.</w:t>
      </w:r>
      <w:r>
        <w:t xml:space="preserve"> </w:t>
      </w:r>
      <w:hyperlink r:id="rId24">
        <w:r>
          <w:rPr>
            <w:rStyle w:val="Hyperlink"/>
          </w:rPr>
          <w:t xml:space="preserve">[5]</w:t>
        </w:r>
      </w:hyperlink>
      <w:r>
        <w:br/>
      </w:r>
      <w:r>
        <w:t xml:space="preserve">Similarly, in AI scribes, “time-in-note” captures</w:t>
      </w:r>
      <w:r>
        <w:t xml:space="preserve"> </w:t>
      </w:r>
      <w:r>
        <w:rPr>
          <w:i/>
          <w:iCs/>
        </w:rPr>
        <w:t xml:space="preserve">one slice</w:t>
      </w:r>
      <w:r>
        <w:t xml:space="preserve"> </w:t>
      </w:r>
      <w:r>
        <w:t xml:space="preserve">of total documentation burden; procurement expectations framed as “minutes per encounter” may refer to broader workflows, making naïve comparisons misleading unless metrics are aligned.</w:t>
      </w:r>
      <w:r>
        <w:t xml:space="preserve"> </w:t>
      </w:r>
      <w:hyperlink r:id="rId23">
        <w:r>
          <w:rPr>
            <w:rStyle w:val="Hyperlink"/>
          </w:rPr>
          <w:t xml:space="preserve">[24]</w:t>
        </w:r>
      </w:hyperlink>
    </w:p>
    <w:bookmarkEnd w:id="56"/>
    <w:bookmarkStart w:id="57" w:name="generalisability-and-transportability"/>
    <w:p>
      <w:pPr>
        <w:pStyle w:val="Heading3"/>
      </w:pPr>
      <w:r>
        <w:t xml:space="preserve">Generalisability and transportability</w:t>
      </w:r>
    </w:p>
    <w:p>
      <w:pPr>
        <w:pStyle w:val="FirstParagraph"/>
      </w:pPr>
      <w:r>
        <w:t xml:space="preserve">Across domains, the highest-yield generalisable insight is</w:t>
      </w:r>
      <w:r>
        <w:t xml:space="preserve"> </w:t>
      </w:r>
      <w:r>
        <w:rPr>
          <w:b/>
          <w:bCs/>
        </w:rPr>
        <w:t xml:space="preserve">heterogeneity</w:t>
      </w:r>
      <w:r>
        <w:t xml:space="preserve">:</w:t>
      </w:r>
      <w:r>
        <w:br/>
      </w:r>
      <w:r>
        <w:t xml:space="preserve">Effects are systematically moderated by baseline inefficiency/skill and by context specificity.</w:t>
      </w:r>
    </w:p>
    <w:p>
      <w:pPr>
        <w:pStyle w:val="Compact"/>
        <w:numPr>
          <w:ilvl w:val="0"/>
          <w:numId w:val="1006"/>
        </w:numPr>
      </w:pPr>
      <w:r>
        <w:t xml:space="preserve">Clinicians with higher baseline documentation burden capture most objective savings from scribes.</w:t>
      </w:r>
      <w:r>
        <w:t xml:space="preserve"> </w:t>
      </w:r>
      <w:hyperlink r:id="rId29">
        <w:r>
          <w:rPr>
            <w:rStyle w:val="Hyperlink"/>
          </w:rPr>
          <w:t xml:space="preserve">[11]</w:t>
        </w:r>
      </w:hyperlink>
    </w:p>
    <w:p>
      <w:pPr>
        <w:pStyle w:val="Compact"/>
        <w:numPr>
          <w:ilvl w:val="0"/>
          <w:numId w:val="1006"/>
        </w:numPr>
      </w:pPr>
      <w:r>
        <w:t xml:space="preserve">Novice/lower-skilled customer support agents benefit more from generative AI assistance, while top performers see smaller gains.</w:t>
      </w:r>
      <w:r>
        <w:t xml:space="preserve"> </w:t>
      </w:r>
      <w:hyperlink r:id="rId52">
        <w:r>
          <w:rPr>
            <w:rStyle w:val="Hyperlink"/>
          </w:rPr>
          <w:t xml:space="preserve">[42]</w:t>
        </w:r>
      </w:hyperlink>
    </w:p>
    <w:p>
      <w:pPr>
        <w:pStyle w:val="Compact"/>
        <w:numPr>
          <w:ilvl w:val="0"/>
          <w:numId w:val="1006"/>
        </w:numPr>
      </w:pPr>
      <w:r>
        <w:t xml:space="preserve">Experienced open-source developers working in familiar, high-context repositories can be slowed by AI tools despite expecting substantial speedups.</w:t>
      </w:r>
      <w:r>
        <w:t xml:space="preserve"> </w:t>
      </w:r>
      <w:hyperlink r:id="rId21">
        <w:r>
          <w:rPr>
            <w:rStyle w:val="Hyperlink"/>
          </w:rPr>
          <w:t xml:space="preserve">[2]</w:t>
        </w:r>
      </w:hyperlink>
    </w:p>
    <w:p>
      <w:pPr>
        <w:pStyle w:val="FirstParagraph"/>
      </w:pPr>
      <w:r>
        <w:t xml:space="preserve">For manuscript claims about “agentic AI productivity”, these results collectively undermine any assumption of a stable, globally positive treatment effect; they instead support modelling</w:t>
      </w:r>
      <w:r>
        <w:t xml:space="preserve"> </w:t>
      </w:r>
      <w:r>
        <w:rPr>
          <w:i/>
          <w:iCs/>
        </w:rPr>
        <w:t xml:space="preserve">treatment effect heterogeneity</w:t>
      </w:r>
      <w:r>
        <w:t xml:space="preserve"> </w:t>
      </w:r>
      <w:r>
        <w:t xml:space="preserve">as the default.</w:t>
      </w:r>
      <w:r>
        <w:t xml:space="preserve"> </w:t>
      </w:r>
      <w:hyperlink r:id="rId21">
        <w:r>
          <w:rPr>
            <w:rStyle w:val="Hyperlink"/>
          </w:rPr>
          <w:t xml:space="preserve">[46]</w:t>
        </w:r>
      </w:hyperlink>
    </w:p>
    <w:bookmarkEnd w:id="57"/>
    <w:bookmarkEnd w:id="58"/>
    <w:bookmarkStart w:id="61" w:name="X0112e6a0ac68995efddbcd3ce9c516b9d45f894"/>
    <w:p>
      <w:pPr>
        <w:pStyle w:val="Heading2"/>
      </w:pPr>
      <w:r>
        <w:t xml:space="preserve">Evidence gaps and recommendations for manuscript framing</w:t>
      </w:r>
    </w:p>
    <w:bookmarkStart w:id="59" w:name="X3da5844492dc2998403c7d463869e7401699bf8"/>
    <w:p>
      <w:pPr>
        <w:pStyle w:val="Heading3"/>
      </w:pPr>
      <w:r>
        <w:t xml:space="preserve">Gaps and limitations in the current evidence base</w:t>
      </w:r>
    </w:p>
    <w:p>
      <w:pPr>
        <w:pStyle w:val="FirstParagraph"/>
      </w:pPr>
      <w:r>
        <w:rPr>
          <w:b/>
          <w:bCs/>
        </w:rPr>
        <w:t xml:space="preserve">Few studies truly measure ex ante quantitative projections plus ex post outcomes in the same units.</w:t>
      </w:r>
      <w:r>
        <w:t xml:space="preserve"> </w:t>
      </w:r>
      <w:r>
        <w:t xml:space="preserve">The METR RCT is unusually clean because it elicits forecasts before randomisation and then measures time. Many clinical scribe studies do not capture numeric ex ante expectations, forcing comparisons against vendor marketing (often in non-matching metrics).</w:t>
      </w:r>
      <w:r>
        <w:t xml:space="preserve"> </w:t>
      </w:r>
      <w:hyperlink r:id="rId21">
        <w:r>
          <w:rPr>
            <w:rStyle w:val="Hyperlink"/>
          </w:rPr>
          <w:t xml:space="preserve">[47]</w:t>
        </w:r>
      </w:hyperlink>
    </w:p>
    <w:p>
      <w:pPr>
        <w:pStyle w:val="BodyText"/>
      </w:pPr>
      <w:r>
        <w:rPr>
          <w:b/>
          <w:bCs/>
        </w:rPr>
        <w:t xml:space="preserve">Economic impact is under-measured.</w:t>
      </w:r>
      <w:r>
        <w:t xml:space="preserve"> </w:t>
      </w:r>
      <w:r>
        <w:t xml:space="preserve">Even strong studies frequently report time, burnout, and task load rather than direct cost savings, margin, or net ROI after licensing, training, and governance costs. Where “productivity” proxies exist (e.g., wRVU), causal attribution can be ambiguous without stronger designs or explicit cost accounting.</w:t>
      </w:r>
      <w:r>
        <w:t xml:space="preserve"> </w:t>
      </w:r>
      <w:hyperlink r:id="rId30">
        <w:r>
          <w:rPr>
            <w:rStyle w:val="Hyperlink"/>
          </w:rPr>
          <w:t xml:space="preserve">[48]</w:t>
        </w:r>
      </w:hyperlink>
    </w:p>
    <w:p>
      <w:pPr>
        <w:pStyle w:val="BodyText"/>
      </w:pPr>
      <w:r>
        <w:rPr>
          <w:b/>
          <w:bCs/>
        </w:rPr>
        <w:t xml:space="preserve">Quality and risk are often secondary endpoints.</w:t>
      </w:r>
      <w:r>
        <w:t xml:space="preserve"> </w:t>
      </w:r>
      <w:r>
        <w:t xml:space="preserve">The clinical scribe RCT includes structured questions about inaccuracies and bias, but most studies do not conduct independent chart-quality auditing or downstream patient-outcome analyses. In software, security and license compliance literatures exist, but are not routinely integrated into productivity ROI narratives.</w:t>
      </w:r>
      <w:r>
        <w:t xml:space="preserve"> </w:t>
      </w:r>
      <w:hyperlink r:id="rId23">
        <w:r>
          <w:rPr>
            <w:rStyle w:val="Hyperlink"/>
          </w:rPr>
          <w:t xml:space="preserve">[49]</w:t>
        </w:r>
      </w:hyperlink>
    </w:p>
    <w:p>
      <w:pPr>
        <w:pStyle w:val="BodyText"/>
      </w:pPr>
      <w:r>
        <w:rPr>
          <w:b/>
          <w:bCs/>
        </w:rPr>
        <w:t xml:space="preserve">Long-run learning/retention evidence is scarce in professional settings.</w:t>
      </w:r>
      <w:r>
        <w:t xml:space="preserve"> </w:t>
      </w:r>
      <w:r>
        <w:t xml:space="preserve">Adjacent RCT evidence indicates potential retention harms from offloading, but translation to workplace reskilling claims (e.g., “copilots will train juniors faster”) remains thin without targeted longitudinal designs.</w:t>
      </w:r>
      <w:r>
        <w:t xml:space="preserve"> </w:t>
      </w:r>
      <w:hyperlink r:id="rId46">
        <w:r>
          <w:rPr>
            <w:rStyle w:val="Hyperlink"/>
          </w:rPr>
          <w:t xml:space="preserve">[50]</w:t>
        </w:r>
      </w:hyperlink>
    </w:p>
    <w:bookmarkEnd w:id="59"/>
    <w:bookmarkStart w:id="60" w:name="Xddf064a580f3b7e1a2c4334e53b0c2ce2d482c3"/>
    <w:p>
      <w:pPr>
        <w:pStyle w:val="Heading3"/>
      </w:pPr>
      <w:r>
        <w:t xml:space="preserve">Practical recommendations for framing a manuscript about expectation gaps</w:t>
      </w:r>
    </w:p>
    <w:p>
      <w:pPr>
        <w:pStyle w:val="FirstParagraph"/>
      </w:pPr>
      <w:r>
        <w:t xml:space="preserve">A robust framing that aligns with the empirical literature above is to treat expectation–realisation gaps as a</w:t>
      </w:r>
      <w:r>
        <w:t xml:space="preserve"> </w:t>
      </w:r>
      <w:r>
        <w:rPr>
          <w:b/>
          <w:bCs/>
        </w:rPr>
        <w:t xml:space="preserve">calibration problem in socio-technical systems</w:t>
      </w:r>
      <w:r>
        <w:t xml:space="preserve">, not merely as “model capability” issues. The following manuscript moves are strongly supported by the evidence:</w:t>
      </w:r>
    </w:p>
    <w:p>
      <w:pPr>
        <w:pStyle w:val="Compact"/>
        <w:numPr>
          <w:ilvl w:val="0"/>
          <w:numId w:val="1007"/>
        </w:numPr>
      </w:pPr>
      <w:r>
        <w:rPr>
          <w:b/>
          <w:bCs/>
        </w:rPr>
        <w:t xml:space="preserve">Define expectation classes explicitly</w:t>
      </w:r>
      <w:r>
        <w:t xml:space="preserve"> </w:t>
      </w:r>
      <w:r>
        <w:t xml:space="preserve">(marketing claim vs developer internal validation vs user forecasts vs perceived effects) and do not mix them without a unit/metric mapping.</w:t>
      </w:r>
      <w:r>
        <w:t xml:space="preserve"> </w:t>
      </w:r>
      <w:hyperlink r:id="rId28">
        <w:r>
          <w:rPr>
            <w:rStyle w:val="Hyperlink"/>
          </w:rPr>
          <w:t xml:space="preserve">[51]</w:t>
        </w:r>
      </w:hyperlink>
    </w:p>
    <w:p>
      <w:pPr>
        <w:pStyle w:val="Compact"/>
        <w:numPr>
          <w:ilvl w:val="0"/>
          <w:numId w:val="1007"/>
        </w:numPr>
      </w:pPr>
      <w:r>
        <w:rPr>
          <w:b/>
          <w:bCs/>
        </w:rPr>
        <w:t xml:space="preserve">Report outcomes as (a) intention-to-treat, (b) per-protocol / dose-response</w:t>
      </w:r>
      <w:r>
        <w:t xml:space="preserve">, and (c) subgroup effects by baseline efficiency/skill whenever possible, since heterogeneity is consistently large and policy-relevant.</w:t>
      </w:r>
      <w:r>
        <w:t xml:space="preserve"> </w:t>
      </w:r>
      <w:hyperlink r:id="rId23">
        <w:r>
          <w:rPr>
            <w:rStyle w:val="Hyperlink"/>
          </w:rPr>
          <w:t xml:space="preserve">[52]</w:t>
        </w:r>
      </w:hyperlink>
    </w:p>
    <w:p>
      <w:pPr>
        <w:pStyle w:val="Compact"/>
        <w:numPr>
          <w:ilvl w:val="0"/>
          <w:numId w:val="1007"/>
        </w:numPr>
      </w:pPr>
      <w:r>
        <w:rPr>
          <w:b/>
          <w:bCs/>
        </w:rPr>
        <w:t xml:space="preserve">Pair throughput metrics with quality/risk metrics</w:t>
      </w:r>
      <w:r>
        <w:t xml:space="preserve"> </w:t>
      </w:r>
      <w:r>
        <w:t xml:space="preserve">(clinical correctness; security vulnerabilities; rework burden). Where this cannot be done, label ROI conclusions as incomplete.</w:t>
      </w:r>
      <w:r>
        <w:t xml:space="preserve"> </w:t>
      </w:r>
      <w:hyperlink r:id="rId23">
        <w:r>
          <w:rPr>
            <w:rStyle w:val="Hyperlink"/>
          </w:rPr>
          <w:t xml:space="preserve">[49]</w:t>
        </w:r>
      </w:hyperlink>
    </w:p>
    <w:p>
      <w:pPr>
        <w:pStyle w:val="Compact"/>
        <w:numPr>
          <w:ilvl w:val="0"/>
          <w:numId w:val="1007"/>
        </w:numPr>
      </w:pPr>
      <w:r>
        <w:rPr>
          <w:b/>
          <w:bCs/>
        </w:rPr>
        <w:t xml:space="preserve">Treat “time saved” as necessary but not sufficient for cost savings.</w:t>
      </w:r>
      <w:r>
        <w:t xml:space="preserve"> </w:t>
      </w:r>
      <w:r>
        <w:t xml:space="preserve">Empirically, time can shift rather than disappear (e.g., after-hours worsening despite reduced documentation minutes), and realised savings may depend on whether organisations can productively redeploy freed capacity.</w:t>
      </w:r>
      <w:r>
        <w:t xml:space="preserve"> </w:t>
      </w:r>
      <w:hyperlink r:id="rId30">
        <w:r>
          <w:rPr>
            <w:rStyle w:val="Hyperlink"/>
          </w:rPr>
          <w:t xml:space="preserve">[53]</w:t>
        </w:r>
      </w:hyperlink>
    </w:p>
    <w:p>
      <w:pPr>
        <w:pStyle w:val="Compact"/>
        <w:numPr>
          <w:ilvl w:val="0"/>
          <w:numId w:val="1007"/>
        </w:numPr>
      </w:pPr>
      <w:r>
        <w:rPr>
          <w:b/>
          <w:bCs/>
        </w:rPr>
        <w:t xml:space="preserve">Use design language precisely</w:t>
      </w:r>
      <w:r>
        <w:t xml:space="preserve">: lab experiments on bounded tasks estimate</w:t>
      </w:r>
      <w:r>
        <w:t xml:space="preserve"> </w:t>
      </w:r>
      <w:r>
        <w:rPr>
          <w:i/>
          <w:iCs/>
        </w:rPr>
        <w:t xml:space="preserve">tool capability under low-context load</w:t>
      </w:r>
      <w:r>
        <w:t xml:space="preserve">; field RCTs and high-context trials estimate</w:t>
      </w:r>
      <w:r>
        <w:t xml:space="preserve"> </w:t>
      </w:r>
      <w:r>
        <w:rPr>
          <w:i/>
          <w:iCs/>
        </w:rPr>
        <w:t xml:space="preserve">net productivity under realistic verification and integration costs</w:t>
      </w:r>
      <w:r>
        <w:t xml:space="preserve">. This distinction is essential for interpreting why expectations overshoot in the wild.</w:t>
      </w:r>
      <w:r>
        <w:t xml:space="preserve"> </w:t>
      </w:r>
      <w:hyperlink r:id="rId22">
        <w:r>
          <w:rPr>
            <w:rStyle w:val="Hyperlink"/>
          </w:rPr>
          <w:t xml:space="preserve">[54]</w:t>
        </w:r>
      </w:hyperlink>
    </w:p>
    <w:p>
      <w:pPr>
        <w:pStyle w:val="FirstParagraph"/>
      </w:pPr>
      <w:r>
        <w:t xml:space="preserve">Taken together, the best-supported quantitative conclusion is that the “expectation–realisation gap” for agentic AI is less a single scalar gap and more a</w:t>
      </w:r>
      <w:r>
        <w:t xml:space="preserve"> </w:t>
      </w:r>
      <w:r>
        <w:rPr>
          <w:b/>
          <w:bCs/>
        </w:rPr>
        <w:t xml:space="preserve">distribution shift between contexts</w:t>
      </w:r>
      <w:r>
        <w:t xml:space="preserve">: large gains are documented in constrained tasks and among high-friction/low-skill users, while high-context environments and highly efficient users often realise smaller gains—and may even be slowed—unless workflows, measurement, and governance are tightly aligned.</w:t>
      </w:r>
      <w:r>
        <w:t xml:space="preserve"> </w:t>
      </w:r>
      <w:hyperlink r:id="rId21">
        <w:r>
          <w:rPr>
            <w:rStyle w:val="Hyperlink"/>
          </w:rPr>
          <w:t xml:space="preserve">[55]</w:t>
        </w:r>
      </w:hyperlink>
    </w:p>
    <w:bookmarkEnd w:id="60"/>
    <w:bookmarkEnd w:id="61"/>
    <w:bookmarkEnd w:id="62"/>
    <w:bookmarkEnd w:id="63"/>
    <w:p>
      <w:r>
        <w:pict>
          <v:rect style="width:0;height:1.5pt" o:hralign="center" o:hrstd="t" o:hr="t"/>
        </w:pict>
      </w:r>
    </w:p>
    <w:bookmarkStart w:id="64"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[32]</w:t>
        </w:r>
      </w:hyperlink>
      <w:r>
        <w:t xml:space="preserve"> </w:t>
      </w:r>
      <w:hyperlink r:id="rId21">
        <w:r>
          <w:rPr>
            <w:rStyle w:val="Hyperlink"/>
          </w:rPr>
          <w:t xml:space="preserve">[46]</w:t>
        </w:r>
      </w:hyperlink>
      <w:r>
        <w:t xml:space="preserve"> </w:t>
      </w:r>
      <w:hyperlink r:id="rId21">
        <w:r>
          <w:rPr>
            <w:rStyle w:val="Hyperlink"/>
          </w:rPr>
          <w:t xml:space="preserve">[47]</w:t>
        </w:r>
      </w:hyperlink>
      <w:r>
        <w:t xml:space="preserve"> </w:t>
      </w:r>
      <w:hyperlink r:id="rId21">
        <w:r>
          <w:rPr>
            <w:rStyle w:val="Hyperlink"/>
          </w:rPr>
          <w:t xml:space="preserve">[55]</w:t>
        </w:r>
      </w:hyperlink>
      <w:r>
        <w:t xml:space="preserve"> </w:t>
      </w:r>
      <w:r>
        <w:t xml:space="preserve">https://arxiv.org/abs/2507.09089</w:t>
      </w:r>
    </w:p>
    <w:p>
      <w:pPr>
        <w:pStyle w:val="BodyText"/>
      </w:pPr>
      <w:hyperlink r:id="rId21">
        <w:r>
          <w:rPr>
            <w:rStyle w:val="Hyperlink"/>
          </w:rPr>
          <w:t xml:space="preserve">https://arxiv.org/abs/2507.09089</w:t>
        </w:r>
      </w:hyperlink>
    </w:p>
    <w:p>
      <w:pPr>
        <w:pStyle w:val="BodyText"/>
      </w:pPr>
      <w:hyperlink r:id="rId22">
        <w:r>
          <w:rPr>
            <w:rStyle w:val="Hyperlink"/>
          </w:rPr>
          <w:t xml:space="preserve">[3]</w:t>
        </w:r>
      </w:hyperlink>
      <w:r>
        <w:t xml:space="preserve"> </w:t>
      </w:r>
      <w:hyperlink r:id="rId22">
        <w:r>
          <w:rPr>
            <w:rStyle w:val="Hyperlink"/>
          </w:rPr>
          <w:t xml:space="preserve">[13]</w:t>
        </w:r>
      </w:hyperlink>
      <w:r>
        <w:t xml:space="preserve"> </w:t>
      </w:r>
      <w:hyperlink r:id="rId22">
        <w:r>
          <w:rPr>
            <w:rStyle w:val="Hyperlink"/>
          </w:rPr>
          <w:t xml:space="preserve">[54]</w:t>
        </w:r>
      </w:hyperlink>
      <w:r>
        <w:t xml:space="preserve"> </w:t>
      </w:r>
      <w:r>
        <w:t xml:space="preserve">https://ar5iv.org/pdf/2302.06590</w:t>
      </w:r>
    </w:p>
    <w:p>
      <w:pPr>
        <w:pStyle w:val="BodyText"/>
      </w:pPr>
      <w:hyperlink r:id="rId22">
        <w:r>
          <w:rPr>
            <w:rStyle w:val="Hyperlink"/>
          </w:rPr>
          <w:t xml:space="preserve">https://ar5iv.org/pdf/2302.06590</w:t>
        </w:r>
      </w:hyperlink>
    </w:p>
    <w:p>
      <w:pPr>
        <w:pStyle w:val="BodyText"/>
      </w:pPr>
      <w:hyperlink r:id="rId23">
        <w:r>
          <w:rPr>
            <w:rStyle w:val="Hyperlink"/>
          </w:rPr>
          <w:t xml:space="preserve">[4]</w:t>
        </w:r>
      </w:hyperlink>
      <w:r>
        <w:t xml:space="preserve"> </w:t>
      </w:r>
      <w:hyperlink r:id="rId23">
        <w:r>
          <w:rPr>
            <w:rStyle w:val="Hyperlink"/>
          </w:rPr>
          <w:t xml:space="preserve">[8]</w:t>
        </w:r>
      </w:hyperlink>
      <w:r>
        <w:t xml:space="preserve"> </w:t>
      </w:r>
      <w:hyperlink r:id="rId23">
        <w:r>
          <w:rPr>
            <w:rStyle w:val="Hyperlink"/>
          </w:rPr>
          <w:t xml:space="preserve">[9]</w:t>
        </w:r>
      </w:hyperlink>
      <w:r>
        <w:t xml:space="preserve"> </w:t>
      </w:r>
      <w:hyperlink r:id="rId23">
        <w:r>
          <w:rPr>
            <w:rStyle w:val="Hyperlink"/>
          </w:rPr>
          <w:t xml:space="preserve">[12]</w:t>
        </w:r>
      </w:hyperlink>
      <w:r>
        <w:t xml:space="preserve"> </w:t>
      </w:r>
      <w:hyperlink r:id="rId23">
        <w:r>
          <w:rPr>
            <w:rStyle w:val="Hyperlink"/>
          </w:rPr>
          <w:t xml:space="preserve">[16]</w:t>
        </w:r>
      </w:hyperlink>
      <w:r>
        <w:t xml:space="preserve"> </w:t>
      </w:r>
      <w:hyperlink r:id="rId23">
        <w:r>
          <w:rPr>
            <w:rStyle w:val="Hyperlink"/>
          </w:rPr>
          <w:t xml:space="preserve">[18]</w:t>
        </w:r>
      </w:hyperlink>
      <w:r>
        <w:t xml:space="preserve"> </w:t>
      </w:r>
      <w:hyperlink r:id="rId23">
        <w:r>
          <w:rPr>
            <w:rStyle w:val="Hyperlink"/>
          </w:rPr>
          <w:t xml:space="preserve">[19]</w:t>
        </w:r>
      </w:hyperlink>
      <w:r>
        <w:t xml:space="preserve"> </w:t>
      </w:r>
      <w:hyperlink r:id="rId23">
        <w:r>
          <w:rPr>
            <w:rStyle w:val="Hyperlink"/>
          </w:rPr>
          <w:t xml:space="preserve">[20]</w:t>
        </w:r>
      </w:hyperlink>
      <w:r>
        <w:t xml:space="preserve"> </w:t>
      </w:r>
      <w:hyperlink r:id="rId23">
        <w:r>
          <w:rPr>
            <w:rStyle w:val="Hyperlink"/>
          </w:rPr>
          <w:t xml:space="preserve">[21]</w:t>
        </w:r>
      </w:hyperlink>
      <w:r>
        <w:t xml:space="preserve"> </w:t>
      </w:r>
      <w:hyperlink r:id="rId23">
        <w:r>
          <w:rPr>
            <w:rStyle w:val="Hyperlink"/>
          </w:rPr>
          <w:t xml:space="preserve">[22]</w:t>
        </w:r>
      </w:hyperlink>
      <w:r>
        <w:t xml:space="preserve"> </w:t>
      </w:r>
      <w:hyperlink r:id="rId23">
        <w:r>
          <w:rPr>
            <w:rStyle w:val="Hyperlink"/>
          </w:rPr>
          <w:t xml:space="preserve">[23]</w:t>
        </w:r>
      </w:hyperlink>
      <w:r>
        <w:t xml:space="preserve"> </w:t>
      </w:r>
      <w:hyperlink r:id="rId23">
        <w:r>
          <w:rPr>
            <w:rStyle w:val="Hyperlink"/>
          </w:rPr>
          <w:t xml:space="preserve">[24]</w:t>
        </w:r>
      </w:hyperlink>
      <w:r>
        <w:t xml:space="preserve"> </w:t>
      </w:r>
      <w:hyperlink r:id="rId23">
        <w:r>
          <w:rPr>
            <w:rStyle w:val="Hyperlink"/>
          </w:rPr>
          <w:t xml:space="preserve">[31]</w:t>
        </w:r>
      </w:hyperlink>
      <w:r>
        <w:t xml:space="preserve"> </w:t>
      </w:r>
      <w:hyperlink r:id="rId23">
        <w:r>
          <w:rPr>
            <w:rStyle w:val="Hyperlink"/>
          </w:rPr>
          <w:t xml:space="preserve">[44]</w:t>
        </w:r>
      </w:hyperlink>
      <w:r>
        <w:t xml:space="preserve"> </w:t>
      </w:r>
      <w:hyperlink r:id="rId23">
        <w:r>
          <w:rPr>
            <w:rStyle w:val="Hyperlink"/>
          </w:rPr>
          <w:t xml:space="preserve">[45]</w:t>
        </w:r>
      </w:hyperlink>
      <w:r>
        <w:t xml:space="preserve"> </w:t>
      </w:r>
      <w:hyperlink r:id="rId23">
        <w:r>
          <w:rPr>
            <w:rStyle w:val="Hyperlink"/>
          </w:rPr>
          <w:t xml:space="preserve">[49]</w:t>
        </w:r>
      </w:hyperlink>
      <w:r>
        <w:t xml:space="preserve"> </w:t>
      </w:r>
      <w:hyperlink r:id="rId23">
        <w:r>
          <w:rPr>
            <w:rStyle w:val="Hyperlink"/>
          </w:rPr>
          <w:t xml:space="preserve">[52]</w:t>
        </w:r>
      </w:hyperlink>
      <w:r>
        <w:t xml:space="preserve"> </w:t>
      </w:r>
      <w:r>
        <w:t xml:space="preserve">https://pmc.ncbi.nlm.nih.gov/articles/PMC12768499/</w:t>
      </w:r>
    </w:p>
    <w:p>
      <w:pPr>
        <w:pStyle w:val="BodyText"/>
      </w:pPr>
      <w:hyperlink r:id="rId23">
        <w:r>
          <w:rPr>
            <w:rStyle w:val="Hyperlink"/>
          </w:rPr>
          <w:t xml:space="preserve">https://pmc.ncbi.nlm.nih.gov/articles/PMC12768499/</w:t>
        </w:r>
      </w:hyperlink>
    </w:p>
    <w:p>
      <w:pPr>
        <w:pStyle w:val="BodyText"/>
      </w:pPr>
      <w:hyperlink r:id="rId24">
        <w:r>
          <w:rPr>
            <w:rStyle w:val="Hyperlink"/>
          </w:rPr>
          <w:t xml:space="preserve">[5]</w:t>
        </w:r>
      </w:hyperlink>
      <w:r>
        <w:t xml:space="preserve"> </w:t>
      </w:r>
      <w:hyperlink r:id="rId24">
        <w:r>
          <w:rPr>
            <w:rStyle w:val="Hyperlink"/>
          </w:rPr>
          <w:t xml:space="preserve">[14]</w:t>
        </w:r>
      </w:hyperlink>
      <w:r>
        <w:t xml:space="preserve"> </w:t>
      </w:r>
      <w:hyperlink r:id="rId24">
        <w:r>
          <w:rPr>
            <w:rStyle w:val="Hyperlink"/>
          </w:rPr>
          <w:t xml:space="preserve">[39]</w:t>
        </w:r>
      </w:hyperlink>
      <w:r>
        <w:t xml:space="preserve"> </w:t>
      </w:r>
      <w:r>
        <w:t xml:space="preserve">https://jamanetwork.com/journals/jamainternalmedicine/fullarticle/2781307</w:t>
      </w:r>
    </w:p>
    <w:p>
      <w:pPr>
        <w:pStyle w:val="BodyText"/>
      </w:pPr>
      <w:hyperlink r:id="rId24">
        <w:r>
          <w:rPr>
            <w:rStyle w:val="Hyperlink"/>
          </w:rPr>
          <w:t xml:space="preserve">https://jamanetwork.com/journals/jamainternalmedicine/fullarticle/2781307</w:t>
        </w:r>
      </w:hyperlink>
    </w:p>
    <w:p>
      <w:pPr>
        <w:pStyle w:val="BodyText"/>
      </w:pPr>
      <w:hyperlink r:id="rId25">
        <w:r>
          <w:rPr>
            <w:rStyle w:val="Hyperlink"/>
          </w:rPr>
          <w:t xml:space="preserve">[6]</w:t>
        </w:r>
      </w:hyperlink>
      <w:r>
        <w:t xml:space="preserve"> </w:t>
      </w:r>
      <w:hyperlink r:id="rId25">
        <w:r>
          <w:rPr>
            <w:rStyle w:val="Hyperlink"/>
          </w:rPr>
          <w:t xml:space="preserve">[36]</w:t>
        </w:r>
      </w:hyperlink>
      <w:r>
        <w:t xml:space="preserve"> </w:t>
      </w:r>
      <w:hyperlink r:id="rId25">
        <w:r>
          <w:rPr>
            <w:rStyle w:val="Hyperlink"/>
          </w:rPr>
          <w:t xml:space="preserve">[37]</w:t>
        </w:r>
      </w:hyperlink>
      <w:r>
        <w:t xml:space="preserve"> </w:t>
      </w:r>
      <w:r>
        <w:t xml:space="preserve">https://docs.github.com/en/copilot/responsible-use/chat-in-your-ide</w:t>
      </w:r>
    </w:p>
    <w:p>
      <w:pPr>
        <w:pStyle w:val="BodyText"/>
      </w:pPr>
      <w:hyperlink r:id="rId25">
        <w:r>
          <w:rPr>
            <w:rStyle w:val="Hyperlink"/>
          </w:rPr>
          <w:t xml:space="preserve">https://docs.github.com/en/copilot/responsible-use/chat-in-your-ide</w:t>
        </w:r>
      </w:hyperlink>
    </w:p>
    <w:p>
      <w:pPr>
        <w:pStyle w:val="BodyText"/>
      </w:pPr>
      <w:hyperlink r:id="rId26">
        <w:r>
          <w:rPr>
            <w:rStyle w:val="Hyperlink"/>
          </w:rPr>
          <w:t xml:space="preserve">[7]</w:t>
        </w:r>
      </w:hyperlink>
      <w:r>
        <w:t xml:space="preserve"> </w:t>
      </w:r>
      <w:hyperlink r:id="rId26">
        <w:r>
          <w:rPr>
            <w:rStyle w:val="Hyperlink"/>
          </w:rPr>
          <w:t xml:space="preserve">[40]</w:t>
        </w:r>
      </w:hyperlink>
      <w:r>
        <w:t xml:space="preserve"> </w:t>
      </w:r>
      <w:r>
        <w:t xml:space="preserve">https://uk.newsroom.ibm.com/2017-06-01-At-ASCO-2017-Clinicians-Present-New-Evidence-about-Watson-Cognitive-Technology-and-Cancer-Care</w:t>
      </w:r>
    </w:p>
    <w:p>
      <w:pPr>
        <w:pStyle w:val="BodyText"/>
      </w:pPr>
      <w:hyperlink r:id="rId26">
        <w:r>
          <w:rPr>
            <w:rStyle w:val="Hyperlink"/>
          </w:rPr>
          <w:t xml:space="preserve">https://uk.newsroom.ibm.com/2017-06-01-At-ASCO-2017-Clinicians-Present-New-Evidence-about-Watson-Cognitive-Technology-and-Cancer-Care</w:t>
        </w:r>
      </w:hyperlink>
    </w:p>
    <w:p>
      <w:pPr>
        <w:pStyle w:val="BodyText"/>
      </w:pPr>
      <w:hyperlink r:id="rId28">
        <w:r>
          <w:rPr>
            <w:rStyle w:val="Hyperlink"/>
          </w:rPr>
          <w:t xml:space="preserve">[10]</w:t>
        </w:r>
      </w:hyperlink>
      <w:r>
        <w:t xml:space="preserve"> </w:t>
      </w:r>
      <w:hyperlink r:id="rId28">
        <w:r>
          <w:rPr>
            <w:rStyle w:val="Hyperlink"/>
          </w:rPr>
          <w:t xml:space="preserve">[51]</w:t>
        </w:r>
      </w:hyperlink>
      <w:r>
        <w:t xml:space="preserve"> </w:t>
      </w:r>
      <w:r>
        <w:t xml:space="preserve">https://www.microsoft.com/en-us/industry/blog/healthcare/2024/08/08/dax-copilot-new-customization-options-and-ai-capabilities-for-even-greater-productivity/</w:t>
      </w:r>
    </w:p>
    <w:p>
      <w:pPr>
        <w:pStyle w:val="BodyText"/>
      </w:pPr>
      <w:hyperlink r:id="rId28">
        <w:r>
          <w:rPr>
            <w:rStyle w:val="Hyperlink"/>
          </w:rPr>
          <w:t xml:space="preserve">https://www.microsoft.com/en-us/industry/blog/healthcare/2024/08/08/dax-copilot-new-customization-options-and-ai-capabilities-for-even-greater-productivity/</w:t>
        </w:r>
      </w:hyperlink>
    </w:p>
    <w:p>
      <w:pPr>
        <w:pStyle w:val="BodyText"/>
      </w:pPr>
      <w:hyperlink r:id="rId29">
        <w:r>
          <w:rPr>
            <w:rStyle w:val="Hyperlink"/>
          </w:rPr>
          <w:t xml:space="preserve">[11]</w:t>
        </w:r>
      </w:hyperlink>
      <w:r>
        <w:t xml:space="preserve"> </w:t>
      </w:r>
      <w:hyperlink r:id="rId29">
        <w:r>
          <w:rPr>
            <w:rStyle w:val="Hyperlink"/>
          </w:rPr>
          <w:t xml:space="preserve">[17]</w:t>
        </w:r>
      </w:hyperlink>
      <w:r>
        <w:t xml:space="preserve"> </w:t>
      </w:r>
      <w:hyperlink r:id="rId29">
        <w:r>
          <w:rPr>
            <w:rStyle w:val="Hyperlink"/>
          </w:rPr>
          <w:t xml:space="preserve">[43]</w:t>
        </w:r>
      </w:hyperlink>
      <w:r>
        <w:t xml:space="preserve"> </w:t>
      </w:r>
      <w:r>
        <w:t xml:space="preserve">https://pubmed.ncbi.nlm.nih.gov/41592210/</w:t>
      </w:r>
    </w:p>
    <w:p>
      <w:pPr>
        <w:pStyle w:val="BodyText"/>
      </w:pPr>
      <w:hyperlink r:id="rId29">
        <w:r>
          <w:rPr>
            <w:rStyle w:val="Hyperlink"/>
          </w:rPr>
          <w:t xml:space="preserve">https://pubmed.ncbi.nlm.nih.gov/41592210/</w:t>
        </w:r>
      </w:hyperlink>
    </w:p>
    <w:p>
      <w:pPr>
        <w:pStyle w:val="BodyText"/>
      </w:pPr>
      <w:hyperlink r:id="rId30">
        <w:r>
          <w:rPr>
            <w:rStyle w:val="Hyperlink"/>
          </w:rPr>
          <w:t xml:space="preserve">[15]</w:t>
        </w:r>
      </w:hyperlink>
      <w:r>
        <w:t xml:space="preserve"> </w:t>
      </w:r>
      <w:hyperlink r:id="rId30">
        <w:r>
          <w:rPr>
            <w:rStyle w:val="Hyperlink"/>
          </w:rPr>
          <w:t xml:space="preserve">[25]</w:t>
        </w:r>
      </w:hyperlink>
      <w:r>
        <w:t xml:space="preserve"> </w:t>
      </w:r>
      <w:hyperlink r:id="rId30">
        <w:r>
          <w:rPr>
            <w:rStyle w:val="Hyperlink"/>
          </w:rPr>
          <w:t xml:space="preserve">[26]</w:t>
        </w:r>
      </w:hyperlink>
      <w:r>
        <w:t xml:space="preserve"> </w:t>
      </w:r>
      <w:hyperlink r:id="rId30">
        <w:r>
          <w:rPr>
            <w:rStyle w:val="Hyperlink"/>
          </w:rPr>
          <w:t xml:space="preserve">[27]</w:t>
        </w:r>
      </w:hyperlink>
      <w:r>
        <w:t xml:space="preserve"> </w:t>
      </w:r>
      <w:hyperlink r:id="rId30">
        <w:r>
          <w:rPr>
            <w:rStyle w:val="Hyperlink"/>
          </w:rPr>
          <w:t xml:space="preserve">[29]</w:t>
        </w:r>
      </w:hyperlink>
      <w:r>
        <w:t xml:space="preserve"> </w:t>
      </w:r>
      <w:hyperlink r:id="rId30">
        <w:r>
          <w:rPr>
            <w:rStyle w:val="Hyperlink"/>
          </w:rPr>
          <w:t xml:space="preserve">[48]</w:t>
        </w:r>
      </w:hyperlink>
      <w:r>
        <w:t xml:space="preserve"> </w:t>
      </w:r>
      <w:hyperlink r:id="rId30">
        <w:r>
          <w:rPr>
            <w:rStyle w:val="Hyperlink"/>
          </w:rPr>
          <w:t xml:space="preserve">[53]</w:t>
        </w:r>
      </w:hyperlink>
      <w:r>
        <w:t xml:space="preserve"> </w:t>
      </w:r>
      <w:r>
        <w:t xml:space="preserve">https://pmc.ncbi.nlm.nih.gov/articles/PMC10990544/</w:t>
      </w:r>
    </w:p>
    <w:p>
      <w:pPr>
        <w:pStyle w:val="BodyText"/>
      </w:pPr>
      <w:hyperlink r:id="rId30">
        <w:r>
          <w:rPr>
            <w:rStyle w:val="Hyperlink"/>
          </w:rPr>
          <w:t xml:space="preserve">https://pmc.ncbi.nlm.nih.gov/articles/PMC10990544/</w:t>
        </w:r>
      </w:hyperlink>
    </w:p>
    <w:p>
      <w:pPr>
        <w:pStyle w:val="BodyText"/>
      </w:pPr>
      <w:hyperlink r:id="rId33">
        <w:r>
          <w:rPr>
            <w:rStyle w:val="Hyperlink"/>
          </w:rPr>
          <w:t xml:space="preserve">[28]</w:t>
        </w:r>
      </w:hyperlink>
      <w:r>
        <w:t xml:space="preserve"> </w:t>
      </w:r>
      <w:r>
        <w:t xml:space="preserve"> </w:t>
      </w:r>
      <w:r>
        <w:t xml:space="preserve">Ambient listening implementation in primary care and changes in electronic health record documentation metrics: Pre–post study of an ambient listening tool - PMC</w:t>
      </w:r>
      <w:r>
        <w:t xml:space="preserve"> </w:t>
      </w:r>
    </w:p>
    <w:p>
      <w:pPr>
        <w:pStyle w:val="BodyText"/>
      </w:pPr>
      <w:hyperlink r:id="rId33">
        <w:r>
          <w:rPr>
            <w:rStyle w:val="Hyperlink"/>
          </w:rPr>
          <w:t xml:space="preserve">https://pmc.ncbi.nlm.nih.gov/articles/PMC12657781/</w:t>
        </w:r>
      </w:hyperlink>
    </w:p>
    <w:p>
      <w:pPr>
        <w:pStyle w:val="BodyText"/>
      </w:pPr>
      <w:hyperlink r:id="rId35">
        <w:r>
          <w:rPr>
            <w:rStyle w:val="Hyperlink"/>
          </w:rPr>
          <w:t xml:space="preserve">[30]</w:t>
        </w:r>
      </w:hyperlink>
      <w:r>
        <w:t xml:space="preserve"> </w:t>
      </w:r>
      <w:r>
        <w:t xml:space="preserve">https://jamanetwork.com/journals/jamanetworkopen/fullarticle/2839542</w:t>
      </w:r>
    </w:p>
    <w:p>
      <w:pPr>
        <w:pStyle w:val="BodyText"/>
      </w:pPr>
      <w:hyperlink r:id="rId35">
        <w:r>
          <w:rPr>
            <w:rStyle w:val="Hyperlink"/>
          </w:rPr>
          <w:t xml:space="preserve">https://jamanetwork.com/journals/jamanetworkopen/fullarticle/2839542</w:t>
        </w:r>
      </w:hyperlink>
    </w:p>
    <w:p>
      <w:pPr>
        <w:pStyle w:val="BodyText"/>
      </w:pPr>
      <w:hyperlink r:id="rId41">
        <w:r>
          <w:rPr>
            <w:rStyle w:val="Hyperlink"/>
          </w:rPr>
          <w:t xml:space="preserve">[33]</w:t>
        </w:r>
      </w:hyperlink>
      <w:r>
        <w:t xml:space="preserve"> </w:t>
      </w:r>
      <w:r>
        <w:t xml:space="preserve">https://mit-genai.pubpub.org/pub/v5iixksv</w:t>
      </w:r>
    </w:p>
    <w:p>
      <w:pPr>
        <w:pStyle w:val="BodyText"/>
      </w:pPr>
      <w:hyperlink r:id="rId41">
        <w:r>
          <w:rPr>
            <w:rStyle w:val="Hyperlink"/>
          </w:rPr>
          <w:t xml:space="preserve">https://mit-genai.pubpub.org/pub/v5iixksv</w:t>
        </w:r>
      </w:hyperlink>
    </w:p>
    <w:p>
      <w:pPr>
        <w:pStyle w:val="BodyText"/>
      </w:pPr>
      <w:hyperlink r:id="rId43">
        <w:r>
          <w:rPr>
            <w:rStyle w:val="Hyperlink"/>
          </w:rPr>
          <w:t xml:space="preserve">[34]</w:t>
        </w:r>
      </w:hyperlink>
      <w:r>
        <w:t xml:space="preserve"> </w:t>
      </w:r>
      <w:r>
        <w:t xml:space="preserve">https://arxiv.org/html/2204.04741v5</w:t>
      </w:r>
    </w:p>
    <w:p>
      <w:pPr>
        <w:pStyle w:val="BodyText"/>
      </w:pPr>
      <w:hyperlink r:id="rId43">
        <w:r>
          <w:rPr>
            <w:rStyle w:val="Hyperlink"/>
          </w:rPr>
          <w:t xml:space="preserve">https://arxiv.org/html/2204.04741v5</w:t>
        </w:r>
      </w:hyperlink>
    </w:p>
    <w:p>
      <w:pPr>
        <w:pStyle w:val="BodyText"/>
      </w:pPr>
      <w:hyperlink r:id="rId44">
        <w:r>
          <w:rPr>
            <w:rStyle w:val="Hyperlink"/>
          </w:rPr>
          <w:t xml:space="preserve">[35]</w:t>
        </w:r>
      </w:hyperlink>
      <w:r>
        <w:t xml:space="preserve"> </w:t>
      </w:r>
      <w:r>
        <w:t xml:space="preserve">https://arxiv.org/html/2310.02059v2</w:t>
      </w:r>
    </w:p>
    <w:p>
      <w:pPr>
        <w:pStyle w:val="BodyText"/>
      </w:pPr>
      <w:hyperlink r:id="rId44">
        <w:r>
          <w:rPr>
            <w:rStyle w:val="Hyperlink"/>
          </w:rPr>
          <w:t xml:space="preserve">https://arxiv.org/html/2310.02059v2</w:t>
        </w:r>
      </w:hyperlink>
    </w:p>
    <w:p>
      <w:pPr>
        <w:pStyle w:val="BodyText"/>
      </w:pPr>
      <w:hyperlink r:id="rId46">
        <w:r>
          <w:rPr>
            <w:rStyle w:val="Hyperlink"/>
          </w:rPr>
          <w:t xml:space="preserve">[38]</w:t>
        </w:r>
      </w:hyperlink>
      <w:r>
        <w:t xml:space="preserve"> </w:t>
      </w:r>
      <w:hyperlink r:id="rId46">
        <w:r>
          <w:rPr>
            <w:rStyle w:val="Hyperlink"/>
          </w:rPr>
          <w:t xml:space="preserve">[50]</w:t>
        </w:r>
      </w:hyperlink>
      <w:r>
        <w:t xml:space="preserve"> </w:t>
      </w:r>
      <w:r>
        <w:t xml:space="preserve">https://www.sciencedirect.com/science/article/pii/S2590291125010186</w:t>
      </w:r>
    </w:p>
    <w:p>
      <w:pPr>
        <w:pStyle w:val="BodyText"/>
      </w:pPr>
      <w:hyperlink r:id="rId46">
        <w:r>
          <w:rPr>
            <w:rStyle w:val="Hyperlink"/>
          </w:rPr>
          <w:t xml:space="preserve">https://www.sciencedirect.com/science/article/pii/S2590291125010186</w:t>
        </w:r>
      </w:hyperlink>
    </w:p>
    <w:p>
      <w:pPr>
        <w:pStyle w:val="BodyText"/>
      </w:pPr>
      <w:hyperlink r:id="rId50">
        <w:r>
          <w:rPr>
            <w:rStyle w:val="Hyperlink"/>
          </w:rPr>
          <w:t xml:space="preserve">[41]</w:t>
        </w:r>
      </w:hyperlink>
      <w:r>
        <w:t xml:space="preserve"> </w:t>
      </w:r>
      <w:r>
        <w:t xml:space="preserve">https://pubmed.ncbi.nlm.nih.gov/30652564/</w:t>
      </w:r>
    </w:p>
    <w:p>
      <w:pPr>
        <w:pStyle w:val="BodyText"/>
      </w:pPr>
      <w:hyperlink r:id="rId50">
        <w:r>
          <w:rPr>
            <w:rStyle w:val="Hyperlink"/>
          </w:rPr>
          <w:t xml:space="preserve">https://pubmed.ncbi.nlm.nih.gov/30652564/</w:t>
        </w:r>
      </w:hyperlink>
    </w:p>
    <w:p>
      <w:pPr>
        <w:pStyle w:val="BodyText"/>
      </w:pPr>
      <w:hyperlink r:id="rId52">
        <w:r>
          <w:rPr>
            <w:rStyle w:val="Hyperlink"/>
          </w:rPr>
          <w:t xml:space="preserve">[42]</w:t>
        </w:r>
      </w:hyperlink>
      <w:r>
        <w:t xml:space="preserve"> </w:t>
      </w:r>
      <w:r>
        <w:t xml:space="preserve">https://arxiv.org/abs/2304.11771</w:t>
      </w:r>
    </w:p>
    <w:p>
      <w:pPr>
        <w:pStyle w:val="BodyText"/>
      </w:pPr>
      <w:hyperlink r:id="rId52">
        <w:r>
          <w:rPr>
            <w:rStyle w:val="Hyperlink"/>
          </w:rPr>
          <w:t xml:space="preserve">https://arxiv.org/abs/2304.11771</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ar5iv.org/pdf/2302.06590" TargetMode="External" /><Relationship Type="http://schemas.openxmlformats.org/officeDocument/2006/relationships/hyperlink" Id="rId52" Target="https://arxiv.org/abs/2304.11771" TargetMode="External" /><Relationship Type="http://schemas.openxmlformats.org/officeDocument/2006/relationships/hyperlink" Id="rId21" Target="https://arxiv.org/abs/2507.09089" TargetMode="External" /><Relationship Type="http://schemas.openxmlformats.org/officeDocument/2006/relationships/hyperlink" Id="rId43" Target="https://arxiv.org/html/2204.04741v5" TargetMode="External" /><Relationship Type="http://schemas.openxmlformats.org/officeDocument/2006/relationships/hyperlink" Id="rId44" Target="https://arxiv.org/html/2310.02059v2" TargetMode="External" /><Relationship Type="http://schemas.openxmlformats.org/officeDocument/2006/relationships/hyperlink" Id="rId25" Target="https://docs.github.com/en/copilot/responsible-use/chat-in-your-ide" TargetMode="External" /><Relationship Type="http://schemas.openxmlformats.org/officeDocument/2006/relationships/hyperlink" Id="rId24" Target="https://jamanetwork.com/journals/jamainternalmedicine/fullarticle/2781307" TargetMode="External" /><Relationship Type="http://schemas.openxmlformats.org/officeDocument/2006/relationships/hyperlink" Id="rId35" Target="https://jamanetwork.com/journals/jamanetworkopen/fullarticle/2839542" TargetMode="External" /><Relationship Type="http://schemas.openxmlformats.org/officeDocument/2006/relationships/hyperlink" Id="rId41" Target="https://mit-genai.pubpub.org/pub/v5iixksv" TargetMode="External" /><Relationship Type="http://schemas.openxmlformats.org/officeDocument/2006/relationships/hyperlink" Id="rId30" Target="https://pmc.ncbi.nlm.nih.gov/articles/PMC10990544/" TargetMode="External" /><Relationship Type="http://schemas.openxmlformats.org/officeDocument/2006/relationships/hyperlink" Id="rId33" Target="https://pmc.ncbi.nlm.nih.gov/articles/PMC12657781/" TargetMode="External" /><Relationship Type="http://schemas.openxmlformats.org/officeDocument/2006/relationships/hyperlink" Id="rId23" Target="https://pmc.ncbi.nlm.nih.gov/articles/PMC12768499/" TargetMode="External" /><Relationship Type="http://schemas.openxmlformats.org/officeDocument/2006/relationships/hyperlink" Id="rId50" Target="https://pubmed.ncbi.nlm.nih.gov/30652564/" TargetMode="External" /><Relationship Type="http://schemas.openxmlformats.org/officeDocument/2006/relationships/hyperlink" Id="rId29" Target="https://pubmed.ncbi.nlm.nih.gov/41592210/" TargetMode="External" /><Relationship Type="http://schemas.openxmlformats.org/officeDocument/2006/relationships/hyperlink" Id="rId26" Target="https://uk.newsroom.ibm.com/2017-06-01-At-ASCO-2017-Clinicians-Present-New-Evidence-about-Watson-Cognitive-Technology-and-Cancer-Care" TargetMode="External" /><Relationship Type="http://schemas.openxmlformats.org/officeDocument/2006/relationships/hyperlink" Id="rId28" Target="https://www.microsoft.com/en-us/industry/blog/healthcare/2024/08/08/dax-copilot-new-customization-options-and-ai-capabilities-for-even-greater-productivity/" TargetMode="External" /><Relationship Type="http://schemas.openxmlformats.org/officeDocument/2006/relationships/hyperlink" Id="rId46" Target="https://www.sciencedirect.com/science/article/pii/S2590291125010186" TargetMode="External" /></Relationships>
</file>

<file path=word/_rels/footnotes.xml.rels><?xml version="1.0" encoding="UTF-8"?><Relationships xmlns="http://schemas.openxmlformats.org/package/2006/relationships"><Relationship Type="http://schemas.openxmlformats.org/officeDocument/2006/relationships/hyperlink" Id="rId22" Target="https://ar5iv.org/pdf/2302.06590" TargetMode="External" /><Relationship Type="http://schemas.openxmlformats.org/officeDocument/2006/relationships/hyperlink" Id="rId52" Target="https://arxiv.org/abs/2304.11771" TargetMode="External" /><Relationship Type="http://schemas.openxmlformats.org/officeDocument/2006/relationships/hyperlink" Id="rId21" Target="https://arxiv.org/abs/2507.09089" TargetMode="External" /><Relationship Type="http://schemas.openxmlformats.org/officeDocument/2006/relationships/hyperlink" Id="rId43" Target="https://arxiv.org/html/2204.04741v5" TargetMode="External" /><Relationship Type="http://schemas.openxmlformats.org/officeDocument/2006/relationships/hyperlink" Id="rId44" Target="https://arxiv.org/html/2310.02059v2" TargetMode="External" /><Relationship Type="http://schemas.openxmlformats.org/officeDocument/2006/relationships/hyperlink" Id="rId25" Target="https://docs.github.com/en/copilot/responsible-use/chat-in-your-ide" TargetMode="External" /><Relationship Type="http://schemas.openxmlformats.org/officeDocument/2006/relationships/hyperlink" Id="rId24" Target="https://jamanetwork.com/journals/jamainternalmedicine/fullarticle/2781307" TargetMode="External" /><Relationship Type="http://schemas.openxmlformats.org/officeDocument/2006/relationships/hyperlink" Id="rId35" Target="https://jamanetwork.com/journals/jamanetworkopen/fullarticle/2839542" TargetMode="External" /><Relationship Type="http://schemas.openxmlformats.org/officeDocument/2006/relationships/hyperlink" Id="rId41" Target="https://mit-genai.pubpub.org/pub/v5iixksv" TargetMode="External" /><Relationship Type="http://schemas.openxmlformats.org/officeDocument/2006/relationships/hyperlink" Id="rId30" Target="https://pmc.ncbi.nlm.nih.gov/articles/PMC10990544/" TargetMode="External" /><Relationship Type="http://schemas.openxmlformats.org/officeDocument/2006/relationships/hyperlink" Id="rId33" Target="https://pmc.ncbi.nlm.nih.gov/articles/PMC12657781/" TargetMode="External" /><Relationship Type="http://schemas.openxmlformats.org/officeDocument/2006/relationships/hyperlink" Id="rId23" Target="https://pmc.ncbi.nlm.nih.gov/articles/PMC12768499/" TargetMode="External" /><Relationship Type="http://schemas.openxmlformats.org/officeDocument/2006/relationships/hyperlink" Id="rId50" Target="https://pubmed.ncbi.nlm.nih.gov/30652564/" TargetMode="External" /><Relationship Type="http://schemas.openxmlformats.org/officeDocument/2006/relationships/hyperlink" Id="rId29" Target="https://pubmed.ncbi.nlm.nih.gov/41592210/" TargetMode="External" /><Relationship Type="http://schemas.openxmlformats.org/officeDocument/2006/relationships/hyperlink" Id="rId26" Target="https://uk.newsroom.ibm.com/2017-06-01-At-ASCO-2017-Clinicians-Present-New-Evidence-about-Watson-Cognitive-Technology-and-Cancer-Care" TargetMode="External" /><Relationship Type="http://schemas.openxmlformats.org/officeDocument/2006/relationships/hyperlink" Id="rId28" Target="https://www.microsoft.com/en-us/industry/blog/healthcare/2024/08/08/dax-copilot-new-customization-options-and-ai-capabilities-for-even-greater-productivity/" TargetMode="External" /><Relationship Type="http://schemas.openxmlformats.org/officeDocument/2006/relationships/hyperlink" Id="rId46" Target="https://www.sciencedirect.com/science/article/pii/S259029112501018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2026-02-11T18:24:06Z</dcterms:created>
  <dcterms:modified xsi:type="dcterms:W3CDTF">2026-02-11T18:24:06Z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