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0EC1F">
      <w:pPr>
        <w:spacing w:after="60"/>
        <w:jc w:val="left"/>
      </w:pPr>
      <w:r>
        <w:rPr>
          <w:rFonts w:ascii="微软雅黑" w:hAnsi="微软雅黑" w:eastAsia="微软雅黑" w:cs="微软雅黑"/>
          <w:b/>
          <w:bCs/>
          <w:color w:val="1F4E79"/>
          <w:sz w:val="40"/>
          <w:szCs w:val="40"/>
        </w:rPr>
        <w:t>研究周报</w:t>
      </w:r>
    </w:p>
    <w:p w14:paraId="3226FA13">
      <w:pPr>
        <w:spacing w:after="40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VerbalVis：全双工语音 × 交互式可视化分析</w:t>
      </w:r>
    </w:p>
    <w:p w14:paraId="41986A85">
      <w:pPr>
        <w:spacing w:after="200"/>
      </w:pPr>
      <w:r>
        <w:rPr>
          <w:rFonts w:ascii="微软雅黑" w:hAnsi="微软雅黑" w:eastAsia="微软雅黑" w:cs="微软雅黑"/>
          <w:color w:val="595959"/>
          <w:sz w:val="24"/>
          <w:szCs w:val="24"/>
        </w:rPr>
        <w:t>从「能听能说」到「能做」——把 barge-in 作为结构性接管信号</w:t>
      </w:r>
    </w:p>
    <w:p w14:paraId="4F4B0B57">
      <w:pPr>
        <w:pBdr>
          <w:bottom w:val="single" w:color="1F4E79" w:sz="8" w:space="1"/>
        </w:pBdr>
        <w:spacing w:after="60"/>
      </w:pPr>
      <w:r>
        <w:rPr>
          <w:rFonts w:ascii="微软雅黑" w:hAnsi="微软雅黑" w:eastAsia="微软雅黑" w:cs="微软雅黑"/>
        </w:rPr>
        <w:t>汇报人：Shiqiang     日期：2026 年 6 月 29 日     主题：核心想法、文献综述、申请启动 User Study</w:t>
      </w:r>
    </w:p>
    <w:p w14:paraId="29C3C957">
      <w:pPr>
        <w:pStyle w:val="2"/>
      </w:pPr>
      <w:r>
        <w:rPr>
          <w:rFonts w:ascii="微软雅黑" w:hAnsi="微软雅黑" w:eastAsia="微软雅黑" w:cs="微软雅黑"/>
        </w:rPr>
        <w:t>一、本周一句话概述</w:t>
      </w:r>
    </w:p>
    <w:p w14:paraId="10B706EF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本周我把 VerbalVis 的核心叙事收敛清楚了：现有的全双工语音模型已经解决了「</w:t>
      </w:r>
      <w:r>
        <w:rPr>
          <w:rFonts w:ascii="微软雅黑" w:hAnsi="微软雅黑" w:eastAsia="微软雅黑" w:cs="微软雅黑"/>
          <w:b/>
          <w:bCs/>
        </w:rPr>
        <w:t>能听能说</w:t>
      </w:r>
      <w:r>
        <w:rPr>
          <w:rFonts w:ascii="微软雅黑" w:hAnsi="微软雅黑" w:eastAsia="微软雅黑" w:cs="微软雅黑"/>
        </w:rPr>
        <w:t>」——可以一边说一边听、可以被打断；但可视化分析真正需要的是「</w:t>
      </w:r>
      <w:r>
        <w:rPr>
          <w:rFonts w:ascii="微软雅黑" w:hAnsi="微软雅黑" w:eastAsia="微软雅黑" w:cs="微软雅黑"/>
          <w:b/>
          <w:bCs/>
        </w:rPr>
        <w:t>能做</w:t>
      </w:r>
      <w:r>
        <w:rPr>
          <w:rFonts w:ascii="微软雅黑" w:hAnsi="微软雅黑" w:eastAsia="微软雅黑" w:cs="微软雅黑"/>
        </w:rPr>
        <w:t>」——把一次打断变成对一个持续、可变的仪表盘状态的、有效且一致的操作。VerbalVis 的贡献不在于发明新的打断检测模型，而在于提出一套可复用的「</w:t>
      </w:r>
      <w:r>
        <w:rPr>
          <w:rFonts w:ascii="微软雅黑" w:hAnsi="微软雅黑" w:eastAsia="微软雅黑" w:cs="微软雅黑"/>
          <w:b/>
          <w:bCs/>
        </w:rPr>
        <w:t>接管控制协议（supersession control protocol）</w:t>
      </w:r>
      <w:r>
        <w:rPr>
          <w:rFonts w:ascii="微软雅黑" w:hAnsi="微软雅黑" w:eastAsia="微软雅黑" w:cs="微软雅黑"/>
        </w:rPr>
        <w:t>」，把「打断」从单纯停止播放语音，升级为「保护分析状态、作废过期工具调用、并基于最新仪表盘状态重新规划」。我认为 EDA（探索式数据分析）是论证这一点的最佳场景，并且原型与测量管线都已就位，因此本周想正式申请启动 User Study。</w:t>
      </w:r>
    </w:p>
    <w:p w14:paraId="61C78FCB">
      <w:pPr>
        <w:pStyle w:val="2"/>
      </w:pPr>
      <w:r>
        <w:rPr>
          <w:rFonts w:ascii="微软雅黑" w:hAnsi="微软雅黑" w:eastAsia="微软雅黑" w:cs="微软雅黑"/>
        </w:rPr>
        <w:t>二、核心想法</w:t>
      </w:r>
    </w:p>
    <w:p w14:paraId="1CAAC94E">
      <w:pPr>
        <w:pStyle w:val="3"/>
      </w:pPr>
      <w:r>
        <w:rPr>
          <w:rFonts w:ascii="微软雅黑" w:hAnsi="微软雅黑" w:eastAsia="微软雅黑" w:cs="微软雅黑"/>
        </w:rPr>
        <w:t>2.1 为什么 EDA 是一个好的例子</w:t>
      </w:r>
    </w:p>
    <w:p w14:paraId="5C6AB83B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探索式数据分析在本质上是一个</w:t>
      </w:r>
      <w:r>
        <w:rPr>
          <w:rFonts w:ascii="微软雅黑" w:hAnsi="微软雅黑" w:eastAsia="微软雅黑" w:cs="微软雅黑"/>
          <w:b/>
          <w:bCs/>
        </w:rPr>
        <w:t>分析意图不断演化（analytical intent evolution）</w:t>
      </w:r>
      <w:r>
        <w:rPr>
          <w:rFonts w:ascii="微软雅黑" w:hAnsi="微软雅黑" w:eastAsia="微软雅黑" w:cs="微软雅黑"/>
        </w:rPr>
        <w:t>的过程：分析者瞥见一个趋势、形成一个假设、查询数据去验证；数据推翻了假设，于是转向相邻的问题；这个问题又裂解成若干子问题……这条轨迹「在哪里转弯、为什么转、转得多快」并不是噪声，它就是 sensemaking 的实质内容。正因为如此，EDA 天然高频地产生</w:t>
      </w:r>
      <w:r>
        <w:rPr>
          <w:rFonts w:ascii="微软雅黑" w:hAnsi="微软雅黑" w:eastAsia="微软雅黑" w:cs="微软雅黑"/>
          <w:b/>
          <w:bCs/>
        </w:rPr>
        <w:t>说到一半就要改方向</w:t>
      </w:r>
      <w:r>
        <w:rPr>
          <w:rFonts w:ascii="微软雅黑" w:hAnsi="微软雅黑" w:eastAsia="微软雅黑" w:cs="微软雅黑"/>
        </w:rPr>
        <w:t>的需求，这恰好是检验「打断即接管」最理想的压力测试场。</w:t>
      </w:r>
    </w:p>
    <w:p w14:paraId="3544BC5E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具体来说，EDA 之所以是好例子，有四个相互叠加的理由：</w:t>
      </w:r>
    </w:p>
    <w:p w14:paraId="310BC246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意图演化密集：</w:t>
      </w:r>
      <w:r>
        <w:rPr>
          <w:rFonts w:ascii="微软雅黑" w:hAnsi="微软雅黑" w:eastAsia="微软雅黑" w:cs="微软雅黑"/>
        </w:rPr>
        <w:t>观察→怀疑→打断→改意图→重规划→新可视化→再观察，这个循环本身就是不断被「修订」打断的，意图修订是常态而非异常。</w:t>
      </w:r>
    </w:p>
    <w:p w14:paraId="2A5D1F02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误导代价在语音里被放大：</w:t>
      </w:r>
      <w:r>
        <w:rPr>
          <w:rFonts w:ascii="微软雅黑" w:hAnsi="微软雅黑" w:eastAsia="微软雅黑" w:cs="微软雅黑"/>
        </w:rPr>
        <w:t>语音回复以「说话速度」展开，一段跑偏的解释可能要耗掉几十秒，用户才能重新拿到话语权——等待成本远高于打字界面。</w:t>
      </w:r>
    </w:p>
    <w:p w14:paraId="104D67D8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存在持久可变状态：</w:t>
      </w:r>
      <w:r>
        <w:rPr>
          <w:rFonts w:ascii="微软雅黑" w:hAnsi="微软雅黑" w:eastAsia="微软雅黑" w:cs="微软雅黑"/>
        </w:rPr>
        <w:t>仪表盘里已经有过滤、高亮、派生视图和上一次调用产生的结果。如果用户在系统正说话时改了意图，旧的工具调用可能已经排队或正在执行，其迟到结果会在新分析开始后才落地——只停音频并不能保证状态一致。这让「过期动作」的危害真实可见。</w:t>
      </w:r>
    </w:p>
    <w:p w14:paraId="31C5FF50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有坚实的理论支撑：</w:t>
      </w:r>
      <w:r>
        <w:rPr>
          <w:rFonts w:ascii="微软雅黑" w:hAnsi="微软雅黑" w:eastAsia="微软雅黑" w:cs="微软雅黑"/>
        </w:rPr>
        <w:t>sensemaking 与企业分析的实证研究都表明，分析者带着不完整的目标工作、反复重述问题——意图演化是有文献根基的研究对象（见文献综述 3.4、3.5）。</w:t>
      </w:r>
    </w:p>
    <w:p w14:paraId="1FC44F5B">
      <w:pPr>
        <w:pStyle w:val="3"/>
      </w:pPr>
      <w:r>
        <w:rPr>
          <w:rFonts w:ascii="微软雅黑" w:hAnsi="微软雅黑" w:eastAsia="微软雅黑" w:cs="微软雅黑"/>
        </w:rPr>
        <w:t>2.2 全双工语音与可视化方向的结合</w:t>
      </w:r>
    </w:p>
    <w:p w14:paraId="70679DB1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过去的可视化自然语言界面（V-NLI）和近期基于 LLM 的智能体式可视化系统，几乎都是</w:t>
      </w:r>
      <w:r>
        <w:rPr>
          <w:rFonts w:ascii="微软雅黑" w:hAnsi="微软雅黑" w:eastAsia="微软雅黑" w:cs="微软雅黑"/>
          <w:b/>
          <w:bCs/>
        </w:rPr>
        <w:t>回合制（turn-based）</w:t>
      </w:r>
      <w:r>
        <w:rPr>
          <w:rFonts w:ascii="微软雅黑" w:hAnsi="微软雅黑" w:eastAsia="微软雅黑" w:cs="微软雅黑"/>
        </w:rPr>
        <w:t>的：用户说/打字，系统处理，系统回复，用户再说。意图修订因此被限制在离散的「交接点」上。当系统正在输出一个已经偏离用户兴趣的分析时，用户除了等它说完、再纠正、再等，别无他法。</w:t>
      </w:r>
    </w:p>
    <w:p w14:paraId="3B7E74AE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全双工语音模型（如 OpenAI 的 gpt-realtime-2）提供了一种不同的</w:t>
      </w:r>
      <w:r>
        <w:rPr>
          <w:rFonts w:ascii="微软雅黑" w:hAnsi="微软雅黑" w:eastAsia="微软雅黑" w:cs="微软雅黑"/>
          <w:b/>
          <w:bCs/>
        </w:rPr>
        <w:t>时间性可供性（temporal affordance）</w:t>
      </w:r>
      <w:r>
        <w:rPr>
          <w:rFonts w:ascii="微软雅黑" w:hAnsi="微软雅黑" w:eastAsia="微软雅黑" w:cs="微软雅黑"/>
        </w:rPr>
        <w:t>：用户可以在任意时刻插话，系统能检测到插话、取消或截断正在进行的回复、并从最新输入继续。把这种能力和</w:t>
      </w:r>
      <w:r>
        <w:rPr>
          <w:rFonts w:ascii="微软雅黑" w:hAnsi="微软雅黑" w:eastAsia="微软雅黑" w:cs="微软雅黑"/>
          <w:b/>
          <w:bCs/>
        </w:rPr>
        <w:t>有状态的分析工具</w:t>
      </w:r>
      <w:r>
        <w:rPr>
          <w:rFonts w:ascii="微软雅黑" w:hAnsi="微软雅黑" w:eastAsia="微软雅黑" w:cs="微软雅黑"/>
        </w:rPr>
        <w:t>耦合在一起，就得到了 VerbalVis 想做的事——让「改方向」从一个回合之间的操作，变成一个在回复进行过程中随时可用的连续动作。这个结合点是论文的真正落点：不是新的语言到图表的解析器，也不是新的语音模型，而是当「口头改向」与「分析工具执行」在时间上重叠时，如何协调二者、保持仪表盘状态一致。</w:t>
      </w:r>
    </w:p>
    <w:p w14:paraId="17847071">
      <w:pPr>
        <w:pStyle w:val="3"/>
      </w:pPr>
      <w:r>
        <w:rPr>
          <w:rFonts w:ascii="微软雅黑" w:hAnsi="微软雅黑" w:eastAsia="微软雅黑" w:cs="微软雅黑"/>
        </w:rPr>
        <w:t>2.3 从「能听能说」到「能做」</w:t>
      </w:r>
    </w:p>
    <w:p w14:paraId="4086E2C6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我用这条线索来组织整篇工作。近两年的全双工对话研究（Duplex Conversation、SyncLLM、Moshi 等）主要推进的是</w:t>
      </w:r>
      <w:r>
        <w:rPr>
          <w:rFonts w:ascii="微软雅黑" w:hAnsi="微软雅黑" w:eastAsia="微软雅黑" w:cs="微软雅黑"/>
          <w:b/>
          <w:bCs/>
        </w:rPr>
        <w:t>对话时序</w:t>
      </w:r>
      <w:r>
        <w:rPr>
          <w:rFonts w:ascii="微软雅黑" w:hAnsi="微软雅黑" w:eastAsia="微软雅黑" w:cs="微软雅黑"/>
        </w:rPr>
        <w:t>：同时听与说、重叠、回声/附和、打断检测——这些解决的是「能听能说」。最近的工作（DuplexSLA、Full-Duplex-Bench-v3）开始把全双工与结构化动作、工具调用连接起来，说明「边说边做」正在成为新问题，但通用的工具调用基准只评估最终 API 序列与参数是否正确。</w:t>
      </w:r>
    </w:p>
    <w:p w14:paraId="7AB3132A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可视化分析的未决问题是</w:t>
      </w:r>
      <w:r>
        <w:rPr>
          <w:rFonts w:ascii="微软雅黑" w:hAnsi="微软雅黑" w:eastAsia="微软雅黑" w:cs="微软雅黑"/>
          <w:b/>
          <w:bCs/>
        </w:rPr>
        <w:t>在一个持久、可变的视觉状态中的动作有效性</w:t>
      </w:r>
      <w:r>
        <w:rPr>
          <w:rFonts w:ascii="微软雅黑" w:hAnsi="微软雅黑" w:eastAsia="微软雅黑" w:cs="微软雅黑"/>
        </w:rPr>
        <w:t>。仪表盘里已经存在过滤、高亮、派生视图与历史结果；当用户在系统说话时修订意图，一个旧工具任务可能已经在执行，其迟到结果可能在新分析开始后才返回。</w:t>
      </w:r>
      <w:r>
        <w:rPr>
          <w:rFonts w:ascii="微软雅黑" w:hAnsi="微软雅黑" w:eastAsia="微软雅黑" w:cs="微软雅黑"/>
          <w:b/>
          <w:bCs/>
        </w:rPr>
        <w:t>只停音频并不能维持状态一致。</w:t>
      </w:r>
      <w:r>
        <w:rPr>
          <w:rFonts w:ascii="微软雅黑" w:hAnsi="微软雅黑" w:eastAsia="微软雅黑" w:cs="微软雅黑"/>
        </w:rPr>
        <w:t>因此 VerbalVis 把全双工打断从「对话话语权控制」扩展到「跨通道协调」：终止或截断过期语音、作废属于被接管回合的工具任务、拒绝迟到的过期结果、并基于当前仪表盘快照重新规划。这就是从「能听能说」迈向「能做」的那一步。</w:t>
      </w:r>
    </w:p>
    <w:p w14:paraId="3B6F0319">
      <w:pPr>
        <w:pStyle w:val="2"/>
      </w:pPr>
      <w:r>
        <w:rPr>
          <w:rFonts w:ascii="微软雅黑" w:hAnsi="微软雅黑" w:eastAsia="微软雅黑" w:cs="微软雅黑"/>
        </w:rPr>
        <w:t>三、Barge-in（插话/打断）这个概念</w:t>
      </w:r>
    </w:p>
    <w:p w14:paraId="20B03784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在语音与对话系统里，</w:t>
      </w:r>
      <w:r>
        <w:rPr>
          <w:rFonts w:ascii="微软雅黑" w:hAnsi="微软雅黑" w:eastAsia="微软雅黑" w:cs="微软雅黑"/>
          <w:b/>
          <w:bCs/>
        </w:rPr>
        <w:t>barge-in</w:t>
      </w:r>
      <w:r>
        <w:rPr>
          <w:rFonts w:ascii="微软雅黑" w:hAnsi="微软雅黑" w:eastAsia="微软雅黑" w:cs="微软雅黑"/>
        </w:rPr>
        <w:t>指的是用户在系统仍在输出（通常是 TTS 播报）时开口说话、从而打断系统的现象。传统上它被当作</w:t>
      </w:r>
      <w:r>
        <w:rPr>
          <w:rFonts w:ascii="微软雅黑" w:hAnsi="微软雅黑" w:eastAsia="微软雅黑" w:cs="微软雅黑"/>
          <w:b/>
          <w:bCs/>
        </w:rPr>
        <w:t>话语权控制（floor control）</w:t>
      </w:r>
      <w:r>
        <w:rPr>
          <w:rFonts w:ascii="微软雅黑" w:hAnsi="微软雅黑" w:eastAsia="微软雅黑" w:cs="微软雅黑"/>
        </w:rPr>
        <w:t>来处理：检测到用户说话，就把正在播放的语音停掉，让用户重新拿到话语权。</w:t>
      </w:r>
    </w:p>
    <w:p w14:paraId="30643374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VerbalVis 对 barge-in 做了一个更窄、更可操作的重新定义。我们认为</w:t>
      </w:r>
      <w:r>
        <w:rPr>
          <w:rFonts w:ascii="微软雅黑" w:hAnsi="微软雅黑" w:eastAsia="微软雅黑" w:cs="微软雅黑"/>
          <w:b/>
          <w:bCs/>
        </w:rPr>
        <w:t>打断事件本身并不能决定用户的分析意义</w:t>
      </w:r>
      <w:r>
        <w:rPr>
          <w:rFonts w:ascii="微软雅黑" w:hAnsi="微软雅黑" w:eastAsia="微软雅黑" w:cs="微软雅黑"/>
        </w:rPr>
        <w:t>——一次插话可能是附和（backchannel）、是 ASR 纠错、是偶然噪声、是检查设备，也可能是真正的分析改向。所以我们把 barge-in 拆成两部分来用：</w:t>
      </w:r>
    </w:p>
    <w:p w14:paraId="24B9F7D5">
      <w:pPr>
        <w:pStyle w:val="19"/>
        <w:numPr>
          <w:ilvl w:val="0"/>
          <w:numId w:val="2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结构性接管信号（structural supersession signal）：</w:t>
      </w:r>
      <w:r>
        <w:rPr>
          <w:rFonts w:ascii="微软雅黑" w:hAnsi="微软雅黑" w:eastAsia="微软雅黑" w:cs="微软雅黑"/>
        </w:rPr>
        <w:t>打断事件告诉控制器——当前回复及其待执行的动作「可能已经不再有效」。这给了系统「保护分析状态、不让过期工作落地」的许可，而不需要从时序本身去猜用户到底想表达什么。</w:t>
      </w:r>
    </w:p>
    <w:p w14:paraId="5521E8F7">
      <w:pPr>
        <w:pStyle w:val="19"/>
        <w:numPr>
          <w:ilvl w:val="0"/>
          <w:numId w:val="2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语义规格（semantic specification）：</w:t>
      </w:r>
      <w:r>
        <w:rPr>
          <w:rFonts w:ascii="微软雅黑" w:hAnsi="微软雅黑" w:eastAsia="微软雅黑" w:cs="微软雅黑"/>
        </w:rPr>
        <w:t>紧随其后的「改向话语」才提供修订意图的内容。系统先阻止过期的语音和工具工作提交，再用最新这句话去对照被保留下来的仪表盘状态做解释和重规划。</w:t>
      </w:r>
    </w:p>
    <w:p w14:paraId="06A62535">
      <w:pPr>
        <w:spacing w:after="150" w:line="312" w:lineRule="auto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落到机制上，VerbalVis 把 barge-in 当作</w:t>
      </w:r>
      <w:r>
        <w:rPr>
          <w:rFonts w:ascii="微软雅黑" w:hAnsi="微软雅黑" w:eastAsia="微软雅黑" w:cs="微软雅黑"/>
          <w:b/>
          <w:bCs/>
        </w:rPr>
        <w:t>控制事件而非语义分类器</w:t>
      </w:r>
      <w:r>
        <w:rPr>
          <w:rFonts w:ascii="微软雅黑" w:hAnsi="微软雅黑" w:eastAsia="微软雅黑" w:cs="微软雅黑"/>
        </w:rPr>
        <w:t>，用一套五步协议来兑现：(1) 通过服务端语音起始事件或客户端 push-to-talk 检测可能的接管；(2) 递增 turn_epoch，让新输入与后续工具调用归属于新的回合纪元；(3) 用 response.cancel 或 conversation.item.truncate 停掉过期输出；(4) 取消属于被接管回合的工具调用，并用 is_stale_tool_call 检查拦截迟到结果，使其不被返回给模型、也不更新仪表盘；(5) 在下一次 response.create 前重新注入紧凑的仪表盘快照，让新计划锚定在最新有效的视觉状态上。</w:t>
      </w:r>
    </w:p>
    <w:p w14:paraId="286DED05">
      <w:pPr>
        <w:pStyle w:val="3"/>
        <w:keepNext w:val="0"/>
        <w:keepLines w:val="0"/>
        <w:widowControl/>
        <w:suppressLineNumbers w:val="0"/>
      </w:pPr>
      <w:bookmarkStart w:id="0" w:name="_GoBack"/>
      <w:r>
        <w:t>4. “barge-in carries semantic content”这个说法过强</w:t>
      </w:r>
    </w:p>
    <w:p w14:paraId="04576CC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当前论文多次声称：</w:t>
      </w:r>
    </w:p>
    <w:p w14:paraId="22C6731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interruption itself carries semantic content about analytical intent revision</w:t>
      </w:r>
    </w:p>
    <w:p w14:paraId="523EB8C2">
      <w:pPr>
        <w:pStyle w:val="10"/>
        <w:keepNext w:val="0"/>
        <w:keepLines w:val="0"/>
        <w:widowControl/>
        <w:suppressLineNumbers w:val="0"/>
      </w:pPr>
      <w:r>
        <w:t>审稿人很容易反驳：</w:t>
      </w:r>
    </w:p>
    <w:p w14:paraId="6037A3F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用户打断可能是：</w:t>
      </w:r>
    </w:p>
    <w:p w14:paraId="20D9C0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“嗯”“对”之类 backchannel； </w:t>
      </w:r>
    </w:p>
    <w:p w14:paraId="55EB57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ASR correction； </w:t>
      </w:r>
    </w:p>
    <w:p w14:paraId="178725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accidental noise； </w:t>
      </w:r>
    </w:p>
    <w:p w14:paraId="246C54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问系统能否听见； </w:t>
      </w:r>
    </w:p>
    <w:p w14:paraId="7BC87F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重复前一条命令； </w:t>
      </w:r>
    </w:p>
    <w:p w14:paraId="6500BF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与分析无关的讲话； </w:t>
      </w:r>
    </w:p>
    <w:p w14:paraId="572796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真正的 analytical revision。 </w:t>
      </w:r>
    </w:p>
    <w:p w14:paraId="34D98C76">
      <w:pPr>
        <w:pStyle w:val="10"/>
        <w:keepNext w:val="0"/>
        <w:keepLines w:val="0"/>
        <w:widowControl/>
        <w:suppressLineNumbers w:val="0"/>
      </w:pPr>
      <w:r>
        <w:t>而你的系统并没有在运行时判断是哪一种。</w:t>
      </w:r>
    </w:p>
    <w:p w14:paraId="4FAF931D">
      <w:pPr>
        <w:pStyle w:val="10"/>
        <w:keepNext w:val="0"/>
        <w:keepLines w:val="0"/>
        <w:widowControl/>
        <w:suppressLineNumbers w:val="0"/>
      </w:pPr>
      <w:r>
        <w:t>因此更严谨的说法应该是：</w:t>
      </w:r>
    </w:p>
    <w:p w14:paraId="1FC3059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4"/>
          <w:rFonts w:hint="eastAsia" w:ascii="宋体" w:hAnsi="宋体" w:eastAsia="宋体" w:cs="宋体"/>
          <w:sz w:val="24"/>
          <w:szCs w:val="24"/>
        </w:rPr>
        <w:t>Barge-in provides a structural supersession signal, while the redirecting utterance provides the semantic specification of the revised intent.</w:t>
      </w:r>
    </w:p>
    <w:p w14:paraId="498EA03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即：</w:t>
      </w:r>
    </w:p>
    <w:p w14:paraId="606134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interruption event 提供“旧 response 可能已失效”的控制信号； </w:t>
      </w:r>
    </w:p>
    <w:p w14:paraId="3731BB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utterance content 决定新意图； </w:t>
      </w:r>
    </w:p>
    <w:p w14:paraId="4E4870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系统首先阻止旧工作提交，再重新解释用户话语。 </w:t>
      </w:r>
    </w:p>
    <w:p w14:paraId="1C7BE05E">
      <w:pPr>
        <w:pStyle w:val="10"/>
        <w:keepNext w:val="0"/>
        <w:keepLines w:val="0"/>
        <w:widowControl/>
        <w:suppressLineNumbers w:val="0"/>
      </w:pPr>
      <w:r>
        <w:t>这比“打断本身携带语义”更准确，也更符合你的实际实现。</w:t>
      </w:r>
    </w:p>
    <w:p w14:paraId="693D5B0B">
      <w:pPr>
        <w:pStyle w:val="3"/>
        <w:keepNext w:val="0"/>
        <w:keepLines w:val="0"/>
        <w:widowControl/>
        <w:suppressLineNumbers w:val="0"/>
      </w:pPr>
      <w:r>
        <w:t>5. 系统贡献需要从“工程实现”升级为“可复用控制协议”</w:t>
      </w:r>
    </w:p>
    <w:p w14:paraId="1352D478">
      <w:pPr>
        <w:pStyle w:val="10"/>
        <w:keepNext w:val="0"/>
        <w:keepLines w:val="0"/>
        <w:widowControl/>
        <w:suppressLineNumbers w:val="0"/>
      </w:pPr>
      <w:r>
        <w:t>当前技术内容主要是：</w:t>
      </w:r>
    </w:p>
    <w:p w14:paraId="24B76A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7"/>
        </w:rPr>
        <w:t>turn_epoch</w:t>
      </w:r>
      <w:r>
        <w:t xml:space="preserve"> </w:t>
      </w:r>
    </w:p>
    <w:p w14:paraId="38DA94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cancel task </w:t>
      </w:r>
    </w:p>
    <w:p w14:paraId="4B8924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stale check </w:t>
      </w:r>
    </w:p>
    <w:p w14:paraId="67461E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locks </w:t>
      </w:r>
    </w:p>
    <w:p w14:paraId="78BD99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pending tool counter </w:t>
      </w:r>
    </w:p>
    <w:p w14:paraId="0C3821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reinject context </w:t>
      </w:r>
    </w:p>
    <w:p w14:paraId="1B13AA6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这些是好的实现细节，但还不足以形成 TVCG 级 architectural contribution。</w:t>
      </w:r>
    </w:p>
    <w:p w14:paraId="18633271">
      <w:pPr>
        <w:pStyle w:val="10"/>
        <w:keepNext w:val="0"/>
        <w:keepLines w:val="0"/>
        <w:widowControl/>
        <w:suppressLineNumbers w:val="0"/>
      </w:pPr>
      <w:r>
        <w:t>建议把核心系统贡献正式定义为：</w:t>
      </w:r>
    </w:p>
    <w:p w14:paraId="4BD5B781">
      <w:pPr>
        <w:pStyle w:val="3"/>
        <w:keepNext w:val="0"/>
        <w:keepLines w:val="0"/>
        <w:widowControl/>
        <w:suppressLineNumbers w:val="0"/>
      </w:pPr>
      <w:r>
        <w:t>Interruption-Safe Analytical Control Protocol</w:t>
      </w:r>
    </w:p>
    <w:p w14:paraId="140A1ECF">
      <w:pPr>
        <w:pStyle w:val="10"/>
        <w:keepNext w:val="0"/>
        <w:keepLines w:val="0"/>
        <w:widowControl/>
        <w:suppressLineNumbers w:val="0"/>
      </w:pPr>
      <w:r>
        <w:t>至少包含四个概念：</w:t>
      </w:r>
    </w:p>
    <w:p w14:paraId="244E4B50">
      <w:pPr>
        <w:pStyle w:val="4"/>
        <w:keepNext w:val="0"/>
        <w:keepLines w:val="0"/>
        <w:widowControl/>
        <w:suppressLineNumbers w:val="0"/>
      </w:pPr>
      <w:r>
        <w:t>Response epoch</w:t>
      </w:r>
    </w:p>
    <w:p w14:paraId="72334E7E">
      <w:pPr>
        <w:pStyle w:val="10"/>
        <w:keepNext w:val="0"/>
        <w:keepLines w:val="0"/>
        <w:widowControl/>
        <w:suppressLineNumbers w:val="0"/>
      </w:pPr>
      <w:r>
        <w:t>每个 assistant response 和由它产生的工具调用绑定到 epoch eee。</w:t>
      </w:r>
    </w:p>
    <w:p w14:paraId="29A87C26">
      <w:pPr>
        <w:pStyle w:val="4"/>
        <w:keepNext w:val="0"/>
        <w:keepLines w:val="0"/>
        <w:widowControl/>
        <w:suppressLineNumbers w:val="0"/>
      </w:pPr>
      <w:r>
        <w:t>Dashboard version</w:t>
      </w:r>
    </w:p>
    <w:p w14:paraId="62055755">
      <w:pPr>
        <w:pStyle w:val="10"/>
        <w:keepNext w:val="0"/>
        <w:keepLines w:val="0"/>
        <w:widowControl/>
        <w:suppressLineNumbers w:val="0"/>
      </w:pPr>
      <w:r>
        <w:t>每次已提交的 dashboard mutation 产生状态版本 vvv。</w:t>
      </w:r>
    </w:p>
    <w:p w14:paraId="7E1290CA">
      <w:pPr>
        <w:pStyle w:val="4"/>
        <w:keepNext w:val="0"/>
        <w:keepLines w:val="0"/>
        <w:widowControl/>
        <w:suppressLineNumbers w:val="0"/>
      </w:pPr>
      <w:r>
        <w:t>Supersession event</w:t>
      </w:r>
    </w:p>
    <w:p w14:paraId="3E9F624A">
      <w:pPr>
        <w:pStyle w:val="10"/>
        <w:keepNext w:val="0"/>
        <w:keepLines w:val="0"/>
        <w:widowControl/>
        <w:suppressLineNumbers w:val="0"/>
      </w:pPr>
      <w:r>
        <w:t>用户 barge-in 时：</w:t>
      </w:r>
    </w:p>
    <w:p w14:paraId="61C31B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e←e+1e \leftarrow e+1e←e+1 </w:t>
      </w:r>
    </w:p>
    <w:p w14:paraId="5212E30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旧 epoch 的 response、tool task 和未提交结果全部变为 stale。</w:t>
      </w:r>
    </w:p>
    <w:p w14:paraId="4212453C">
      <w:pPr>
        <w:pStyle w:val="4"/>
        <w:keepNext w:val="0"/>
        <w:keepLines w:val="0"/>
        <w:widowControl/>
        <w:suppressLineNumbers w:val="0"/>
      </w:pPr>
      <w:r>
        <w:t>Commit validation</w:t>
      </w:r>
    </w:p>
    <w:p w14:paraId="00CD9A0F">
      <w:pPr>
        <w:pStyle w:val="10"/>
        <w:keepNext w:val="0"/>
        <w:keepLines w:val="0"/>
        <w:widowControl/>
        <w:suppressLineNumbers w:val="0"/>
      </w:pPr>
      <w:r>
        <w:t>工具结果只有在满足下列条件时才能更新 dashboard：</w:t>
      </w:r>
    </w:p>
    <w:p w14:paraId="7F915F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epoch(result)=epoch(current)epoch(result)=epoch(current)epoch(result)=epoch(current) </w:t>
      </w:r>
    </w:p>
    <w:p w14:paraId="6B35F84B">
      <w:pPr>
        <w:pStyle w:val="10"/>
        <w:keepNext w:val="0"/>
        <w:keepLines w:val="0"/>
        <w:widowControl/>
        <w:suppressLineNumbers w:val="0"/>
      </w:pPr>
      <w:r>
        <w:t>并且：</w:t>
      </w:r>
    </w:p>
    <w:p w14:paraId="365DF9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baseVersion(result)=version(current)baseVersion(result)=version(current)baseVersion(result)=version(current) </w:t>
      </w:r>
    </w:p>
    <w:p w14:paraId="4D661F27">
      <w:pPr>
        <w:pStyle w:val="10"/>
        <w:keepNext w:val="0"/>
        <w:keepLines w:val="0"/>
        <w:widowControl/>
        <w:suppressLineNumbers w:val="0"/>
      </w:pPr>
      <w:r>
        <w:t>否则结果被丢弃或重新规划。</w:t>
      </w:r>
    </w:p>
    <w:p w14:paraId="298AE2DA">
      <w:pPr>
        <w:pStyle w:val="10"/>
        <w:keepNext w:val="0"/>
        <w:keepLines w:val="0"/>
        <w:widowControl/>
        <w:suppressLineNumbers w:val="0"/>
      </w:pPr>
      <w:r>
        <w:t>你需要明确三个 system invariant：</w:t>
      </w:r>
    </w:p>
    <w:p w14:paraId="20CE52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No stale speech continuation</w:t>
      </w:r>
      <w:r>
        <w:br w:type="textWrapping"/>
      </w:r>
      <w:r>
        <w:t xml:space="preserve">中断后旧 response 不再继续播放。 </w:t>
      </w:r>
    </w:p>
    <w:p w14:paraId="568226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No stale analytical commit</w:t>
      </w:r>
      <w:r>
        <w:br w:type="textWrapping"/>
      </w:r>
      <w:r>
        <w:t xml:space="preserve">旧 epoch 的工具结果不能修改 dashboard。 </w:t>
      </w:r>
    </w:p>
    <w:p w14:paraId="5F016D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State-grounded recovery</w:t>
      </w:r>
      <w:r>
        <w:br w:type="textWrapping"/>
      </w:r>
      <w:r>
        <w:t xml:space="preserve">新 response 必须从最后一个已提交 dashboard version 重新规划。 </w:t>
      </w:r>
    </w:p>
    <w:p w14:paraId="50DF3599">
      <w:pPr>
        <w:pStyle w:val="10"/>
        <w:keepNext w:val="0"/>
        <w:keepLines w:val="0"/>
        <w:widowControl/>
        <w:suppressLineNumbers w:val="0"/>
      </w:pPr>
      <w:r>
        <w:t>这样，你的技术贡献就不再只是“我们用了 OpenAI API 和几个锁”，而是一个可以推广到其他 agentic VA 系统的协调机制。</w:t>
      </w:r>
    </w:p>
    <w:bookmarkEnd w:id="0"/>
    <w:p w14:paraId="54728CBE">
      <w:pPr>
        <w:spacing w:after="150" w:line="312" w:lineRule="auto"/>
        <w:jc w:val="both"/>
        <w:rPr>
          <w:rFonts w:ascii="微软雅黑" w:hAnsi="微软雅黑" w:eastAsia="微软雅黑" w:cs="微软雅黑"/>
        </w:rPr>
      </w:pPr>
    </w:p>
    <w:p w14:paraId="675981BF">
      <w:pPr>
        <w:spacing w:after="150" w:line="312" w:lineRule="auto"/>
        <w:jc w:val="both"/>
        <w:rPr>
          <w:rFonts w:ascii="微软雅黑" w:hAnsi="微软雅黑" w:eastAsia="微软雅黑" w:cs="微软雅黑"/>
        </w:rPr>
      </w:pPr>
    </w:p>
    <w:p w14:paraId="2130AEEC">
      <w:pPr>
        <w:spacing w:after="150" w:line="312" w:lineRule="auto"/>
        <w:jc w:val="both"/>
        <w:rPr>
          <w:rFonts w:ascii="微软雅黑" w:hAnsi="微软雅黑" w:eastAsia="微软雅黑" w:cs="微软雅黑"/>
        </w:rPr>
      </w:pPr>
    </w:p>
    <w:p w14:paraId="5B9FD0D4">
      <w:pPr>
        <w:spacing w:after="150" w:line="312" w:lineRule="auto"/>
        <w:jc w:val="both"/>
        <w:rPr>
          <w:rFonts w:ascii="微软雅黑" w:hAnsi="微软雅黑" w:eastAsia="微软雅黑" w:cs="微软雅黑"/>
        </w:rPr>
      </w:pPr>
    </w:p>
    <w:p w14:paraId="47ACF841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一个直观例子（来自 case study）：</w:t>
      </w:r>
      <w:r>
        <w:rPr>
          <w:rFonts w:ascii="微软雅黑" w:hAnsi="微软雅黑" w:eastAsia="微软雅黑" w:cs="微软雅黑"/>
        </w:rPr>
        <w:t>系统正在说「订单量在 2017 年 11 月达到峰值，约为平均月份的 4 倍，让我按品类拆解，看看是不是跨品类的黑五效应……」，用户插话「我更关心评分，不是销量」。barge-in 触发 response.cancel；改向话语被解释；控制器发出 highlight_visual(view-review) 并接着说「评分分布高度集中在 5 星，但有一条不小的 1–2 星长尾，要不要过滤到低分订单看看它们的共性？」——意图从销量拆解切换到满意度调查，用户被省下了整段品类拆解。这就是把 barge-in 当作结构性接管信号、而不仅仅是音频取消的实际价值。</w:t>
      </w:r>
    </w:p>
    <w:p w14:paraId="36E66565">
      <w:pPr>
        <w:pStyle w:val="2"/>
      </w:pPr>
      <w:r>
        <w:rPr>
          <w:rFonts w:ascii="微软雅黑" w:hAnsi="微软雅黑" w:eastAsia="微软雅黑" w:cs="微软雅黑"/>
        </w:rPr>
        <w:t>四、相关文献介绍</w:t>
      </w:r>
    </w:p>
    <w:p w14:paraId="2624C440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我把这次要汇报的文献按四条线索组织：(A) 智能体式 / 对话式可视化分析（DashChat、LightVA），(B) 语音作为可视化分析的合法模态（Talk to the Wall），(C) 回合制语音界面的固有脆弱性（Hands-free Dictation、VoiceAlign），(D) 意图为何会演化的理论与实证根基（Pirolli &amp; Card、Kandel et al.）。每篇都标注了它与 VerbalVis 的关系。</w:t>
      </w:r>
    </w:p>
    <w:p w14:paraId="305E0E5E">
      <w:pPr>
        <w:pStyle w:val="3"/>
      </w:pPr>
      <w:r>
        <w:rPr>
          <w:rFonts w:ascii="微软雅黑" w:hAnsi="微软雅黑" w:eastAsia="微软雅黑" w:cs="微软雅黑"/>
        </w:rPr>
        <w:t>4.1 智能体式 / 对话式可视化分析（最近的直接前序工作）</w:t>
      </w:r>
    </w:p>
    <w:p w14:paraId="74D52880">
      <w:pPr>
        <w:spacing w:before="200" w:after="60" w:line="300" w:lineRule="auto"/>
      </w:pPr>
      <w:r>
        <w:rPr>
          <w:rFonts w:ascii="微软雅黑" w:hAnsi="微软雅黑" w:eastAsia="微软雅黑" w:cs="微软雅黑"/>
          <w:b/>
          <w:bCs/>
        </w:rPr>
        <w:t>[1] DashChat: Interactive Authoring of Performance Dashboard Design Prototypes through Conversation with LLM-Powered Agents</w:t>
      </w:r>
    </w:p>
    <w:p w14:paraId="7713F1A7">
      <w:pPr>
        <w:spacing w:after="100" w:line="280" w:lineRule="auto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对话式仪表盘原型创作；LLM 智能体 + 设计模式协同。</w:t>
      </w:r>
    </w:p>
    <w:p w14:paraId="4EFB32DF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DashChat 协调多个 LLM 驱动的智能体与设计模式，让用户通过对话从文本需求出发，生成并修改工业级仪表盘的设计原型。它面向的是可视化生命周期中的「创作（authoring）」阶段——把需求变成一个仪表盘设计。</w:t>
      </w:r>
    </w:p>
    <w:p w14:paraId="25136D1B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与 VerbalVis 的关系：</w:t>
      </w:r>
      <w:r>
        <w:rPr>
          <w:rFonts w:ascii="微软雅黑" w:hAnsi="微软雅黑" w:eastAsia="微软雅黑" w:cs="微软雅黑"/>
        </w:rPr>
        <w:t>DashChat 是对话式 VA 的重要前序，但它是回合制的、面向「创作仪表盘」；VerbalVis 面向的是在一个已经活着的仪表盘上做「探索式分析使用」，并且把控制从回合之间下沉到回复进行过程之中。它也是我们补充性 Cascade 基线所代表的「语音包裹的回合制文本 LLM VA」范式的代表之一。</w:t>
      </w:r>
    </w:p>
    <w:p w14:paraId="44BEE240">
      <w:pPr>
        <w:spacing w:before="200" w:after="60" w:line="300" w:lineRule="auto"/>
      </w:pPr>
      <w:r>
        <w:rPr>
          <w:rFonts w:ascii="微软雅黑" w:hAnsi="微软雅黑" w:eastAsia="微软雅黑" w:cs="微软雅黑"/>
          <w:b/>
          <w:bCs/>
        </w:rPr>
        <w:t>[2] LightVA: Lightweight Visual Analytics with LLM Agent-Based Task Planning and Execution</w:t>
      </w:r>
    </w:p>
    <w:p w14:paraId="3709E114">
      <w:pPr>
        <w:spacing w:after="100" w:line="280" w:lineRule="auto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轻量级智能体式可视化分析；planner–executor–controller 架构。</w:t>
      </w:r>
    </w:p>
    <w:p w14:paraId="13BC3437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LightVA 采用「规划器—执行器—控制器」架构，把高层分析目标递归分解为数据分析与可视化子任务，并依赖运行时代码生成来执行。它把工作单元从「一张被请求的图表」扩展到「一个多步的分析过程」，确立了智能体式任务规划与执行的能力。</w:t>
      </w:r>
    </w:p>
    <w:p w14:paraId="3D17F47C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与 VerbalVis 的关系：</w:t>
      </w:r>
      <w:r>
        <w:rPr>
          <w:rFonts w:ascii="微软雅黑" w:hAnsi="微软雅黑" w:eastAsia="微软雅黑" w:cs="微软雅黑"/>
        </w:rPr>
        <w:t>LightVA 提供了智能体式的任务执行，但依赖运行时代码生成，且交互仍由回合中介。VerbalVis 改用 schema 化的工具，把分析动作约束为可审计的仪表盘操作，并为每个回复/工具任务绑定回合纪元——当新话语接管旧回复时，能取消在途工作、拒绝过期结果。我们关注的是「回复生成过程中如何行使人的控制」，而非仅在已完成的回合之间。</w:t>
      </w:r>
    </w:p>
    <w:p w14:paraId="7E8E1866">
      <w:pPr>
        <w:pStyle w:val="3"/>
      </w:pPr>
      <w:r>
        <w:rPr>
          <w:rFonts w:ascii="微软雅黑" w:hAnsi="微软雅黑" w:eastAsia="微软雅黑" w:cs="微软雅黑"/>
        </w:rPr>
        <w:t>4.2 语音作为可视化分析的合法模态（正面支持）</w:t>
      </w:r>
    </w:p>
    <w:p w14:paraId="0DF9F1BA">
      <w:pPr>
        <w:spacing w:before="200" w:after="60" w:line="300" w:lineRule="auto"/>
      </w:pPr>
      <w:r>
        <w:rPr>
          <w:rFonts w:ascii="微软雅黑" w:hAnsi="微软雅黑" w:eastAsia="微软雅黑" w:cs="微软雅黑"/>
          <w:b/>
          <w:bCs/>
        </w:rPr>
        <w:t>[3] Talk to the Wall: The Role of Speech Interaction in Collaborative Visual Analytics</w:t>
      </w:r>
    </w:p>
    <w:p w14:paraId="57B82E46">
      <w:pPr>
        <w:spacing w:after="100" w:line="280" w:lineRule="auto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IEEE TVCG（IEEE VIS 2024）；触摸 + 语音，墙面级大屏，协同 sensemaking。</w:t>
      </w:r>
    </w:p>
    <w:p w14:paraId="02FAEE34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作者构建了 TOUCHTALKINTERACTIVE 系统，支持两人在墙面级大屏上以触摸手势 + 语音命令进行共处式协同意义建构，探索大规模文档集合。对 10 对参与者的探索性研究发现：触摸虽是使用最多的模态，但参与者更偏好用语音命令做全局性操作、用于远距离交互，并且语音交互有助于对同伴动作的「觉知（awareness）」；使用语音的倾向与「宜人性」人格特质相关。论文给出了一组面向协同与多模态交互式数据分析系统的设计考量。</w:t>
      </w:r>
    </w:p>
    <w:p w14:paraId="6C4C72FB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与 VerbalVis 的关系：</w:t>
      </w:r>
      <w:r>
        <w:rPr>
          <w:rFonts w:ascii="微软雅黑" w:hAnsi="微软雅黑" w:eastAsia="微软雅黑" w:cs="微软雅黑"/>
        </w:rPr>
        <w:t>这篇是「语音在 VA 中确有独立作用、而非仅仅是打字的替代」的正面实证支撑——尤其是它指出语音适合全局操作与态势觉知。这为 VerbalVis 把语音当作严肃 VA 模态提供了文献依据；同时它的协同/多人场景也呼应了我们未来工作里「多分析者会话中打断可能冲突、需协商重规划」的方向。</w:t>
      </w:r>
    </w:p>
    <w:p w14:paraId="27BB0CB2">
      <w:pPr>
        <w:pStyle w:val="3"/>
      </w:pPr>
      <w:r>
        <w:rPr>
          <w:rFonts w:ascii="微软雅黑" w:hAnsi="微软雅黑" w:eastAsia="微软雅黑" w:cs="微软雅黑"/>
        </w:rPr>
        <w:t>4.3 回合制语音界面的固有脆弱性（动机来源）</w:t>
      </w:r>
    </w:p>
    <w:p w14:paraId="300C466C">
      <w:pPr>
        <w:spacing w:before="200" w:after="60" w:line="300" w:lineRule="auto"/>
      </w:pPr>
      <w:r>
        <w:rPr>
          <w:rFonts w:ascii="微软雅黑" w:hAnsi="微软雅黑" w:eastAsia="微软雅黑" w:cs="微软雅黑"/>
          <w:b/>
          <w:bCs/>
        </w:rPr>
        <w:t>[4] Hands-free, Speech-based Navigation During Dictation: Difficulties, Consequences, and Solutions</w:t>
      </w:r>
    </w:p>
    <w:p w14:paraId="61641F55">
      <w:pPr>
        <w:spacing w:after="100" w:line="280" w:lineRule="auto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Sears, Feng, Oseitutu &amp; Karat；Human–Computer Interaction, Vol. 18(3), 2003。（注：常被引为 CHI 相关脉络，原文发表于 HCI 期刊）</w:t>
      </w:r>
    </w:p>
    <w:p w14:paraId="5955BF72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这篇经典研究考察了在听写场景下「免手、基于语音的导航」的效果。结果显示：用户把约 66% 的时间花在纠错上、只有约 33% 用于真正听写；其中约三分之一的时间只是在从一个位置移动到另一个位置。它还发现「方向型导航」（如「上移两行」）不如「目标型导航」（如「选中目标」）有效，并归纳出语音导航命令失败的三大原因：识别错误、发出无效命令、以及在说命令的中途停顿。</w:t>
      </w:r>
    </w:p>
    <w:p w14:paraId="1BCB6988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与 VerbalVis 的关系：</w:t>
      </w:r>
      <w:r>
        <w:rPr>
          <w:rFonts w:ascii="微软雅黑" w:hAnsi="微软雅黑" w:eastAsia="微软雅黑" w:cs="微软雅黑"/>
        </w:rPr>
        <w:t>这是「回合制语音交互天然脆弱」的早期且有力的证据——尤其「中途停顿导致失败」直接说明了为什么需要能容忍重叠与停顿的全双工机制。VerbalVis 正是要把这种脆弱性从「靠精确措辞与不停顿来回避」，转为「靠接管协议在系统说话时安全地接住改向」。</w:t>
      </w:r>
    </w:p>
    <w:p w14:paraId="5914ED04">
      <w:pPr>
        <w:spacing w:before="200" w:after="60" w:line="300" w:lineRule="auto"/>
      </w:pPr>
      <w:r>
        <w:rPr>
          <w:rFonts w:ascii="微软雅黑" w:hAnsi="微软雅黑" w:eastAsia="微软雅黑" w:cs="微软雅黑"/>
          <w:b/>
          <w:bCs/>
        </w:rPr>
        <w:t>[5] VoiceAlign: A Shimming Layer for Enhancing the Usability of Legacy Voice User Interface Systems</w:t>
      </w:r>
    </w:p>
    <w:p w14:paraId="5647CB1F">
      <w:pPr>
        <w:spacing w:after="100" w:line="280" w:lineRule="auto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Ehtesham-Ul-Haque &amp; Billah；ACM IUI 2026（B 类）。</w:t>
      </w:r>
    </w:p>
    <w:p w14:paraId="33A84526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VoiceAlign 是一个介于用户与遗留 VUI 系统之间的自适应「垫片层（shimming layer）」。通过分析 4 个商用 VUI 系统、并对 16 名参与者做形成性研究，作者发现遗留系统的三类问题：固定命令格式要求精确措辞、限制性超时机制会在用户思考停顿时丢弃输入、以及反馈不足导致多步交互困难。VoiceAlign 拦截自然语音命令，用大语言模型把它们改写成系统要求的语法，再经由一个对底层系统透明的虚拟音频通道发送——从而让用户无需记忆精确措辞、也无需在多步任务中重复命令。</w:t>
      </w:r>
    </w:p>
    <w:p w14:paraId="677BC942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与 VerbalVis 的关系：</w:t>
      </w:r>
      <w:r>
        <w:rPr>
          <w:rFonts w:ascii="微软雅黑" w:hAnsi="微软雅黑" w:eastAsia="微软雅黑" w:cs="微软雅黑"/>
        </w:rPr>
        <w:t>VoiceAlign 与 VerbalVis 共享同一个判断：回合制 / 遗留语音界面是脆弱的（刚性语法、超时丢弃停顿）。但它的解法在「命令措辞翻译」这一层，属于互补工作；VerbalVis 处理的是不同层面的问题——当口头改向与有状态工具执行在时间上重叠时的时序与状态协调。两者结合起来能更完整地说明「让语音界面好用」需要在措辞层和时序/状态层同时发力。</w:t>
      </w:r>
    </w:p>
    <w:p w14:paraId="6D349ABC">
      <w:pPr>
        <w:spacing w:after="160" w:line="280" w:lineRule="auto"/>
      </w:pPr>
      <w:r>
        <w:rPr>
          <w:rFonts w:ascii="微软雅黑" w:hAnsi="微软雅黑" w:eastAsia="微软雅黑" w:cs="微软雅黑"/>
          <w:color w:val="595959"/>
          <w:sz w:val="18"/>
          <w:szCs w:val="18"/>
        </w:rPr>
        <w:t>链接：</w:t>
      </w:r>
      <w:r>
        <w:fldChar w:fldCharType="begin"/>
      </w:r>
      <w:r>
        <w:instrText xml:space="preserve"> HYPERLINK "https://dl.acm.org/doi/10.1145/3742413.3789167" </w:instrText>
      </w:r>
      <w:r>
        <w:fldChar w:fldCharType="separate"/>
      </w:r>
      <w:r>
        <w:rPr>
          <w:rStyle w:val="16"/>
          <w:rFonts w:ascii="微软雅黑" w:hAnsi="微软雅黑" w:eastAsia="微软雅黑" w:cs="微软雅黑"/>
        </w:rPr>
        <w:t>https://dl.acm.org/doi/10.1145/3742413.3789167</w:t>
      </w:r>
      <w:r>
        <w:rPr>
          <w:rStyle w:val="16"/>
          <w:rFonts w:ascii="微软雅黑" w:hAnsi="微软雅黑" w:eastAsia="微软雅黑" w:cs="微软雅黑"/>
        </w:rPr>
        <w:fldChar w:fldCharType="end"/>
      </w:r>
    </w:p>
    <w:p w14:paraId="792F90E4">
      <w:pPr>
        <w:pStyle w:val="3"/>
      </w:pPr>
      <w:r>
        <w:rPr>
          <w:rFonts w:ascii="微软雅黑" w:hAnsi="微软雅黑" w:eastAsia="微软雅黑" w:cs="微软雅黑"/>
        </w:rPr>
        <w:t>4.4 意图为何演化：理论与实证根基</w:t>
      </w:r>
    </w:p>
    <w:p w14:paraId="6D67FC35">
      <w:pPr>
        <w:spacing w:before="200" w:after="60" w:line="300" w:lineRule="auto"/>
      </w:pPr>
      <w:r>
        <w:rPr>
          <w:rFonts w:ascii="微软雅黑" w:hAnsi="微软雅黑" w:eastAsia="微软雅黑" w:cs="微软雅黑"/>
          <w:b/>
          <w:bCs/>
        </w:rPr>
        <w:t>[6] The Sensemaking Process and Leverage Points for Analyst Technology as Identified through Cognitive Task Analysis</w:t>
      </w:r>
    </w:p>
    <w:p w14:paraId="7E0EA6B7">
      <w:pPr>
        <w:spacing w:after="100" w:line="280" w:lineRule="auto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Pirolli &amp; Card；Proc. International Conference on Intelligence Analysis, 2005。</w:t>
      </w:r>
    </w:p>
    <w:p w14:paraId="55108A58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这篇通过认知任务分析提出了被广泛引用的「意义建构（sensemaking）」名义模型：分析在「信息觅食回路（foraging loop）」与「意义建构回路（sensemaking loop）」之间往返，证据与假设反复相互塑形；论文还识别出可供技术介入的若干「杠杆点（leverage points）」。</w:t>
      </w:r>
    </w:p>
    <w:p w14:paraId="3AEA979A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与 VerbalVis 的关系：</w:t>
      </w:r>
      <w:r>
        <w:rPr>
          <w:rFonts w:ascii="微软雅黑" w:hAnsi="微软雅黑" w:eastAsia="微软雅黑" w:cs="微软雅黑"/>
        </w:rPr>
        <w:t>这是 VerbalVis「意图演化」框架的理论根基之一——它从认知层面解释了「为什么分析方向不能被假定为固定不变」。我们把 Goal Shift / Hypothesis Correction / Scope Narrowing 三类修订作为对这一演化过程的设计导向编码视角，正是建立在这条 sensemaking 脉络上。</w:t>
      </w:r>
    </w:p>
    <w:p w14:paraId="119936FF">
      <w:pPr>
        <w:spacing w:before="200" w:after="60" w:line="300" w:lineRule="auto"/>
      </w:pPr>
      <w:r>
        <w:rPr>
          <w:rFonts w:ascii="微软雅黑" w:hAnsi="微软雅黑" w:eastAsia="微软雅黑" w:cs="微软雅黑"/>
          <w:b/>
          <w:bCs/>
        </w:rPr>
        <w:t>[7] Enterprise Data Analysis and Visualization: An Interview Study</w:t>
      </w:r>
    </w:p>
    <w:p w14:paraId="56785BB8">
      <w:pPr>
        <w:spacing w:after="100" w:line="280" w:lineRule="auto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Kandel, Paepcke, Hellerstein &amp; Heer；IEEE TVCG / InfoVis, 2012。</w:t>
      </w:r>
    </w:p>
    <w:p w14:paraId="34A957E7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这是一项对企业内数据分析实践的访谈研究，覆盖多个组织的数十位分析师。它刻画了分析工作的多个阶段（发现、数据整理、画像、建模、报告）与不同的分析者画像，并强调分析者通常带着不完整的目标工作、反复重新表述问题，在数据获取、转换、探索、建模与沟通之间往复。</w:t>
      </w:r>
    </w:p>
    <w:p w14:paraId="18C8B8FD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与 VerbalVis 的关系：</w:t>
      </w:r>
      <w:r>
        <w:rPr>
          <w:rFonts w:ascii="微软雅黑" w:hAnsi="微软雅黑" w:eastAsia="微软雅黑" w:cs="微软雅黑"/>
        </w:rPr>
        <w:t>这是「分析意图会演化」的实证支撑——它从实践层面证明，意图修订是探索式分析的正常组成部分，而非用户犯错后的异常恢复。这为 VerbalVis 选择 EDA 作为测试场、并把「连续可用的意图修订」当作核心设计目标提供了现实依据。</w:t>
      </w:r>
    </w:p>
    <w:p w14:paraId="324DD055">
      <w:r>
        <w:br w:type="page"/>
      </w:r>
    </w:p>
    <w:p w14:paraId="3B89999C">
      <w:pPr>
        <w:pStyle w:val="2"/>
      </w:pPr>
      <w:r>
        <w:rPr>
          <w:rFonts w:ascii="微软雅黑" w:hAnsi="微软雅黑" w:eastAsia="微软雅黑" w:cs="微软雅黑"/>
        </w:rPr>
        <w:t>五、申请：启动 User Study</w:t>
      </w:r>
    </w:p>
    <w:p w14:paraId="47C74BDD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我想正式申请进入 User Study 阶段。下面说明「为什么现在可以开始」以及「研究怎么设计」。</w:t>
      </w:r>
    </w:p>
    <w:p w14:paraId="1435B6B9">
      <w:pPr>
        <w:pStyle w:val="3"/>
      </w:pPr>
      <w:r>
        <w:rPr>
          <w:rFonts w:ascii="微软雅黑" w:hAnsi="微软雅黑" w:eastAsia="微软雅黑" w:cs="微软雅黑"/>
        </w:rPr>
        <w:t>5.1 为什么现在可以开始（就绪度）</w:t>
      </w:r>
    </w:p>
    <w:p w14:paraId="282FB25D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原型端到端可用：</w:t>
      </w:r>
      <w:r>
        <w:rPr>
          <w:rFonts w:ascii="微软雅黑" w:hAnsi="微软雅黑" w:eastAsia="微软雅黑" w:cs="微软雅黑"/>
        </w:rPr>
        <w:t>接管控制协议已实现；5 个仪表盘工具（filter_data、remove_filter、highlight_visual、append_visual、delete_visual）在 Olist 巴西电商数据集上端到端跑通，前端 Vue/Vega-Lite、后端 FastAPI + 内存 DuckDB、以及 OpenAI Realtime 中继均已联通。</w:t>
      </w:r>
    </w:p>
    <w:p w14:paraId="05D7D7C2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机制已被 case study 验证：</w:t>
      </w:r>
      <w:r>
        <w:rPr>
          <w:rFonts w:ascii="微软雅黑" w:hAnsi="微软雅黑" w:eastAsia="微软雅黑" w:cs="微软雅黑"/>
        </w:rPr>
        <w:t>单次会话即覆盖了三类修订（Goal Shift、Hypothesis Correction、Scope Narrowing），且每次被接管的回复之后都先重注入仪表盘上下文再生成，叙述、仪表盘与模型工作假设始终同步。</w:t>
      </w:r>
    </w:p>
    <w:p w14:paraId="0E158085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测量管线已就位：</w:t>
      </w:r>
      <w:r>
        <w:rPr>
          <w:rFonts w:ascii="微软雅黑" w:hAnsi="微软雅黑" w:eastAsia="微软雅黑" w:cs="微软雅黑"/>
        </w:rPr>
        <w:t>realtime.py 中的 _response_metrics 已自动记录首音延迟（TTFA）、每回合延迟、工具调用时长、过期调用状态，以及每次工具调用时的仪表盘上下文快照——量化与轨迹数据都能产出。</w:t>
      </w:r>
    </w:p>
    <w:p w14:paraId="0AC6635F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对照设计已经想清楚：</w:t>
      </w:r>
      <w:r>
        <w:rPr>
          <w:rFonts w:ascii="微软雅黑" w:hAnsi="微软雅黑" w:eastAsia="微软雅黑" w:cs="微软雅黑"/>
        </w:rPr>
        <w:t>主因果对照是 VerbalVis-FullDuplex vs VerbalVis-NoBarge（消融），能把「实时模型家族」的效果与「接管路径」的效果分离开。</w:t>
      </w:r>
    </w:p>
    <w:p w14:paraId="709AFBDC">
      <w:pPr>
        <w:pStyle w:val="3"/>
      </w:pPr>
      <w:r>
        <w:rPr>
          <w:rFonts w:ascii="微软雅黑" w:hAnsi="微软雅黑" w:eastAsia="微软雅黑" w:cs="微软雅黑"/>
        </w:rPr>
        <w:t>5.2 研究设计要点</w:t>
      </w:r>
    </w:p>
    <w:p w14:paraId="68275E97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受试者与设计：</w:t>
      </w:r>
      <w:r>
        <w:rPr>
          <w:rFonts w:ascii="微软雅黑" w:hAnsi="微软雅黑" w:eastAsia="微软雅黑" w:cs="微软雅黑"/>
        </w:rPr>
        <w:t>被试内、配对平衡设计，N = 12–16；要求具备基础数据分析经验，但无需预先了解 Olist 领域。每位被试完成两个开放式探索任务（每个条件一个），任务—条件分配与条件顺序做平衡；每个任务在简短教程后约 12–15 分钟。</w:t>
      </w:r>
    </w:p>
    <w:p w14:paraId="3EA8C4C8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两个主要条件：</w:t>
      </w:r>
    </w:p>
    <w:p w14:paraId="376E5578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条件 A — VerbalVis-FullDuplex：</w:t>
      </w:r>
      <w:r>
        <w:rPr>
          <w:rFonts w:ascii="微软雅黑" w:hAnsi="微软雅黑" w:eastAsia="微软雅黑" w:cs="微软雅黑"/>
        </w:rPr>
        <w:t>用户可在系统输出时说话；barge-in 取消/截断当前回复、递增 turn_epoch、作废过期工具工作，并基于重注入的仪表盘上下文重规划。</w:t>
      </w:r>
    </w:p>
    <w:p w14:paraId="66532E71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  <w:b/>
          <w:bCs/>
        </w:rPr>
        <w:t>条件 B — VerbalVis-NoBarge（消融）：</w:t>
      </w:r>
      <w:r>
        <w:rPr>
          <w:rFonts w:ascii="微软雅黑" w:hAnsi="微软雅黑" w:eastAsia="微软雅黑" w:cs="微软雅黑"/>
        </w:rPr>
        <w:t>同一模型、语音、提示、VAD、仪表盘、后端、工具 schema 与上下文注入逻辑；唯一差别是——系统输出期间用户的语音被排队、直到当前回复完成才处理，不触发取消、截断、纪元作废或过期工具丢弃。这样就把实时模型家族保留下来、只移除接管策略。</w:t>
      </w:r>
    </w:p>
    <w:p w14:paraId="08DBE838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补充性生态基线：</w:t>
      </w:r>
      <w:r>
        <w:rPr>
          <w:rFonts w:ascii="微软雅黑" w:hAnsi="微软雅黑" w:eastAsia="微软雅黑" w:cs="微软雅黑"/>
        </w:rPr>
        <w:t>VerbalVis-Cascade（ASR → 文本 LLM → TTS 的回合制管线），代表 LightVA / DashChat 那类「语音包裹的回合制文本 LLM VA」。但它必然改变模型类型、语音管线、ASR/TTS 延迟、音质与轮替策略，因此只作为补充性生态背景报告，不作为 barge-in 因果主张的证据。</w:t>
      </w:r>
    </w:p>
    <w:p w14:paraId="140D148F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技术基准（与人无关）：</w:t>
      </w:r>
      <w:r>
        <w:rPr>
          <w:rFonts w:ascii="微软雅黑" w:hAnsi="微软雅黑" w:eastAsia="微软雅黑" w:cs="微软雅黑"/>
        </w:rPr>
        <w:t>另做 250 次脚本化自动基准，覆盖五类打断场景（无打断、早期 Goal Shift、晚期 Goal Shift、Hypothesis Correction、Scope Narrowing），报告语音起始检测延迟、取消/截断延迟、过期工具丢弃率、排队延迟、接管后工具正确率与仪表盘上下文一致性——用来把「机制可靠性」与「被试变异」分离。</w:t>
      </w:r>
    </w:p>
    <w:p w14:paraId="11C280C8">
      <w:pPr>
        <w:pStyle w:val="3"/>
      </w:pPr>
      <w:r>
        <w:rPr>
          <w:rFonts w:ascii="微软雅黑" w:hAnsi="微软雅黑" w:eastAsia="微软雅黑" w:cs="微软雅黑"/>
        </w:rPr>
        <w:t>5.3 主要测量与假设</w:t>
      </w:r>
    </w:p>
    <w:p w14:paraId="25C1E10C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定量：</w:t>
      </w:r>
      <w:r>
        <w:rPr>
          <w:rFonts w:ascii="微软雅黑" w:hAnsi="微软雅黑" w:eastAsia="微软雅黑" w:cs="微软雅黑"/>
        </w:rPr>
        <w:t>意图修订次数、修订类型分布、探索广度、洞见数（双编码者 + Cohen's κ）、改向时延（time-to-revision）、浪费的输出时间、排队延迟（NoBarge）、首音延迟与工具调用时长。</w:t>
      </w:r>
    </w:p>
    <w:p w14:paraId="7D1BEF78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定性：</w:t>
      </w:r>
      <w:r>
        <w:rPr>
          <w:rFonts w:ascii="微软雅黑" w:hAnsi="微软雅黑" w:eastAsia="微软雅黑" w:cs="微软雅黑"/>
        </w:rPr>
        <w:t>出声思考（think-aloud）主题编码、半结构化访谈、NASA-TLX、以及 3 题的「感知控制感」量表。</w:t>
      </w:r>
    </w:p>
    <w:p w14:paraId="07F2F2E0">
      <w:pPr>
        <w:spacing w:after="150" w:line="312" w:lineRule="auto"/>
        <w:jc w:val="both"/>
      </w:pPr>
      <w:r>
        <w:rPr>
          <w:rFonts w:ascii="微软雅黑" w:hAnsi="微软雅黑" w:eastAsia="微软雅黑" w:cs="微软雅黑"/>
          <w:b/>
          <w:bCs/>
        </w:rPr>
        <w:t>假设：</w:t>
      </w:r>
    </w:p>
    <w:p w14:paraId="6B42D19B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</w:rPr>
        <w:t>H1：FullDuplex 的意图修订次数高于 NoBarge。</w:t>
      </w:r>
    </w:p>
    <w:p w14:paraId="5B967112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</w:rPr>
        <w:t>H2：FullDuplex 降低改向时延、排队延迟与浪费的输出时间。</w:t>
      </w:r>
    </w:p>
    <w:p w14:paraId="0369D74D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</w:rPr>
        <w:t>H3：FullDuplex 提升探索广度与洞见数。</w:t>
      </w:r>
    </w:p>
    <w:p w14:paraId="19827D9F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</w:rPr>
        <w:t>H4：FullDuplex 的感知控制感更高，且 NASA-TLX 不显著升高。</w:t>
      </w:r>
    </w:p>
    <w:p w14:paraId="0870849B">
      <w:pPr>
        <w:pStyle w:val="19"/>
        <w:numPr>
          <w:ilvl w:val="0"/>
          <w:numId w:val="1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</w:rPr>
        <w:t>H5：FullDuplex 的优势在 Hypothesis Correction 与 Scope Narrowing 上最大——因为这两类修订在「必须听完一段自己本就打算否定或收窄的解释」时代价最高。</w:t>
      </w:r>
    </w:p>
    <w:p w14:paraId="7F0E760C">
      <w:pPr>
        <w:pStyle w:val="3"/>
      </w:pPr>
      <w:r>
        <w:rPr>
          <w:rFonts w:ascii="微软雅黑" w:hAnsi="微软雅黑" w:eastAsia="微软雅黑" w:cs="微软雅黑"/>
        </w:rPr>
        <w:t>5.4 本周想要的决定</w:t>
      </w:r>
    </w:p>
    <w:p w14:paraId="29B3D63C">
      <w:pPr>
        <w:spacing w:after="150" w:line="312" w:lineRule="auto"/>
        <w:jc w:val="both"/>
      </w:pPr>
      <w:r>
        <w:rPr>
          <w:rFonts w:ascii="微软雅黑" w:hAnsi="微软雅黑" w:eastAsia="微软雅黑" w:cs="微软雅黑"/>
        </w:rPr>
        <w:t>希望确认：(1) 是否同意进入 User Study 阶段；(2) N 取 12 还是 16、以及是否需要先跑 2–3 人的 pilot 校准任务难度与时长；(3) 是否需要走 IRB / 伦理审查与同意书流程；(4) Cascade 基线这次是否一并采集，还是留到后续。确定后我可以在一周内完成招募材料、教程脚本与试点。</w:t>
      </w:r>
    </w:p>
    <w:p w14:paraId="66D65362">
      <w:pPr>
        <w:pStyle w:val="2"/>
      </w:pPr>
      <w:r>
        <w:rPr>
          <w:rFonts w:ascii="微软雅黑" w:hAnsi="微软雅黑" w:eastAsia="微软雅黑" w:cs="微软雅黑"/>
        </w:rPr>
        <w:t>六、下一步计划</w:t>
      </w:r>
    </w:p>
    <w:p w14:paraId="07C917EF">
      <w:pPr>
        <w:pStyle w:val="19"/>
        <w:numPr>
          <w:ilvl w:val="0"/>
          <w:numId w:val="2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</w:rPr>
        <w:t>根据本周反馈定稿 User Study 方案，准备招募与知情同意材料、教程脚本与任务清单。</w:t>
      </w:r>
    </w:p>
    <w:p w14:paraId="16666C28">
      <w:pPr>
        <w:pStyle w:val="19"/>
        <w:numPr>
          <w:ilvl w:val="0"/>
          <w:numId w:val="2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</w:rPr>
        <w:t>跑 2–3 人 pilot，校准任务难度、时长与编码手册（revision episode 的判定标准）。</w:t>
      </w:r>
    </w:p>
    <w:p w14:paraId="0AE2B45D">
      <w:pPr>
        <w:pStyle w:val="19"/>
        <w:numPr>
          <w:ilvl w:val="0"/>
          <w:numId w:val="2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</w:rPr>
        <w:t>补完技术基准的脚本化打断场景，先把 250 次自动基准跑出一版，验证机制可靠性。</w:t>
      </w:r>
    </w:p>
    <w:p w14:paraId="0E8CA092">
      <w:pPr>
        <w:pStyle w:val="19"/>
        <w:numPr>
          <w:ilvl w:val="0"/>
          <w:numId w:val="2"/>
        </w:numPr>
        <w:spacing w:after="90" w:line="300" w:lineRule="auto"/>
        <w:jc w:val="both"/>
      </w:pPr>
      <w:r>
        <w:rPr>
          <w:rFonts w:ascii="微软雅黑" w:hAnsi="微软雅黑" w:eastAsia="微软雅黑" w:cs="微软雅黑"/>
        </w:rPr>
        <w:t>正式数据采集与双编码者意图修订编码，随后做 Wilcoxon 符号秩检验与效应量分析。</w:t>
      </w:r>
    </w:p>
    <w:p w14:paraId="3D888C07">
      <w:pPr>
        <w:pStyle w:val="2"/>
      </w:pPr>
      <w:r>
        <w:rPr>
          <w:rFonts w:ascii="微软雅黑" w:hAnsi="微软雅黑" w:eastAsia="微软雅黑" w:cs="微软雅黑"/>
        </w:rPr>
        <w:t>参考链接</w:t>
      </w:r>
    </w:p>
    <w:p w14:paraId="141F662C">
      <w:pPr>
        <w:spacing w:after="80"/>
      </w:pPr>
      <w:r>
        <w:rPr>
          <w:rFonts w:ascii="微软雅黑" w:hAnsi="微软雅黑" w:eastAsia="微软雅黑" w:cs="微软雅黑"/>
        </w:rPr>
        <w:t>[3] Talk to the Wall（arXiv）：</w:t>
      </w:r>
      <w:r>
        <w:fldChar w:fldCharType="begin"/>
      </w:r>
      <w:r>
        <w:instrText xml:space="preserve"> HYPERLINK "https://arxiv.org/abs/2408.03813" </w:instrText>
      </w:r>
      <w:r>
        <w:fldChar w:fldCharType="separate"/>
      </w:r>
      <w:r>
        <w:rPr>
          <w:rStyle w:val="16"/>
          <w:rFonts w:ascii="微软雅黑" w:hAnsi="微软雅黑" w:eastAsia="微软雅黑" w:cs="微软雅黑"/>
        </w:rPr>
        <w:t>https://arxiv.org/abs/2408.03813</w:t>
      </w:r>
      <w:r>
        <w:rPr>
          <w:rStyle w:val="16"/>
          <w:rFonts w:ascii="微软雅黑" w:hAnsi="微软雅黑" w:eastAsia="微软雅黑" w:cs="微软雅黑"/>
        </w:rPr>
        <w:fldChar w:fldCharType="end"/>
      </w:r>
    </w:p>
    <w:p w14:paraId="18AE2069">
      <w:pPr>
        <w:spacing w:after="80"/>
      </w:pPr>
      <w:r>
        <w:rPr>
          <w:rFonts w:ascii="微软雅黑" w:hAnsi="微软雅黑" w:eastAsia="微软雅黑" w:cs="微软雅黑"/>
        </w:rPr>
        <w:t>[4] Hands-free Dictation（HCI Journal）：</w:t>
      </w:r>
      <w:r>
        <w:fldChar w:fldCharType="begin"/>
      </w:r>
      <w:r>
        <w:instrText xml:space="preserve"> HYPERLINK "https://www.tandfonline.com/doi/abs/10.1207/S15327051HCI1803_2" </w:instrText>
      </w:r>
      <w:r>
        <w:fldChar w:fldCharType="separate"/>
      </w:r>
      <w:r>
        <w:rPr>
          <w:rStyle w:val="16"/>
          <w:rFonts w:ascii="微软雅黑" w:hAnsi="微软雅黑" w:eastAsia="微软雅黑" w:cs="微软雅黑"/>
        </w:rPr>
        <w:t>https://www.tandfonline.com/doi/abs/10.1207/S15327051HCI1803_2</w:t>
      </w:r>
      <w:r>
        <w:rPr>
          <w:rStyle w:val="16"/>
          <w:rFonts w:ascii="微软雅黑" w:hAnsi="微软雅黑" w:eastAsia="微软雅黑" w:cs="微软雅黑"/>
        </w:rPr>
        <w:fldChar w:fldCharType="end"/>
      </w:r>
    </w:p>
    <w:p w14:paraId="2EA56F02">
      <w:pPr>
        <w:spacing w:after="80"/>
      </w:pPr>
      <w:r>
        <w:rPr>
          <w:rFonts w:ascii="微软雅黑" w:hAnsi="微软雅黑" w:eastAsia="微软雅黑" w:cs="微软雅黑"/>
        </w:rPr>
        <w:t>[5] VoiceAlign（ACM IUI 2026）：</w:t>
      </w:r>
      <w:r>
        <w:fldChar w:fldCharType="begin"/>
      </w:r>
      <w:r>
        <w:instrText xml:space="preserve"> HYPERLINK "https://dl.acm.org/doi/10.1145/3742413.3789167" </w:instrText>
      </w:r>
      <w:r>
        <w:fldChar w:fldCharType="separate"/>
      </w:r>
      <w:r>
        <w:rPr>
          <w:rStyle w:val="16"/>
          <w:rFonts w:ascii="微软雅黑" w:hAnsi="微软雅黑" w:eastAsia="微软雅黑" w:cs="微软雅黑"/>
        </w:rPr>
        <w:t>https://dl.acm.org/doi/10.1145/3742413.3789167</w:t>
      </w:r>
      <w:r>
        <w:rPr>
          <w:rStyle w:val="16"/>
          <w:rFonts w:ascii="微软雅黑" w:hAnsi="微软雅黑" w:eastAsia="微软雅黑" w:cs="微软雅黑"/>
        </w:rPr>
        <w:fldChar w:fldCharType="end"/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E9524">
    <w:pPr>
      <w:jc w:val="center"/>
    </w:pPr>
    <w:r>
      <w:rPr>
        <w:rFonts w:ascii="微软雅黑" w:hAnsi="微软雅黑" w:eastAsia="微软雅黑" w:cs="微软雅黑"/>
        <w:color w:val="595959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59595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59595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59595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59595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59595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3F4E">
    <w:pPr>
      <w:pBdr>
        <w:bottom w:val="single" w:color="D9D9D9" w:sz="4" w:space="2"/>
      </w:pBdr>
      <w:jc w:val="right"/>
    </w:pPr>
    <w:r>
      <w:rPr>
        <w:rFonts w:ascii="微软雅黑" w:hAnsi="微软雅黑" w:eastAsia="微软雅黑" w:cs="微软雅黑"/>
        <w:color w:val="595959"/>
        <w:sz w:val="16"/>
        <w:szCs w:val="16"/>
      </w:rPr>
      <w:t>VerbalVis 研究周报 · 2026-06-29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6F5CA"/>
    <w:multiLevelType w:val="multilevel"/>
    <w:tmpl w:val="8596F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B592B0"/>
    <w:multiLevelType w:val="multilevel"/>
    <w:tmpl w:val="8CB592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DEFDE6"/>
    <w:multiLevelType w:val="multilevel"/>
    <w:tmpl w:val="90DEF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abstractNum w:abstractNumId="4">
    <w:nsid w:val="0F6176A2"/>
    <w:multiLevelType w:val="multilevel"/>
    <w:tmpl w:val="0F6176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9EF4F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BDD7EE" w:sz="4" w:space="4"/>
      </w:pBdr>
      <w:spacing w:before="300" w:after="160"/>
      <w:outlineLvl w:val="0"/>
    </w:pPr>
    <w:rPr>
      <w:rFonts w:ascii="微软雅黑" w:hAnsi="微软雅黑" w:eastAsia="微软雅黑" w:cs="微软雅黑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微软雅黑" w:hAnsi="微软雅黑" w:eastAsia="微软雅黑" w:cs="微软雅黑"/>
      <w:b/>
      <w:bCs/>
      <w:color w:val="2E5496"/>
      <w:sz w:val="24"/>
      <w:szCs w:val="24"/>
    </w:rPr>
  </w:style>
  <w:style w:type="paragraph" w:styleId="4">
    <w:name w:val="heading 3"/>
    <w:next w:val="1"/>
    <w:qFormat/>
    <w:uiPriority w:val="0"/>
    <w:pPr>
      <w:spacing w:before="160" w:after="100"/>
      <w:outlineLvl w:val="2"/>
    </w:pPr>
    <w:rPr>
      <w:rFonts w:ascii="微软雅黑" w:hAnsi="微软雅黑" w:eastAsia="微软雅黑" w:cs="微软雅黑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20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HTML Code"/>
    <w:basedOn w:val="13"/>
    <w:uiPriority w:val="0"/>
    <w:rPr>
      <w:rFonts w:ascii="Courier New" w:hAnsi="Courier New"/>
      <w:sz w:val="20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20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6119</Words>
  <Characters>8669</Characters>
  <TotalTime>77</TotalTime>
  <ScaleCrop>false</ScaleCrop>
  <LinksUpToDate>false</LinksUpToDate>
  <CharactersWithSpaces>9137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2026-06-29T08:58:00Z</dcterms:created>
  <dc:creator>Shiqiang</dc:creator>
  <cp:lastModifiedBy>WPS_1647139424</cp:lastModifiedBy>
  <dcterms:modified xsi:type="dcterms:W3CDTF">2026-06-29T13:17:58Z</dcterms:modified>
  <dc:title>VerbalVis 研究周报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eyJoZGlkIjoiNjgxN2NhNTkyOGQzZTM0ODVhOTdjOTczYTk3YjVmM2IiLCJ1c2VySWQiOiIxMzQzNjcwNTI3In0=</vt:lpwstr>
  </property>
  <property fmtid="{D5CDD505-2E9C-101B-9397-08002B2CF9AE}" pid="3" name="KSOProductBuildVer">
    <vt:lpwstr>2052-12.1.0.26895</vt:lpwstr>
  </property>
  <property fmtid="{D5CDD505-2E9C-101B-9397-08002B2CF9AE}" pid="4" name="ICV">
    <vt:lpwstr>E3FA7B9659874182BEB97ED2C1E77E83_12</vt:lpwstr>
  </property>
</Properties>
</file>