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1B3A5C" w:sz="12"/>
          <w:right w:val="none" w:color="FFFFFF" w:sz="0"/>
          <w:insideH w:val="none" w:color="FFFFFF" w:sz="0"/>
          <w:insideV w:val="none" w:color="FFFFFF" w:sz="0"/>
        </w:tblBorders>
      </w:tblPr>
      <w:tblGrid>
        <w:gridCol w:w="5360"/>
        <w:gridCol w:w="4000"/>
      </w:tblGrid>
      <w:tr>
        <w:tc>
          <w:tcPr>
            <w:tcW w:type="dxa" w:w="536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r>
              <w:rPr>
                <w:rFonts w:ascii="Calibri" w:cs="Calibri" w:eastAsia="Calibri" w:hAnsi="Calibri"/>
                <w:b/>
                <w:bCs/>
                <w:color w:val="10253B"/>
                <w:sz w:val="27"/>
                <w:szCs w:val="27"/>
              </w:rPr>
              <w:t xml:space="preserve">MOLLERNIK GLOBAL SERVICES</w:t>
            </w:r>
          </w:p>
          <w:p>
            <w:pPr>
              <w:spacing w:before="30"/>
            </w:pPr>
            <w:r>
              <w:rPr>
                <w:rFonts w:ascii="Calibri" w:cs="Calibri" w:eastAsia="Calibri" w:hAnsi="Calibri"/>
                <w:i/>
                <w:iCs/>
                <w:color w:val="5A5A5A"/>
                <w:sz w:val="19"/>
                <w:szCs w:val="19"/>
              </w:rPr>
              <w:t xml:space="preserve">Technology &amp; Business Solutions</w:t>
            </w:r>
          </w:p>
          <w:p>
            <w:pPr>
              <w:spacing w:before="30"/>
            </w:pPr>
            <w:r>
              <w:rPr>
                <w:rFonts w:ascii="Calibri" w:cs="Calibri" w:eastAsia="Calibri" w:hAnsi="Calibri"/>
                <w:color w:val="5A5A5A"/>
                <w:sz w:val="19"/>
                <w:szCs w:val="19"/>
              </w:rPr>
              <w:t xml:space="preserve">yolugbuyi@gmail.com</w:t>
            </w:r>
          </w:p>
        </w:tc>
        <w:tc>
          <w:tcPr>
            <w:tcW w:type="dxa" w:w="400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jc w:val="right"/>
            </w:pPr>
            <w:r>
              <w:rPr>
                <w:rFonts w:ascii="Calibri" w:cs="Calibri" w:eastAsia="Calibri" w:hAnsi="Calibri"/>
                <w:b/>
                <w:bCs/>
                <w:color w:val="10253B"/>
                <w:sz w:val="23"/>
                <w:szCs w:val="23"/>
              </w:rPr>
              <w:t xml:space="preserve">PROPOSAL DOCUMENT</w:t>
            </w:r>
          </w:p>
          <w:p>
            <w:pPr>
              <w:spacing w:before="30"/>
              <w:jc w:val="right"/>
            </w:pPr>
            <w:r>
              <w:rPr>
                <w:rFonts w:ascii="Calibri" w:cs="Calibri" w:eastAsia="Calibri" w:hAnsi="Calibri"/>
                <w:color w:val="5A5A5A"/>
                <w:sz w:val="19"/>
                <w:szCs w:val="19"/>
              </w:rPr>
              <w:t xml:space="preserve">Ref: MGS/SLOT/2026/002</w:t>
            </w:r>
          </w:p>
          <w:p>
            <w:pPr>
              <w:spacing w:before="30"/>
              <w:jc w:val="right"/>
            </w:pPr>
            <w:r>
              <w:rPr>
                <w:rFonts w:ascii="Calibri" w:cs="Calibri" w:eastAsia="Calibri" w:hAnsi="Calibri"/>
                <w:color w:val="5A5A5A"/>
                <w:sz w:val="19"/>
                <w:szCs w:val="19"/>
              </w:rPr>
              <w:t xml:space="preserve">Date: July 2026</w:t>
            </w:r>
          </w:p>
        </w:tc>
      </w:tr>
    </w:tbl>
    <w:p>
      <w:pPr>
        <w:spacing w:after="260"/>
      </w:pPr>
    </w:p>
    <w:p>
      <w:pPr>
        <w:spacing w:after="160" w:line="276"/>
      </w:pPr>
      <w:r>
        <w:rPr>
          <w:rFonts w:ascii="Calibri" w:cs="Calibri" w:eastAsia="Calibri" w:hAnsi="Calibri"/>
          <w:color w:val="222222"/>
          <w:sz w:val="21"/>
          <w:szCs w:val="21"/>
        </w:rPr>
        <w:t xml:space="preserve">The Management,</w:t>
      </w:r>
    </w:p>
    <w:p>
      <w:pPr>
        <w:spacing w:after="0"/>
      </w:pPr>
      <w:r>
        <w:rPr>
          <w:rFonts w:ascii="Calibri" w:cs="Calibri" w:eastAsia="Calibri" w:hAnsi="Calibri"/>
          <w:sz w:val="21"/>
          <w:szCs w:val="21"/>
        </w:rPr>
        <w:t xml:space="preserve">SLOT Engineering Nigeria Limited,</w:t>
      </w:r>
    </w:p>
    <w:p>
      <w:pPr>
        <w:spacing w:after="160" w:line="276"/>
      </w:pPr>
      <w:r>
        <w:rPr>
          <w:rFonts w:ascii="Calibri" w:cs="Calibri" w:eastAsia="Calibri" w:hAnsi="Calibri"/>
          <w:color w:val="222222"/>
          <w:sz w:val="21"/>
          <w:szCs w:val="21"/>
        </w:rPr>
        <w:t xml:space="preserve">NLNG - Port Harcourt, Rivers State.</w:t>
      </w:r>
    </w:p>
    <w:p>
      <w:pPr>
        <w:spacing w:after="240" w:before="120"/>
      </w:pPr>
      <w:r>
        <w:rPr>
          <w:rFonts w:ascii="Calibri" w:cs="Calibri" w:eastAsia="Calibri" w:hAnsi="Calibri"/>
          <w:b/>
          <w:bCs/>
          <w:sz w:val="21"/>
          <w:szCs w:val="21"/>
        </w:rPr>
        <w:t xml:space="preserve">July 2026</w:t>
      </w:r>
    </w:p>
    <w:p>
      <w:pPr>
        <w:spacing w:after="160" w:line="276"/>
      </w:pPr>
      <w:r>
        <w:rPr>
          <w:rFonts w:ascii="Calibri" w:cs="Calibri" w:eastAsia="Calibri" w:hAnsi="Calibri"/>
          <w:b/>
          <w:bCs/>
          <w:sz w:val="21"/>
          <w:szCs w:val="21"/>
        </w:rPr>
        <w:t xml:space="preserve">RE: PROPOSAL FOR PLATFORM EXPANSION, SECURITY HARDENING AND FULL HANDOVER OF THE SLOT ENGINEERING OPERATIONS MANAGEMENT SYSTEM</w:t>
      </w:r>
    </w:p>
    <w:p>
      <w:pPr>
        <w:spacing w:after="160" w:line="276"/>
      </w:pPr>
      <w:r>
        <w:rPr>
          <w:rFonts w:ascii="Calibri" w:cs="Calibri" w:eastAsia="Calibri" w:hAnsi="Calibri"/>
          <w:color w:val="222222"/>
          <w:sz w:val="21"/>
          <w:szCs w:val="21"/>
        </w:rPr>
        <w:t xml:space="preserve">Dear Sir/Ma,</w:t>
      </w:r>
    </w:p>
    <w:p>
      <w:pPr>
        <w:spacing w:after="160" w:line="276"/>
      </w:pPr>
      <w:r>
        <w:rPr>
          <w:rFonts w:ascii="Calibri" w:cs="Calibri" w:eastAsia="Calibri" w:hAnsi="Calibri"/>
          <w:sz w:val="21"/>
          <w:szCs w:val="21"/>
        </w:rPr>
        <w:t xml:space="preserve">Following our proposal of March 2026 (</w:t>
      </w:r>
      <w:r>
        <w:rPr>
          <w:rFonts w:ascii="Calibri" w:cs="Calibri" w:eastAsia="Calibri" w:hAnsi="Calibri"/>
          <w:i/>
          <w:iCs/>
          <w:sz w:val="21"/>
          <w:szCs w:val="21"/>
        </w:rPr>
        <w:t xml:space="preserve">Ref: MGS/SLOT/2026/001</w:t>
      </w:r>
      <w:r>
        <w:rPr>
          <w:rFonts w:ascii="Calibri" w:cs="Calibri" w:eastAsia="Calibri" w:hAnsi="Calibri"/>
          <w:sz w:val="21"/>
          <w:szCs w:val="21"/>
        </w:rPr>
        <w:t xml:space="preserve">), we are pleased to submit this updated proposal reflecting the substantial expansion the platform has undergone since then. What began as an eleven-module Operations Management System has grown into a </w:t>
      </w:r>
      <w:r>
        <w:rPr>
          <w:rFonts w:ascii="Calibri" w:cs="Calibri" w:eastAsia="Calibri" w:hAnsi="Calibri"/>
          <w:b/>
          <w:bCs/>
          <w:sz w:val="21"/>
          <w:szCs w:val="21"/>
        </w:rPr>
        <w:t xml:space="preserve">twenty-module enterprise platform</w:t>
      </w:r>
      <w:r>
        <w:rPr>
          <w:rFonts w:ascii="Calibri" w:cs="Calibri" w:eastAsia="Calibri" w:hAnsi="Calibri"/>
          <w:sz w:val="21"/>
          <w:szCs w:val="21"/>
        </w:rPr>
        <w:t xml:space="preserve">, with a full independent security and financial-integrity audit completed and every finding closed out before this handover.</w:t>
      </w:r>
    </w:p>
    <w:p>
      <w:pPr>
        <w:spacing w:after="160" w:line="276"/>
      </w:pPr>
      <w:r>
        <w:rPr>
          <w:rFonts w:ascii="Calibri" w:cs="Calibri" w:eastAsia="Calibri" w:hAnsi="Calibri"/>
          <w:color w:val="222222"/>
          <w:sz w:val="21"/>
          <w:szCs w:val="21"/>
        </w:rPr>
        <w:t xml:space="preserve">This document sets out everything that has changed since March, what the complete platform now includes, what it will cost to formally take ownership, and how handover will proceed.</w:t>
      </w:r>
    </w:p>
    <w:p>
      <w:pPr>
        <w:pStyle w:val="Heading1"/>
        <w:pBdr>
          <w:bottom w:val="single" w:color="1B3A5C" w:sz="6" w:space="4"/>
        </w:pBdr>
        <w:spacing w:after="160" w:before="380"/>
      </w:pPr>
      <w:r>
        <w:rPr>
          <w:rFonts w:ascii="Calibri" w:cs="Calibri" w:eastAsia="Calibri" w:hAnsi="Calibri"/>
          <w:b/>
          <w:bCs/>
          <w:color w:val="10253B"/>
          <w:sz w:val="27"/>
          <w:szCs w:val="27"/>
        </w:rPr>
        <w:t xml:space="preserve">1. About Mollernik Global Services</w:t>
      </w:r>
    </w:p>
    <w:p>
      <w:pPr>
        <w:spacing w:after="160" w:line="276"/>
      </w:pPr>
      <w:r>
        <w:rPr>
          <w:rFonts w:ascii="Calibri" w:cs="Calibri" w:eastAsia="Calibri" w:hAnsi="Calibri"/>
          <w:color w:val="222222"/>
          <w:sz w:val="21"/>
          <w:szCs w:val="21"/>
        </w:rPr>
        <w:t xml:space="preserve">Mollernik Global Services is a Nigerian technology and business solutions company focused on building practical software tools for engineering, oil and gas, logistics, and professional services firms. We work with organisations that need custom systems - not generic software that requires months of configuration before it does half of what the business actually needs.</w:t>
      </w:r>
    </w:p>
    <w:p>
      <w:pPr>
        <w:spacing w:after="160" w:line="276"/>
      </w:pPr>
      <w:r>
        <w:rPr>
          <w:rFonts w:ascii="Calibri" w:cs="Calibri" w:eastAsia="Calibri" w:hAnsi="Calibri"/>
          <w:color w:val="222222"/>
          <w:sz w:val="21"/>
          <w:szCs w:val="21"/>
        </w:rPr>
        <w:t xml:space="preserve">Since our March proposal, the SLOT Engineering deployment has gone through a second, deeper phase of work: nine additional modules, twenty additional Sage-equivalent accounting features across three tiers, and a full independent security and QA audit covering data protection, calculation accuracy, and financial-integrity controls. This proposal is the formal step to transfer ownership of everything that now exists and put it fully in your hands.</w:t>
      </w:r>
    </w:p>
    <w:p>
      <w:pPr>
        <w:pStyle w:val="Heading1"/>
        <w:pBdr>
          <w:bottom w:val="single" w:color="1B3A5C" w:sz="6" w:space="4"/>
        </w:pBdr>
        <w:spacing w:after="160" w:before="380"/>
      </w:pPr>
      <w:r>
        <w:rPr>
          <w:rFonts w:ascii="Calibri" w:cs="Calibri" w:eastAsia="Calibri" w:hAnsi="Calibri"/>
          <w:b/>
          <w:bCs/>
          <w:color w:val="10253B"/>
          <w:sz w:val="27"/>
          <w:szCs w:val="27"/>
        </w:rPr>
        <w:t xml:space="preserve">2. What Has Changed Since March 2026</w:t>
      </w:r>
    </w:p>
    <w:p>
      <w:pPr>
        <w:spacing w:after="160" w:line="276"/>
      </w:pPr>
      <w:r>
        <w:rPr>
          <w:rFonts w:ascii="Calibri" w:cs="Calibri" w:eastAsia="Calibri" w:hAnsi="Calibri"/>
          <w:color w:val="222222"/>
          <w:sz w:val="21"/>
          <w:szCs w:val="21"/>
        </w:rPr>
        <w:t xml:space="preserve">The table below compares the platform as it stood in the March proposal against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cantSplit/>
          <w:tblHeader/>
        </w:trPr>
        <w:tc>
          <w:tcPr>
            <w:tcW w:type="dxa" w:w="28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Area</w:t>
            </w:r>
          </w:p>
        </w:tc>
        <w:tc>
          <w:tcPr>
            <w:tcW w:type="dxa" w:w="328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March 2026</w:t>
            </w:r>
          </w:p>
        </w:tc>
        <w:tc>
          <w:tcPr>
            <w:tcW w:type="dxa" w:w="328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July 2026</w:t>
            </w:r>
          </w:p>
        </w:tc>
      </w:tr>
      <w:tr>
        <w:trPr>
          <w:cantSplit/>
        </w:trPr>
        <w:tc>
          <w:tcPr>
            <w:tcW w:type="dxa" w:w="28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Operational modules</w:t>
            </w:r>
          </w:p>
        </w:tc>
        <w:tc>
          <w:tcPr>
            <w:tcW w:type="dxa" w:w="32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11</w:t>
            </w:r>
          </w:p>
        </w:tc>
        <w:tc>
          <w:tcPr>
            <w:tcW w:type="dxa" w:w="32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20</w:t>
            </w:r>
          </w:p>
        </w:tc>
      </w:tr>
      <w:tr>
        <w:trPr>
          <w:cantSplit/>
        </w:trPr>
        <w:tc>
          <w:tcPr>
            <w:tcW w:type="dxa" w:w="28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Accounting / financial tools</w:t>
            </w:r>
          </w:p>
        </w:tc>
        <w:tc>
          <w:tcPr>
            <w:tcW w:type="dxa" w:w="32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10 tabs</w:t>
            </w:r>
          </w:p>
        </w:tc>
        <w:tc>
          <w:tcPr>
            <w:tcW w:type="dxa" w:w="32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10 tabs + 20 Sage-equivalent features (30 total)</w:t>
            </w:r>
          </w:p>
        </w:tc>
      </w:tr>
      <w:tr>
        <w:trPr>
          <w:cantSplit/>
        </w:trPr>
        <w:tc>
          <w:tcPr>
            <w:tcW w:type="dxa" w:w="28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Chart of Accounts</w:t>
            </w:r>
          </w:p>
        </w:tc>
        <w:tc>
          <w:tcPr>
            <w:tcW w:type="dxa" w:w="32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26 generic accounts</w:t>
            </w:r>
          </w:p>
        </w:tc>
        <w:tc>
          <w:tcPr>
            <w:tcW w:type="dxa" w:w="32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90 accounts migrated from your own Sage export</w:t>
            </w:r>
          </w:p>
        </w:tc>
      </w:tr>
      <w:tr>
        <w:trPr>
          <w:cantSplit/>
        </w:trPr>
        <w:tc>
          <w:tcPr>
            <w:tcW w:type="dxa" w:w="28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Payroll engines</w:t>
            </w:r>
          </w:p>
        </w:tc>
        <w:tc>
          <w:tcPr>
            <w:tcW w:type="dxa" w:w="32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1 (NLNG contract staff)</w:t>
            </w:r>
          </w:p>
        </w:tc>
        <w:tc>
          <w:tcPr>
            <w:tcW w:type="dxa" w:w="32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2 (NLNG contract staff + SLOT company staff)</w:t>
            </w:r>
          </w:p>
        </w:tc>
      </w:tr>
      <w:tr>
        <w:trPr>
          <w:cantSplit/>
        </w:trPr>
        <w:tc>
          <w:tcPr>
            <w:tcW w:type="dxa" w:w="28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Terminal / logistics operations</w:t>
            </w:r>
          </w:p>
        </w:tc>
        <w:tc>
          <w:tcPr>
            <w:tcW w:type="dxa" w:w="32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Not included</w:t>
            </w:r>
          </w:p>
        </w:tc>
        <w:tc>
          <w:tcPr>
            <w:tcW w:type="dxa" w:w="32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Full clearing-agent and container-logistics module</w:t>
            </w:r>
          </w:p>
        </w:tc>
      </w:tr>
      <w:tr>
        <w:trPr>
          <w:cantSplit/>
        </w:trPr>
        <w:tc>
          <w:tcPr>
            <w:tcW w:type="dxa" w:w="28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Security</w:t>
            </w:r>
          </w:p>
        </w:tc>
        <w:tc>
          <w:tcPr>
            <w:tcW w:type="dxa" w:w="32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Standard build</w:t>
            </w:r>
          </w:p>
        </w:tc>
        <w:tc>
          <w:tcPr>
            <w:tcW w:type="dxa" w:w="32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Independent audit completed - database-level access isolation, fraud-prevention controls, race-condition-safe sync</w:t>
            </w:r>
          </w:p>
        </w:tc>
      </w:tr>
      <w:tr>
        <w:trPr>
          <w:cantSplit/>
        </w:trPr>
        <w:tc>
          <w:tcPr>
            <w:tcW w:type="dxa" w:w="28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Backend</w:t>
            </w:r>
          </w:p>
        </w:tc>
        <w:tc>
          <w:tcPr>
            <w:tcW w:type="dxa" w:w="32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Firebase prototype sync</w:t>
            </w:r>
          </w:p>
        </w:tc>
        <w:tc>
          <w:tcPr>
            <w:tcW w:type="dxa" w:w="32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Production Supabase database with row-level security</w:t>
            </w:r>
          </w:p>
        </w:tc>
      </w:tr>
      <w:tr>
        <w:trPr>
          <w:cantSplit/>
        </w:trPr>
        <w:tc>
          <w:tcPr>
            <w:tcW w:type="dxa" w:w="28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Investment</w:t>
            </w:r>
          </w:p>
        </w:tc>
        <w:tc>
          <w:tcPr>
            <w:tcW w:type="dxa" w:w="32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N1,200,000</w:t>
            </w:r>
          </w:p>
        </w:tc>
        <w:tc>
          <w:tcPr>
            <w:tcW w:type="dxa" w:w="32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N10,000,000</w:t>
            </w:r>
          </w:p>
        </w:tc>
      </w:tr>
    </w:tbl>
    <w:p>
      <w:pPr>
        <w:spacing w:after="160"/>
      </w:pPr>
    </w:p>
    <w:p>
      <w:pPr>
        <w:spacing w:after="160" w:line="276"/>
      </w:pPr>
      <w:r>
        <w:rPr>
          <w:rFonts w:ascii="Calibri" w:cs="Calibri" w:eastAsia="Calibri" w:hAnsi="Calibri"/>
          <w:color w:val="222222"/>
          <w:sz w:val="21"/>
          <w:szCs w:val="21"/>
        </w:rPr>
        <w:t xml:space="preserve">In short: the platform has roughly doubled in module count, tripled in accounting depth, gained an entirely new operational domain (Terminal Operations &amp; Logistics), and been through a full security hardening pass - all since the last proposal.</w:t>
      </w:r>
    </w:p>
    <w:p>
      <w:pPr>
        <w:pStyle w:val="Heading1"/>
        <w:pBdr>
          <w:bottom w:val="single" w:color="1B3A5C" w:sz="6" w:space="4"/>
        </w:pBdr>
        <w:spacing w:after="160" w:before="380"/>
      </w:pPr>
      <w:r>
        <w:rPr>
          <w:rFonts w:ascii="Calibri" w:cs="Calibri" w:eastAsia="Calibri" w:hAnsi="Calibri"/>
          <w:b/>
          <w:bCs/>
          <w:color w:val="10253B"/>
          <w:sz w:val="27"/>
          <w:szCs w:val="27"/>
        </w:rPr>
        <w:t xml:space="preserve">3. Complete Module Directory</w:t>
      </w:r>
    </w:p>
    <w:p>
      <w:pPr>
        <w:spacing w:after="160" w:line="276"/>
      </w:pPr>
      <w:r>
        <w:rPr>
          <w:rFonts w:ascii="Calibri" w:cs="Calibri" w:eastAsia="Calibri" w:hAnsi="Calibri"/>
          <w:color w:val="222222"/>
          <w:sz w:val="21"/>
          <w:szCs w:val="21"/>
        </w:rPr>
        <w:t xml:space="preserve">Below is every module that has been configured and is ready to use, updated from the eleven listed in March: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900"/>
        <w:gridCol w:w="1760"/>
      </w:tblGrid>
      <w:tr>
        <w:trPr>
          <w:cantSplit/>
          <w:tblHeader/>
        </w:trPr>
        <w:tc>
          <w:tcPr>
            <w:tcW w:type="dxa" w:w="27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Module</w:t>
            </w:r>
          </w:p>
        </w:tc>
        <w:tc>
          <w:tcPr>
            <w:tcW w:type="dxa" w:w="49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What It Covers</w:t>
            </w:r>
          </w:p>
        </w:tc>
        <w:tc>
          <w:tcPr>
            <w:tcW w:type="dxa" w:w="176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Who Uses It</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Core Platform &amp; Security</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Dashboard, settings, five user roles (Admin, Manager, Accountant, Staff, Viewer), customisable sidebar</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All roles</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HR - NLNG Contract Staff</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Staff records, monthly payslips, PAYE and pension calculations</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Manager</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HR - Company Staff</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Independent payroll for SLOT's own direct staff</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Manager</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Procurement</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Purchase orders, approval workflow, auto-generate invoice from PO</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Manager</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Inventory</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Stock levels, low-stock alerts, barcode scanning for items</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All roles</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Fleet and Vehicles</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Vehicle records, maintenance logs, expiry date tracking</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Manager</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Terminal Operations &amp; Logistics</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Clearing-agent charges and logistics/transit tracking by container</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Manager</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Invoices and Billing</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Invoice creation, status tracking, print and export</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Accountant</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Petty Cash / Imprest</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FAC-006 form, full approval workflow, real-time status</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All roles</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Request Management</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Internal requisitions with multi-level approval chain</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All roles</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Centralised Approvals</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One queue for every pending approval across all modules</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Manager</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Sales Orders</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Order capture, tracking, conversion to invoice</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Manager</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Project Profitability</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Revenue vs. cost per project/contract</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Accountant</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Fixed Assets</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Asset register, depreciation, disposal</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Accountant</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Accounting Suite</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Full double-entry bookkeeping, financial statements, VAT, bank reconciliation, plus 20 Sage-equivalent reports and features (see Section 4)</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Accountant</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Analytics and Reports</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Revenue charts, payroll trends, expense breakdowns</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Manager</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Document Scanner</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Scan/upload and attach documents to any record</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All roles</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Excel Import/Export</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Per-module templates, bulk import and export</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 Accountant</w:t>
            </w:r>
          </w:p>
        </w:tc>
      </w:tr>
      <w:tr>
        <w:trPr>
          <w:cantSplit/>
        </w:trPr>
        <w:tc>
          <w:tcPr>
            <w:tcW w:type="dxa" w:w="27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Activity Log</w:t>
            </w:r>
          </w:p>
        </w:tc>
        <w:tc>
          <w:tcPr>
            <w:tcW w:type="dxa" w:w="4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Full, searchable audit trail of every action</w:t>
            </w:r>
          </w:p>
        </w:tc>
        <w:tc>
          <w:tcPr>
            <w:tcW w:type="dxa" w:w="1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w:t>
            </w:r>
          </w:p>
        </w:tc>
      </w:tr>
      <w:tr>
        <w:trPr>
          <w:cantSplit/>
        </w:trPr>
        <w:tc>
          <w:tcPr>
            <w:tcW w:type="dxa" w:w="27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Cloud Backup and Restore</w:t>
            </w:r>
          </w:p>
        </w:tc>
        <w:tc>
          <w:tcPr>
            <w:tcW w:type="dxa" w:w="4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CSV export per module, full JSON database backup and restore</w:t>
            </w:r>
          </w:p>
        </w:tc>
        <w:tc>
          <w:tcPr>
            <w:tcW w:type="dxa" w:w="1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Admin</w:t>
            </w:r>
          </w:p>
        </w:tc>
      </w:tr>
    </w:tbl>
    <w:p>
      <w:pPr>
        <w:spacing w:after="160"/>
      </w:pPr>
    </w:p>
    <w:p>
      <w:pPr>
        <w:spacing w:after="160" w:line="276"/>
      </w:pPr>
      <w:r>
        <w:rPr>
          <w:rFonts w:ascii="Calibri" w:cs="Calibri" w:eastAsia="Calibri" w:hAnsi="Calibri"/>
          <w:color w:val="222222"/>
          <w:sz w:val="21"/>
          <w:szCs w:val="21"/>
        </w:rPr>
        <w:t xml:space="preserve">In addition to the modules above, the following are also configured as part of the deployment:</w:t>
      </w:r>
    </w:p>
    <w:p>
      <w:pPr>
        <w:pStyle w:val="ListParagraph"/>
        <w:numPr>
          <w:ilvl w:val="0"/>
          <w:numId w:val="2"/>
        </w:numPr>
        <w:spacing w:after="120" w:line="270"/>
      </w:pPr>
      <w:r>
        <w:rPr>
          <w:rFonts w:ascii="Calibri" w:cs="Calibri" w:eastAsia="Calibri" w:hAnsi="Calibri"/>
          <w:sz w:val="21"/>
          <w:szCs w:val="21"/>
        </w:rPr>
        <w:t xml:space="preserve">Branded monthly payslip matching the official SLOT Engineering NLNG format - all earnings and deduction lines, plus the authorised signature section.</w:t>
      </w:r>
    </w:p>
    <w:p>
      <w:pPr>
        <w:pStyle w:val="ListParagraph"/>
        <w:numPr>
          <w:ilvl w:val="0"/>
          <w:numId w:val="2"/>
        </w:numPr>
        <w:spacing w:after="120" w:line="270"/>
      </w:pPr>
      <w:r>
        <w:rPr>
          <w:rFonts w:ascii="Calibri" w:cs="Calibri" w:eastAsia="Calibri" w:hAnsi="Calibri"/>
          <w:sz w:val="21"/>
          <w:szCs w:val="21"/>
        </w:rPr>
        <w:t xml:space="preserve">SLP-series invoice matching the NLNG procurement standard format - PO reference, MESC code, 7.5% VAT calculation, amount in words, and procurement officer sign-off.</w:t>
      </w:r>
    </w:p>
    <w:p>
      <w:pPr>
        <w:pStyle w:val="ListParagraph"/>
        <w:numPr>
          <w:ilvl w:val="0"/>
          <w:numId w:val="2"/>
        </w:numPr>
        <w:spacing w:after="120" w:line="270"/>
      </w:pPr>
      <w:r>
        <w:rPr>
          <w:rFonts w:ascii="Calibri" w:cs="Calibri" w:eastAsia="Calibri" w:hAnsi="Calibri"/>
          <w:sz w:val="21"/>
          <w:szCs w:val="21"/>
        </w:rPr>
        <w:t xml:space="preserve">Setup Wizard on first login, and a self-service Forgot Password flow using a recovery code.</w:t>
      </w:r>
    </w:p>
    <w:p>
      <w:pPr>
        <w:pStyle w:val="ListParagraph"/>
        <w:numPr>
          <w:ilvl w:val="0"/>
          <w:numId w:val="2"/>
        </w:numPr>
        <w:spacing w:after="120" w:line="270"/>
      </w:pPr>
      <w:r>
        <w:rPr>
          <w:rFonts w:ascii="Calibri" w:cs="Calibri" w:eastAsia="Calibri" w:hAnsi="Calibri"/>
          <w:sz w:val="21"/>
          <w:szCs w:val="21"/>
        </w:rPr>
        <w:t xml:space="preserve">Real-time cloud sync with offline fallback - the system keeps working without internet and syncs once connection returns.</w:t>
      </w:r>
    </w:p>
    <w:p>
      <w:pPr>
        <w:pStyle w:val="ListParagraph"/>
        <w:numPr>
          <w:ilvl w:val="0"/>
          <w:numId w:val="2"/>
        </w:numPr>
        <w:spacing w:after="120" w:line="270"/>
      </w:pPr>
      <w:r>
        <w:rPr>
          <w:rFonts w:ascii="Calibri" w:cs="Calibri" w:eastAsia="Calibri" w:hAnsi="Calibri"/>
          <w:sz w:val="21"/>
          <w:szCs w:val="21"/>
        </w:rPr>
        <w:t xml:space="preserve">Multi-currency support (NGN, USD, EUR, GBP) across the ledger, with period-end FX revaluation.</w:t>
      </w:r>
    </w:p>
    <w:p>
      <w:pPr>
        <w:pStyle w:val="ListParagraph"/>
        <w:numPr>
          <w:ilvl w:val="0"/>
          <w:numId w:val="2"/>
        </w:numPr>
        <w:spacing w:after="120" w:line="270"/>
      </w:pPr>
      <w:r>
        <w:rPr>
          <w:rFonts w:ascii="Calibri" w:cs="Calibri" w:eastAsia="Calibri" w:hAnsi="Calibri"/>
          <w:sz w:val="21"/>
          <w:szCs w:val="21"/>
        </w:rPr>
        <w:t xml:space="preserve">Document Scanner with secure cloud storage - attach supporting documents to any record.</w:t>
      </w:r>
    </w:p>
    <w:p>
      <w:pPr>
        <w:pStyle w:val="ListParagraph"/>
        <w:numPr>
          <w:ilvl w:val="0"/>
          <w:numId w:val="2"/>
        </w:numPr>
        <w:spacing w:after="120" w:line="270"/>
      </w:pPr>
      <w:r>
        <w:rPr>
          <w:rFonts w:ascii="Calibri" w:cs="Calibri" w:eastAsia="Calibri" w:hAnsi="Calibri"/>
          <w:sz w:val="21"/>
          <w:szCs w:val="21"/>
        </w:rPr>
        <w:t xml:space="preserve">Full analytics dashboard with revenue vs. expense, payroll trends by department, and inventory movement charts.</w:t>
      </w:r>
    </w:p>
    <w:p>
      <w:pPr>
        <w:pStyle w:val="Heading1"/>
        <w:pBdr>
          <w:bottom w:val="single" w:color="1B3A5C" w:sz="6" w:space="4"/>
        </w:pBdr>
        <w:spacing w:after="160" w:before="380"/>
      </w:pPr>
      <w:r>
        <w:rPr>
          <w:rFonts w:ascii="Calibri" w:cs="Calibri" w:eastAsia="Calibri" w:hAnsi="Calibri"/>
          <w:b/>
          <w:bCs/>
          <w:color w:val="10253B"/>
          <w:sz w:val="27"/>
          <w:szCs w:val="27"/>
        </w:rPr>
        <w:t xml:space="preserve">4. The Accounting &amp; Sage-Replacement Suite - A Closer Look</w:t>
      </w:r>
    </w:p>
    <w:p>
      <w:pPr>
        <w:spacing w:after="160" w:line="276"/>
      </w:pPr>
      <w:r>
        <w:rPr>
          <w:rFonts w:ascii="Calibri" w:cs="Calibri" w:eastAsia="Calibri" w:hAnsi="Calibri"/>
          <w:color w:val="222222"/>
          <w:sz w:val="21"/>
          <w:szCs w:val="21"/>
        </w:rPr>
        <w:t xml:space="preserve">The accounting suite remains the most technically involved part of the platform and, arguably, the most valuable to the business. It runs full double-entry bookkeeping - the same standard used by professionally run organisations and required by FIRS - and now goes considerably further than a standard bookkeeping tool. Between the core suite and the three feature tiers added since March, the platform now replicates thirty separate capabilities of Sage 200 Evolution.</w:t>
      </w:r>
    </w:p>
    <w:p>
      <w:pPr>
        <w:pStyle w:val="Heading2"/>
        <w:spacing w:after="120" w:before="260"/>
      </w:pPr>
      <w:r>
        <w:rPr>
          <w:rFonts w:ascii="Calibri" w:cs="Calibri" w:eastAsia="Calibri" w:hAnsi="Calibri"/>
          <w:b/>
          <w:bCs/>
          <w:color w:val="1B3A5C"/>
          <w:sz w:val="23"/>
          <w:szCs w:val="23"/>
        </w:rPr>
        <w:t xml:space="preserve">4.1  The Ten Core Financial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Tab</w:t>
            </w:r>
          </w:p>
        </w:tc>
        <w:tc>
          <w:tcPr>
            <w:tcW w:type="dxa" w:w="716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What It Does</w:t>
            </w:r>
          </w:p>
        </w:tc>
      </w:tr>
      <w:tr>
        <w:trPr>
          <w:cantSplit/>
        </w:trPr>
        <w:tc>
          <w:tcPr>
            <w:tcW w:type="dxa" w:w="2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Overview</w:t>
            </w:r>
          </w:p>
        </w:tc>
        <w:tc>
          <w:tcPr>
            <w:tcW w:type="dxa" w:w="7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Live dashboard: Revenue, Expenses, Net Profit, Cash Balance, Receivables, Payables, VAT Due</w:t>
            </w:r>
          </w:p>
        </w:tc>
      </w:tr>
      <w:tr>
        <w:trPr>
          <w:cantSplit/>
        </w:trPr>
        <w:tc>
          <w:tcPr>
            <w:tcW w:type="dxa" w:w="2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Chart of Accounts</w:t>
            </w:r>
          </w:p>
        </w:tc>
        <w:tc>
          <w:tcPr>
            <w:tcW w:type="dxa" w:w="7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Ninety accounts migrated from your own Sage export, organised by type - add more anytime</w:t>
            </w:r>
          </w:p>
        </w:tc>
      </w:tr>
      <w:tr>
        <w:trPr>
          <w:cantSplit/>
        </w:trPr>
        <w:tc>
          <w:tcPr>
            <w:tcW w:type="dxa" w:w="2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Journal Entries</w:t>
            </w:r>
          </w:p>
        </w:tc>
        <w:tc>
          <w:tcPr>
            <w:tcW w:type="dxa" w:w="7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Manual double-entry posting - won't save unless Debit and Credit balance to zero</w:t>
            </w:r>
          </w:p>
        </w:tc>
      </w:tr>
      <w:tr>
        <w:trPr>
          <w:cantSplit/>
        </w:trPr>
        <w:tc>
          <w:tcPr>
            <w:tcW w:type="dxa" w:w="2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General Ledger</w:t>
            </w:r>
          </w:p>
        </w:tc>
        <w:tc>
          <w:tcPr>
            <w:tcW w:type="dxa" w:w="7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Full transaction history per account with a running balance</w:t>
            </w:r>
          </w:p>
        </w:tc>
      </w:tr>
      <w:tr>
        <w:trPr>
          <w:cantSplit/>
        </w:trPr>
        <w:tc>
          <w:tcPr>
            <w:tcW w:type="dxa" w:w="2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Trial Balance</w:t>
            </w:r>
          </w:p>
        </w:tc>
        <w:tc>
          <w:tcPr>
            <w:tcW w:type="dxa" w:w="7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All accounts side by side with a clear in-balance / out-of-balance indicator</w:t>
            </w:r>
          </w:p>
        </w:tc>
      </w:tr>
      <w:tr>
        <w:trPr>
          <w:cantSplit/>
        </w:trPr>
        <w:tc>
          <w:tcPr>
            <w:tcW w:type="dxa" w:w="2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Profit and Loss</w:t>
            </w:r>
          </w:p>
        </w:tc>
        <w:tc>
          <w:tcPr>
            <w:tcW w:type="dxa" w:w="7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Revenue less Cost of Sales to Gross Profit, less Operating Expenses to EBIT, 30% CIT applied to reach Net Profit</w:t>
            </w:r>
          </w:p>
        </w:tc>
      </w:tr>
      <w:tr>
        <w:trPr>
          <w:cantSplit/>
        </w:trPr>
        <w:tc>
          <w:tcPr>
            <w:tcW w:type="dxa" w:w="2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Balance Sheet</w:t>
            </w:r>
          </w:p>
        </w:tc>
        <w:tc>
          <w:tcPr>
            <w:tcW w:type="dxa" w:w="7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Total Assets vs. Total Liabilities plus Equity, with a balance check</w:t>
            </w:r>
          </w:p>
        </w:tc>
      </w:tr>
      <w:tr>
        <w:trPr>
          <w:cantSplit/>
        </w:trPr>
        <w:tc>
          <w:tcPr>
            <w:tcW w:type="dxa" w:w="2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Cash Flow Statement</w:t>
            </w:r>
          </w:p>
        </w:tc>
        <w:tc>
          <w:tcPr>
            <w:tcW w:type="dxa" w:w="7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Operating, Investing and Financing activities, indirect method</w:t>
            </w:r>
          </w:p>
        </w:tc>
      </w:tr>
      <w:tr>
        <w:trPr>
          <w:cantSplit/>
        </w:trPr>
        <w:tc>
          <w:tcPr>
            <w:tcW w:type="dxa" w:w="2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Bank Reconciliation</w:t>
            </w:r>
          </w:p>
        </w:tc>
        <w:tc>
          <w:tcPr>
            <w:tcW w:type="dxa" w:w="7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Enter statement figures, tick off matches, see the remaining difference</w:t>
            </w:r>
          </w:p>
        </w:tc>
      </w:tr>
      <w:tr>
        <w:trPr>
          <w:cantSplit/>
        </w:trPr>
        <w:tc>
          <w:tcPr>
            <w:tcW w:type="dxa" w:w="2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VAT Returns</w:t>
            </w:r>
          </w:p>
        </w:tc>
        <w:tc>
          <w:tcPr>
            <w:tcW w:type="dxa" w:w="7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Automatic 7.5% output/input VAT calculation, ready for FIRS filing</w:t>
            </w:r>
          </w:p>
        </w:tc>
      </w:tr>
    </w:tbl>
    <w:p>
      <w:pPr>
        <w:pStyle w:val="Heading2"/>
        <w:spacing w:after="120" w:before="260"/>
      </w:pPr>
      <w:r>
        <w:rPr>
          <w:rFonts w:ascii="Calibri" w:cs="Calibri" w:eastAsia="Calibri" w:hAnsi="Calibri"/>
          <w:b/>
          <w:bCs/>
          <w:color w:val="1B3A5C"/>
          <w:sz w:val="23"/>
          <w:szCs w:val="23"/>
        </w:rPr>
        <w:t xml:space="preserve">4.2  Tier 1 - Sage-Equivalent Reports (10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Feature</w:t>
            </w:r>
          </w:p>
        </w:tc>
        <w:tc>
          <w:tcPr>
            <w:tcW w:type="dxa" w:w="616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What It Does</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Customer Statement</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One-click PDF with aging breakdown and full transaction list</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Supplier Statement + Remittance Advice</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Same, for vendors, with remittance detail</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Credit Notes</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Linked to the original invoice, with automatic GL reversal</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VAT201 Report</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Output VAT, input VAT and net payable, ready for FIRS filing</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Comparative P&amp;L and Balance Sheet</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This year vs. last year, side by side</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GL Detail Report</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Filter any account by date range</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Aged Receivables &amp; Aged Payables</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Proper ageing buckets with print-ready layout</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Batch Payment Run</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Select multiple bills, generate one batch and EFT list</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WHT Certificates</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Per-vendor tracking with a printable certificate</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Customer Credit Limit Enforcement</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Blocks over-limit invoices, with authorised override</w:t>
            </w:r>
          </w:p>
        </w:tc>
      </w:tr>
    </w:tbl>
    <w:p>
      <w:pPr>
        <w:pStyle w:val="Heading2"/>
        <w:spacing w:after="120" w:before="260"/>
      </w:pPr>
      <w:r>
        <w:rPr>
          <w:rFonts w:ascii="Calibri" w:cs="Calibri" w:eastAsia="Calibri" w:hAnsi="Calibri"/>
          <w:b/>
          <w:bCs/>
          <w:color w:val="1B3A5C"/>
          <w:sz w:val="23"/>
          <w:szCs w:val="23"/>
        </w:rPr>
        <w:t xml:space="preserve">4.3  Tier 2 - Advanced Accounting Features (6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Feature</w:t>
            </w:r>
          </w:p>
        </w:tc>
        <w:tc>
          <w:tcPr>
            <w:tcW w:type="dxa" w:w="616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What It Does</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Recurring Invoices</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Templates that auto-generate invoices on a schedule</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Interactive Bank Reconciliation</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 real match screen, not just a statement import</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Prepayments &amp; Accruals</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Auto-reversing journals for the following period</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Asset Disposal</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Sell or dispose of an asset with gain/loss posted automatically</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Budget vs. Actual</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Set a budget per account per month and compare against it</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Stock Take</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Physical count sheet, variance calculation, GL posting</w:t>
            </w:r>
          </w:p>
        </w:tc>
      </w:tr>
    </w:tbl>
    <w:p>
      <w:pPr>
        <w:pStyle w:val="Heading2"/>
        <w:spacing w:after="120" w:before="260"/>
      </w:pPr>
      <w:r>
        <w:rPr>
          <w:rFonts w:ascii="Calibri" w:cs="Calibri" w:eastAsia="Calibri" w:hAnsi="Calibri"/>
          <w:b/>
          <w:bCs/>
          <w:color w:val="1B3A5C"/>
          <w:sz w:val="23"/>
          <w:szCs w:val="23"/>
        </w:rPr>
        <w:t xml:space="preserve">4.4  Tier 3 - Enterprise-Grade Features (4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Feature</w:t>
            </w:r>
          </w:p>
        </w:tc>
        <w:tc>
          <w:tcPr>
            <w:tcW w:type="dxa" w:w="616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What It Does</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Multi-Currency FX Revaluation</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Revalue foreign-currency balances at period-end and post the gain/loss</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Multiple Warehouses</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Register warehouses and transfer stock between them</w:t>
            </w:r>
          </w:p>
        </w:tc>
      </w:tr>
      <w:tr>
        <w:trPr>
          <w:cantSplit/>
        </w:trPr>
        <w:tc>
          <w:tcPr>
            <w:tcW w:type="dxa" w:w="32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Serial / Batch Tracking</w:t>
            </w:r>
          </w:p>
        </w:tc>
        <w:tc>
          <w:tcPr>
            <w:tcW w:type="dxa" w:w="61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Track individual units or batches through receive, issue and sale</w:t>
            </w:r>
          </w:p>
        </w:tc>
      </w:tr>
      <w:tr>
        <w:trPr>
          <w:cantSplit/>
        </w:trPr>
        <w:tc>
          <w:tcPr>
            <w:tcW w:type="dxa" w:w="32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Bill of Materials (BOM)</w:t>
            </w:r>
          </w:p>
        </w:tc>
        <w:tc>
          <w:tcPr>
            <w:tcW w:type="dxa" w:w="61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Define assemblies, build finished goods from components, post to GL</w:t>
            </w:r>
          </w:p>
        </w:tc>
      </w:tr>
    </w:tbl>
    <w:p>
      <w:pPr>
        <w:pStyle w:val="Heading2"/>
        <w:spacing w:after="120" w:before="260"/>
      </w:pPr>
      <w:r>
        <w:rPr>
          <w:rFonts w:ascii="Calibri" w:cs="Calibri" w:eastAsia="Calibri" w:hAnsi="Calibri"/>
          <w:b/>
          <w:bCs/>
          <w:color w:val="1B3A5C"/>
          <w:sz w:val="23"/>
          <w:szCs w:val="23"/>
        </w:rPr>
        <w:t xml:space="preserve">4.5  How the System Posts Entries Automatically</w:t>
      </w:r>
    </w:p>
    <w:p>
      <w:pPr>
        <w:spacing w:after="160" w:line="276"/>
      </w:pPr>
      <w:r>
        <w:rPr>
          <w:rFonts w:ascii="Calibri" w:cs="Calibri" w:eastAsia="Calibri" w:hAnsi="Calibri"/>
          <w:color w:val="222222"/>
          <w:sz w:val="21"/>
          <w:szCs w:val="21"/>
        </w:rPr>
        <w:t xml:space="preserve">You do not need to post journal entries manually for day-to-day transactions that already happen in the other modules. The platform handles this on its own:</w:t>
      </w:r>
    </w:p>
    <w:p>
      <w:pPr>
        <w:pStyle w:val="ListParagraph"/>
        <w:numPr>
          <w:ilvl w:val="0"/>
          <w:numId w:val="2"/>
        </w:numPr>
        <w:spacing w:after="120" w:line="270"/>
      </w:pPr>
      <w:r>
        <w:rPr>
          <w:rFonts w:ascii="Calibri" w:cs="Calibri" w:eastAsia="Calibri" w:hAnsi="Calibri"/>
          <w:sz w:val="21"/>
          <w:szCs w:val="21"/>
        </w:rPr>
        <w:t xml:space="preserve">When an invoice is marked Paid - Debit Cash, Credit Revenue, and the Accounts Receivable entry is cleared.</w:t>
      </w:r>
    </w:p>
    <w:p>
      <w:pPr>
        <w:pStyle w:val="ListParagraph"/>
        <w:numPr>
          <w:ilvl w:val="0"/>
          <w:numId w:val="2"/>
        </w:numPr>
        <w:spacing w:after="120" w:line="270"/>
      </w:pPr>
      <w:r>
        <w:rPr>
          <w:rFonts w:ascii="Calibri" w:cs="Calibri" w:eastAsia="Calibri" w:hAnsi="Calibri"/>
          <w:sz w:val="21"/>
          <w:szCs w:val="21"/>
        </w:rPr>
        <w:t xml:space="preserve">When a procurement order is approved - Debit Materials Expense, Credit Accounts Payable, with the 7.5% VAT split posted to VAT Input and VAT Payable.</w:t>
      </w:r>
    </w:p>
    <w:p>
      <w:pPr>
        <w:pStyle w:val="ListParagraph"/>
        <w:numPr>
          <w:ilvl w:val="0"/>
          <w:numId w:val="2"/>
        </w:numPr>
        <w:spacing w:after="120" w:line="270"/>
      </w:pPr>
      <w:r>
        <w:rPr>
          <w:rFonts w:ascii="Calibri" w:cs="Calibri" w:eastAsia="Calibri" w:hAnsi="Calibri"/>
          <w:sz w:val="21"/>
          <w:szCs w:val="21"/>
        </w:rPr>
        <w:t xml:space="preserve">When a petty cash request is approved and paid - Debit Petty Cash Expense, Credit Cash and Bank.</w:t>
      </w:r>
    </w:p>
    <w:p>
      <w:pPr>
        <w:pStyle w:val="ListParagraph"/>
        <w:numPr>
          <w:ilvl w:val="0"/>
          <w:numId w:val="2"/>
        </w:numPr>
        <w:spacing w:after="120" w:line="270"/>
      </w:pPr>
      <w:r>
        <w:rPr>
          <w:rFonts w:ascii="Calibri" w:cs="Calibri" w:eastAsia="Calibri" w:hAnsi="Calibri"/>
          <w:sz w:val="21"/>
          <w:szCs w:val="21"/>
        </w:rPr>
        <w:t xml:space="preserve">When payroll is processed, for either NLNG or SLOT staff - Debit Salary Expense, Credit Cash for the net amount, Credit PAYE Payable for the tax withheld.</w:t>
      </w:r>
    </w:p>
    <w:p>
      <w:pPr>
        <w:spacing w:after="160" w:line="276"/>
      </w:pPr>
      <w:r>
        <w:rPr>
          <w:rFonts w:ascii="Calibri" w:cs="Calibri" w:eastAsia="Calibri" w:hAnsi="Calibri"/>
          <w:color w:val="222222"/>
          <w:sz w:val="21"/>
          <w:szCs w:val="21"/>
        </w:rPr>
        <w:t xml:space="preserve">Every automatic post carries a source reference, so re-syncing or re-importing data never creates a duplicate entry. Every naira is counted once and only once.</w:t>
      </w:r>
    </w:p>
    <w:p>
      <w:pPr>
        <w:pStyle w:val="Heading1"/>
        <w:pBdr>
          <w:bottom w:val="single" w:color="1B3A5C" w:sz="6" w:space="4"/>
        </w:pBdr>
        <w:spacing w:after="160" w:before="380"/>
      </w:pPr>
      <w:r>
        <w:rPr>
          <w:rFonts w:ascii="Calibri" w:cs="Calibri" w:eastAsia="Calibri" w:hAnsi="Calibri"/>
          <w:b/>
          <w:bCs/>
          <w:color w:val="10253B"/>
          <w:sz w:val="27"/>
          <w:szCs w:val="27"/>
        </w:rPr>
        <w:t xml:space="preserve">5. Security, Data Integrity &amp; Audit Hardening</w:t>
      </w:r>
    </w:p>
    <w:p>
      <w:pPr>
        <w:spacing w:after="160" w:line="276"/>
      </w:pPr>
      <w:r>
        <w:rPr>
          <w:rFonts w:ascii="Calibri" w:cs="Calibri" w:eastAsia="Calibri" w:hAnsi="Calibri"/>
          <w:color w:val="222222"/>
          <w:sz w:val="21"/>
          <w:szCs w:val="21"/>
        </w:rPr>
        <w:t xml:space="preserve">Since March, we commissioned and completed an independent security, QA and database review of the entire platform - the kind of review a bank or auditor would expect before trusting a system with real financial data. Every finding was resolved and verified before this handover. Concretely, the platform now has:</w:t>
      </w:r>
    </w:p>
    <w:p>
      <w:pPr>
        <w:pStyle w:val="ListParagraph"/>
        <w:numPr>
          <w:ilvl w:val="0"/>
          <w:numId w:val="2"/>
        </w:numPr>
        <w:spacing w:after="120" w:line="270"/>
      </w:pPr>
      <w:r>
        <w:rPr>
          <w:rFonts w:ascii="Calibri" w:cs="Calibri" w:eastAsia="Calibri" w:hAnsi="Calibri"/>
          <w:sz w:val="21"/>
          <w:szCs w:val="21"/>
        </w:rPr>
        <w:t xml:space="preserve">Database-level row security, so each company's data is fully isolated at the database layer - not just hidden in the interface.</w:t>
      </w:r>
    </w:p>
    <w:p>
      <w:pPr>
        <w:pStyle w:val="ListParagraph"/>
        <w:numPr>
          <w:ilvl w:val="0"/>
          <w:numId w:val="2"/>
        </w:numPr>
        <w:spacing w:after="120" w:line="270"/>
      </w:pPr>
      <w:r>
        <w:rPr>
          <w:rFonts w:ascii="Calibri" w:cs="Calibri" w:eastAsia="Calibri" w:hAnsi="Calibri"/>
          <w:sz w:val="21"/>
          <w:szCs w:val="21"/>
        </w:rPr>
        <w:t xml:space="preserve">Three-way match verification between purchase orders, deliveries and vendor bills before any payment is released - the same control professionally run finance departments use to prevent overpayment and invoice fraud.</w:t>
      </w:r>
    </w:p>
    <w:p>
      <w:pPr>
        <w:pStyle w:val="ListParagraph"/>
        <w:numPr>
          <w:ilvl w:val="0"/>
          <w:numId w:val="2"/>
        </w:numPr>
        <w:spacing w:after="120" w:line="270"/>
      </w:pPr>
      <w:r>
        <w:rPr>
          <w:rFonts w:ascii="Calibri" w:cs="Calibri" w:eastAsia="Calibri" w:hAnsi="Calibri"/>
          <w:sz w:val="21"/>
          <w:szCs w:val="21"/>
        </w:rPr>
        <w:t xml:space="preserve">Race-condition-safe cloud sync, so two people editing at the same time can never silently overwrite each other's work.</w:t>
      </w:r>
    </w:p>
    <w:p>
      <w:pPr>
        <w:pStyle w:val="ListParagraph"/>
        <w:numPr>
          <w:ilvl w:val="0"/>
          <w:numId w:val="2"/>
        </w:numPr>
        <w:spacing w:after="120" w:line="270"/>
      </w:pPr>
      <w:r>
        <w:rPr>
          <w:rFonts w:ascii="Calibri" w:cs="Calibri" w:eastAsia="Calibri" w:hAnsi="Calibri"/>
          <w:sz w:val="21"/>
          <w:szCs w:val="21"/>
        </w:rPr>
        <w:t xml:space="preserve">A full, searchable activity and audit trail - every transaction is timestamped and tied to the user who created it.</w:t>
      </w:r>
    </w:p>
    <w:p>
      <w:pPr>
        <w:pStyle w:val="ListParagraph"/>
        <w:numPr>
          <w:ilvl w:val="0"/>
          <w:numId w:val="2"/>
        </w:numPr>
        <w:spacing w:after="120" w:line="270"/>
      </w:pPr>
      <w:r>
        <w:rPr>
          <w:rFonts w:ascii="Calibri" w:cs="Calibri" w:eastAsia="Calibri" w:hAnsi="Calibri"/>
          <w:sz w:val="21"/>
          <w:szCs w:val="21"/>
        </w:rPr>
        <w:t xml:space="preserve">Hardened cloud functions with input validation, timeouts, and safe failure handling on every server-side operation (user creation, password resets, notifications).</w:t>
      </w:r>
    </w:p>
    <w:p>
      <w:pPr>
        <w:pStyle w:val="Heading1"/>
        <w:pBdr>
          <w:bottom w:val="single" w:color="1B3A5C" w:sz="6" w:space="4"/>
        </w:pBdr>
        <w:spacing w:after="160" w:before="380"/>
      </w:pPr>
      <w:r>
        <w:rPr>
          <w:rFonts w:ascii="Calibri" w:cs="Calibri" w:eastAsia="Calibri" w:hAnsi="Calibri"/>
          <w:b/>
          <w:bCs/>
          <w:color w:val="10253B"/>
          <w:sz w:val="27"/>
          <w:szCs w:val="27"/>
        </w:rPr>
        <w:t xml:space="preserve">6. Why This System Makes Sense for SLOT Engineering</w:t>
      </w:r>
    </w:p>
    <w:p>
      <w:pPr>
        <w:pStyle w:val="Heading2"/>
        <w:spacing w:after="120" w:before="260"/>
      </w:pPr>
      <w:r>
        <w:rPr>
          <w:rFonts w:ascii="Calibri" w:cs="Calibri" w:eastAsia="Calibri" w:hAnsi="Calibri"/>
          <w:b/>
          <w:bCs/>
          <w:color w:val="1B3A5C"/>
          <w:sz w:val="23"/>
          <w:szCs w:val="23"/>
        </w:rPr>
        <w:t xml:space="preserve">6.1  Cost Savings</w:t>
      </w:r>
    </w:p>
    <w:p>
      <w:pPr>
        <w:pStyle w:val="ListParagraph"/>
        <w:numPr>
          <w:ilvl w:val="0"/>
          <w:numId w:val="2"/>
        </w:numPr>
        <w:spacing w:after="120" w:line="270"/>
      </w:pPr>
      <w:r>
        <w:rPr>
          <w:rFonts w:ascii="Calibri" w:cs="Calibri" w:eastAsia="Calibri" w:hAnsi="Calibri"/>
          <w:sz w:val="21"/>
          <w:szCs w:val="21"/>
        </w:rPr>
        <w:t xml:space="preserve">Accounting software like Sage or QuickBooks typically costs N300,000 to N800,000 or more per year in subscription fees. This system replaces that entirely.</w:t>
      </w:r>
    </w:p>
    <w:p>
      <w:pPr>
        <w:pStyle w:val="ListParagraph"/>
        <w:numPr>
          <w:ilvl w:val="0"/>
          <w:numId w:val="2"/>
        </w:numPr>
        <w:spacing w:after="120" w:line="270"/>
      </w:pPr>
      <w:r>
        <w:rPr>
          <w:rFonts w:ascii="Calibri" w:cs="Calibri" w:eastAsia="Calibri" w:hAnsi="Calibri"/>
          <w:sz w:val="21"/>
          <w:szCs w:val="21"/>
        </w:rPr>
        <w:t xml:space="preserve">Manual Excel-based bookkeeping typically costs 10 to 20 hours of accountant time per month. That time is now handled automatically.</w:t>
      </w:r>
    </w:p>
    <w:p>
      <w:pPr>
        <w:pStyle w:val="ListParagraph"/>
        <w:numPr>
          <w:ilvl w:val="0"/>
          <w:numId w:val="2"/>
        </w:numPr>
        <w:spacing w:after="120" w:line="270"/>
      </w:pPr>
      <w:r>
        <w:rPr>
          <w:rFonts w:ascii="Calibri" w:cs="Calibri" w:eastAsia="Calibri" w:hAnsi="Calibri"/>
          <w:sz w:val="21"/>
          <w:szCs w:val="21"/>
        </w:rPr>
        <w:t xml:space="preserve">NLNG-format payslips and SLP-format invoices are generated directly from the system - no separate designer or template management needed.</w:t>
      </w:r>
    </w:p>
    <w:p>
      <w:pPr>
        <w:pStyle w:val="Heading2"/>
        <w:spacing w:after="120" w:before="260"/>
      </w:pPr>
      <w:r>
        <w:rPr>
          <w:rFonts w:ascii="Calibri" w:cs="Calibri" w:eastAsia="Calibri" w:hAnsi="Calibri"/>
          <w:b/>
          <w:bCs/>
          <w:color w:val="1B3A5C"/>
          <w:sz w:val="23"/>
          <w:szCs w:val="23"/>
        </w:rPr>
        <w:t xml:space="preserve">6.2  Operational Efficiency</w:t>
      </w:r>
    </w:p>
    <w:p>
      <w:pPr>
        <w:pStyle w:val="ListParagraph"/>
        <w:numPr>
          <w:ilvl w:val="0"/>
          <w:numId w:val="2"/>
        </w:numPr>
        <w:spacing w:after="120" w:line="270"/>
      </w:pPr>
      <w:r>
        <w:rPr>
          <w:rFonts w:ascii="Calibri" w:cs="Calibri" w:eastAsia="Calibri" w:hAnsi="Calibri"/>
          <w:sz w:val="21"/>
          <w:szCs w:val="21"/>
        </w:rPr>
        <w:t xml:space="preserve">Twenty operational areas - HR (x2), Procurement, Inventory, Fleet, Terminal Operations, Finance, Petty Cash, Requests, Sales, Projects, and the full Accounting Suite - live in one platform.</w:t>
      </w:r>
    </w:p>
    <w:p>
      <w:pPr>
        <w:pStyle w:val="ListParagraph"/>
        <w:numPr>
          <w:ilvl w:val="0"/>
          <w:numId w:val="2"/>
        </w:numPr>
        <w:spacing w:after="120" w:line="270"/>
      </w:pPr>
      <w:r>
        <w:rPr>
          <w:rFonts w:ascii="Calibri" w:cs="Calibri" w:eastAsia="Calibri" w:hAnsi="Calibri"/>
          <w:sz w:val="21"/>
          <w:szCs w:val="21"/>
        </w:rPr>
        <w:t xml:space="preserve">Staff only see what their role allows. A viewer cannot edit records. An accountant cannot approve procurement.</w:t>
      </w:r>
    </w:p>
    <w:p>
      <w:pPr>
        <w:pStyle w:val="ListParagraph"/>
        <w:numPr>
          <w:ilvl w:val="0"/>
          <w:numId w:val="2"/>
        </w:numPr>
        <w:spacing w:after="120" w:line="270"/>
      </w:pPr>
      <w:r>
        <w:rPr>
          <w:rFonts w:ascii="Calibri" w:cs="Calibri" w:eastAsia="Calibri" w:hAnsi="Calibri"/>
          <w:sz w:val="21"/>
          <w:szCs w:val="21"/>
        </w:rPr>
        <w:t xml:space="preserve">Runs on any device without installation. A manager can approve a petty cash request from their phone on a site visit.</w:t>
      </w:r>
    </w:p>
    <w:p>
      <w:pPr>
        <w:pStyle w:val="ListParagraph"/>
        <w:numPr>
          <w:ilvl w:val="0"/>
          <w:numId w:val="2"/>
        </w:numPr>
        <w:spacing w:after="120" w:line="270"/>
      </w:pPr>
      <w:r>
        <w:rPr>
          <w:rFonts w:ascii="Calibri" w:cs="Calibri" w:eastAsia="Calibri" w:hAnsi="Calibri"/>
          <w:sz w:val="21"/>
          <w:szCs w:val="21"/>
        </w:rPr>
        <w:t xml:space="preserve">Automated alerts handle low stock, upcoming vehicle paper expiries, and backup reminders without anyone needing to check manually.</w:t>
      </w:r>
    </w:p>
    <w:p>
      <w:pPr>
        <w:pStyle w:val="Heading2"/>
        <w:spacing w:after="120" w:before="260"/>
      </w:pPr>
      <w:r>
        <w:rPr>
          <w:rFonts w:ascii="Calibri" w:cs="Calibri" w:eastAsia="Calibri" w:hAnsi="Calibri"/>
          <w:b/>
          <w:bCs/>
          <w:color w:val="1B3A5C"/>
          <w:sz w:val="23"/>
          <w:szCs w:val="23"/>
        </w:rPr>
        <w:t xml:space="preserve">6.3  Compliance and Audit Readiness</w:t>
      </w:r>
    </w:p>
    <w:p>
      <w:pPr>
        <w:pStyle w:val="ListParagraph"/>
        <w:numPr>
          <w:ilvl w:val="0"/>
          <w:numId w:val="2"/>
        </w:numPr>
        <w:spacing w:after="120" w:line="270"/>
      </w:pPr>
      <w:r>
        <w:rPr>
          <w:rFonts w:ascii="Calibri" w:cs="Calibri" w:eastAsia="Calibri" w:hAnsi="Calibri"/>
          <w:sz w:val="21"/>
          <w:szCs w:val="21"/>
        </w:rPr>
        <w:t xml:space="preserve">Every transaction carries a timestamp and a user reference, so you can always trace who did what and when.</w:t>
      </w:r>
    </w:p>
    <w:p>
      <w:pPr>
        <w:pStyle w:val="ListParagraph"/>
        <w:numPr>
          <w:ilvl w:val="0"/>
          <w:numId w:val="2"/>
        </w:numPr>
        <w:spacing w:after="120" w:line="270"/>
      </w:pPr>
      <w:r>
        <w:rPr>
          <w:rFonts w:ascii="Calibri" w:cs="Calibri" w:eastAsia="Calibri" w:hAnsi="Calibri"/>
          <w:sz w:val="21"/>
          <w:szCs w:val="21"/>
        </w:rPr>
        <w:t xml:space="preserve">VAT Returns are calculated from real transaction data, not estimates - reducing exposure to FIRS penalties.</w:t>
      </w:r>
    </w:p>
    <w:p>
      <w:pPr>
        <w:pStyle w:val="ListParagraph"/>
        <w:numPr>
          <w:ilvl w:val="0"/>
          <w:numId w:val="2"/>
        </w:numPr>
        <w:spacing w:after="120" w:line="270"/>
      </w:pPr>
      <w:r>
        <w:rPr>
          <w:rFonts w:ascii="Calibri" w:cs="Calibri" w:eastAsia="Calibri" w:hAnsi="Calibri"/>
          <w:sz w:val="21"/>
          <w:szCs w:val="21"/>
        </w:rPr>
        <w:t xml:space="preserve">The payslip format matches NLNG's contract staff documentation standard; the invoice format follows the SLP-series standard used in NLNG procurement.</w:t>
      </w:r>
    </w:p>
    <w:p>
      <w:pPr>
        <w:pStyle w:val="ListParagraph"/>
        <w:numPr>
          <w:ilvl w:val="0"/>
          <w:numId w:val="2"/>
        </w:numPr>
        <w:spacing w:after="120" w:line="270"/>
      </w:pPr>
      <w:r>
        <w:rPr>
          <w:rFonts w:ascii="Calibri" w:cs="Calibri" w:eastAsia="Calibri" w:hAnsi="Calibri"/>
          <w:sz w:val="21"/>
          <w:szCs w:val="21"/>
        </w:rPr>
        <w:t xml:space="preserve">The petty cash FAC-006 form prints directly from the system with all fields filled in - no manual forms.</w:t>
      </w:r>
    </w:p>
    <w:p>
      <w:pPr>
        <w:pStyle w:val="Heading2"/>
        <w:spacing w:after="120" w:before="260"/>
      </w:pPr>
      <w:r>
        <w:rPr>
          <w:rFonts w:ascii="Calibri" w:cs="Calibri" w:eastAsia="Calibri" w:hAnsi="Calibri"/>
          <w:b/>
          <w:bCs/>
          <w:color w:val="1B3A5C"/>
          <w:sz w:val="23"/>
          <w:szCs w:val="23"/>
        </w:rPr>
        <w:t xml:space="preserve">6.4  Ownership and Independence</w:t>
      </w:r>
    </w:p>
    <w:p>
      <w:pPr>
        <w:pStyle w:val="ListParagraph"/>
        <w:numPr>
          <w:ilvl w:val="0"/>
          <w:numId w:val="2"/>
        </w:numPr>
        <w:spacing w:after="120" w:line="270"/>
      </w:pPr>
      <w:r>
        <w:rPr>
          <w:rFonts w:ascii="Calibri" w:cs="Calibri" w:eastAsia="Calibri" w:hAnsi="Calibri"/>
          <w:sz w:val="21"/>
          <w:szCs w:val="21"/>
        </w:rPr>
        <w:t xml:space="preserve">This platform has been configured specifically for SLOT Engineering. Once handover is complete, it belongs to you outright - not a shared licence or a rental.</w:t>
      </w:r>
    </w:p>
    <w:p>
      <w:pPr>
        <w:pStyle w:val="ListParagraph"/>
        <w:numPr>
          <w:ilvl w:val="0"/>
          <w:numId w:val="2"/>
        </w:numPr>
        <w:spacing w:after="120" w:line="270"/>
      </w:pPr>
      <w:r>
        <w:rPr>
          <w:rFonts w:ascii="Calibri" w:cs="Calibri" w:eastAsia="Calibri" w:hAnsi="Calibri"/>
          <w:sz w:val="21"/>
          <w:szCs w:val="21"/>
        </w:rPr>
        <w:t xml:space="preserve">There is no ongoing subscription for the core software. The only recurring cost is hosting, covered in the next section.</w:t>
      </w:r>
    </w:p>
    <w:p>
      <w:pPr>
        <w:pStyle w:val="ListParagraph"/>
        <w:numPr>
          <w:ilvl w:val="0"/>
          <w:numId w:val="2"/>
        </w:numPr>
        <w:spacing w:after="120" w:line="270"/>
      </w:pPr>
      <w:r>
        <w:rPr>
          <w:rFonts w:ascii="Calibri" w:cs="Calibri" w:eastAsia="Calibri" w:hAnsi="Calibri"/>
          <w:sz w:val="21"/>
          <w:szCs w:val="21"/>
        </w:rPr>
        <w:t xml:space="preserve">Further modules can be added as the business grows, without starting anything from scratch.</w:t>
      </w:r>
    </w:p>
    <w:p>
      <w:pPr>
        <w:pStyle w:val="Heading1"/>
        <w:pBdr>
          <w:bottom w:val="single" w:color="1B3A5C" w:sz="6" w:space="4"/>
        </w:pBdr>
        <w:spacing w:after="160" w:before="380"/>
      </w:pPr>
      <w:r>
        <w:rPr>
          <w:rFonts w:ascii="Calibri" w:cs="Calibri" w:eastAsia="Calibri" w:hAnsi="Calibri"/>
          <w:b/>
          <w:bCs/>
          <w:color w:val="10253B"/>
          <w:sz w:val="27"/>
          <w:szCs w:val="27"/>
        </w:rPr>
        <w:t xml:space="preserve">7. Hosting &amp; Infrastructure</w:t>
      </w:r>
    </w:p>
    <w:p>
      <w:pPr>
        <w:spacing w:after="160" w:line="276"/>
      </w:pPr>
      <w:r>
        <w:rPr>
          <w:rFonts w:ascii="Calibri" w:cs="Calibri" w:eastAsia="Calibri" w:hAnsi="Calibri"/>
          <w:color w:val="222222"/>
          <w:sz w:val="21"/>
          <w:szCs w:val="21"/>
        </w:rPr>
        <w:t xml:space="preserve">The platform is already live on Google Firebase Hosting, with Supabase (a production-grade Postgres database) as the backend handling data, authentication, and secure file storage. This is a more capable, more secure foundation than the Firebase-only prototype described in the March proposal.</w:t>
      </w:r>
    </w:p>
    <w:p>
      <w:pPr>
        <w:spacing w:after="160" w:line="276"/>
      </w:pPr>
      <w:r>
        <w:rPr>
          <w:rFonts w:ascii="Calibri" w:cs="Calibri" w:eastAsia="Calibri" w:hAnsi="Calibri"/>
          <w:color w:val="222222"/>
          <w:sz w:val="21"/>
          <w:szCs w:val="21"/>
        </w:rPr>
        <w:t xml:space="preserve">The database is currently running on Supabase's Free tier, which is appropriate for development and testing but not for a live system the business depends on daily - it pauses automatically after a week of inactivity and caps storage and concurrent connections. We recommend moving to the Pro tier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000"/>
        <w:gridCol w:w="2060"/>
      </w:tblGrid>
      <w:tr>
        <w:trPr>
          <w:cantSplit/>
          <w:tblHeader/>
        </w:trPr>
        <w:tc>
          <w:tcPr>
            <w:tcW w:type="dxa" w:w="24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Item</w:t>
            </w:r>
          </w:p>
        </w:tc>
        <w:tc>
          <w:tcPr>
            <w:tcW w:type="dxa" w:w="29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Tier</w:t>
            </w:r>
          </w:p>
        </w:tc>
        <w:tc>
          <w:tcPr>
            <w:tcW w:type="dxa" w:w="20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Approx. Cost (USD)</w:t>
            </w:r>
          </w:p>
        </w:tc>
        <w:tc>
          <w:tcPr>
            <w:tcW w:type="dxa" w:w="206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Approx. Cost (NGN/year)</w:t>
            </w:r>
          </w:p>
        </w:tc>
      </w:tr>
      <w:tr>
        <w:trPr>
          <w:cantSplit/>
        </w:trPr>
        <w:tc>
          <w:tcPr>
            <w:tcW w:type="dxa" w:w="24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Firebase Hosting</w:t>
            </w:r>
          </w:p>
        </w:tc>
        <w:tc>
          <w:tcPr>
            <w:tcW w:type="dxa" w:w="29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Free (current, sufficient)</w:t>
            </w:r>
          </w:p>
        </w:tc>
        <w:tc>
          <w:tcPr>
            <w:tcW w:type="dxa" w:w="20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$0</w:t>
            </w:r>
          </w:p>
        </w:tc>
        <w:tc>
          <w:tcPr>
            <w:tcW w:type="dxa" w:w="20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N0</w:t>
            </w:r>
          </w:p>
        </w:tc>
      </w:tr>
      <w:tr>
        <w:trPr>
          <w:cantSplit/>
        </w:trPr>
        <w:tc>
          <w:tcPr>
            <w:tcW w:type="dxa" w:w="24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Supabase Database</w:t>
            </w:r>
          </w:p>
        </w:tc>
        <w:tc>
          <w:tcPr>
            <w:tcW w:type="dxa" w:w="29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Pro (recommended for live use)</w:t>
            </w:r>
          </w:p>
        </w:tc>
        <w:tc>
          <w:tcPr>
            <w:tcW w:type="dxa" w:w="20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$25/month</w:t>
            </w:r>
          </w:p>
        </w:tc>
        <w:tc>
          <w:tcPr>
            <w:tcW w:type="dxa" w:w="20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~N450,000 - N500,000/year</w:t>
            </w:r>
          </w:p>
        </w:tc>
      </w:tr>
    </w:tbl>
    <w:p>
      <w:pPr>
        <w:spacing w:after="140"/>
      </w:pPr>
    </w:p>
    <w:p>
      <w:pPr>
        <w:spacing w:after="160" w:line="276"/>
      </w:pPr>
      <w:r>
        <w:rPr>
          <w:rFonts w:ascii="Calibri" w:cs="Calibri" w:eastAsia="Calibri" w:hAnsi="Calibri"/>
          <w:color w:val="222222"/>
          <w:sz w:val="21"/>
          <w:szCs w:val="21"/>
        </w:rPr>
        <w:t xml:space="preserve">Note - the naira figure is an estimate based on current exchange rates and will vary slightly depending on when payment is made. This is a recurring cost paid directly to Supabase going forward - it is not part of the development fee quoted below. Mollernik Global Services will handle the tier upgrade and any migration at no additional charge.</w:t>
      </w:r>
    </w:p>
    <w:p>
      <w:pPr>
        <w:pStyle w:val="Heading1"/>
        <w:pBdr>
          <w:bottom w:val="single" w:color="1B3A5C" w:sz="6" w:space="4"/>
        </w:pBdr>
        <w:spacing w:after="160" w:before="380"/>
      </w:pPr>
      <w:r>
        <w:rPr>
          <w:rFonts w:ascii="Calibri" w:cs="Calibri" w:eastAsia="Calibri" w:hAnsi="Calibri"/>
          <w:b/>
          <w:bCs/>
          <w:color w:val="10253B"/>
          <w:sz w:val="27"/>
          <w:szCs w:val="27"/>
        </w:rPr>
        <w:t xml:space="preserve">8. Investment Breakdown</w:t>
      </w:r>
    </w:p>
    <w:p>
      <w:pPr>
        <w:spacing w:after="160" w:line="276"/>
      </w:pPr>
      <w:r>
        <w:rPr>
          <w:rFonts w:ascii="Calibri" w:cs="Calibri" w:eastAsia="Calibri" w:hAnsi="Calibri"/>
          <w:color w:val="222222"/>
          <w:sz w:val="21"/>
          <w:szCs w:val="21"/>
        </w:rPr>
        <w:t xml:space="preserve">The fee below covers every module and feature added or upgraded since March, plus the original scope: configuration for SLOT Engineering's specific workflows, the full Sage-equivalent accounting suite, the independent security audit and hardening pass, cloud deployment, multiple rounds of testing, and handover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80"/>
        <w:gridCol w:w="1380"/>
      </w:tblGrid>
      <w:tr>
        <w:trPr>
          <w:cantSplit/>
          <w:tblHeader/>
        </w:trPr>
        <w:tc>
          <w:tcPr>
            <w:tcW w:type="dxa" w:w="25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Deliverable</w:t>
            </w:r>
          </w:p>
        </w:tc>
        <w:tc>
          <w:tcPr>
            <w:tcW w:type="dxa" w:w="548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Description</w:t>
            </w:r>
          </w:p>
        </w:tc>
        <w:tc>
          <w:tcPr>
            <w:tcW w:type="dxa" w:w="138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Cost (NGN)</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Core Platform &amp; Multi-Role Security</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Dashboard, Settings, sidebar customisation (Module Editor), five-tier role-based access control, offline-first local storage</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N700,000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HR - NLNG Contract Staff Payroll</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Staff records, branded NLNG-format payslips, PAYE and pension calculations, payroll register</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N350,000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HR - Company Staff Payroll</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Second, independent payroll engine for SLOT's own direct staff (separate from NLNG contract staff)</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N280,000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Procurement Module</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Purchase orders, multi-level approval workflow, auto-generate invoice from PO</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N380,000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Inventory &amp; Stock Management</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Stock levels, low-stock alerts, barcode scanning for items</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N280,000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Fleet &amp; Vehicles Module</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Vehicle records, maintenance logs, expiry date tracking</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N280,000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Terminal Operations &amp; Logistics</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New module built from SLOT's own terminal/clearing-agent and logistics records - charges, transit tracking by container number</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N650,000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Invoices &amp; Billing Module</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Invoice creation, status tracking, print and export</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N230,000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Petty Cash / Imprest Module</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FAC-006 form, full approval workflow, real-time status</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N230,000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Request Management Module</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Internal requisitions with multi-level approval chain</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N180,000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Centralised Approvals Dashboard</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One screen to review, approve or reject everything pending across every module</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N180,000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Sales Orders Module</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Order capture, status tracking, conversion to invoice</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N280,000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Project Profitability (P&amp;L) Module</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Revenue vs. cost by project/contract, including allocated staff payroll cost</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N280,000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Fixed Assets Module</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Asset register, depreciation schedules, disposal with gain/loss posting</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N280,000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Accounting Suite - Core Engine</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Full double-entry bookkeeping across 90 accounts migrated from your own Sage chart of accounts; Journal Entries, General Ledger, Trial Balance, P&amp;L, Balance Sheet, Cash Flow, Bank Reconciliation, VAT Returns</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N850,000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Sage-Equivalent Reports - Tier 1</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Customer &amp; Supplier Statements, Credit Notes, VAT201, Comparative P&amp;L/Balance Sheet, GL Detail Report, Aged Receivables &amp; Payables, Batch Payment Run, WHT Certificates, Credit Limit enforcement (10 features)</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N900,000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Sage-Equivalent Features - Tier 2</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Recurring Invoices, interactive Bank Reconciliation, Prepayments &amp; Accruals, Asset Disposal, Budget vs. Actual, Stock Take (6 features)</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N750,000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Sage-Equivalent Features - Tier 3</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Multi-currency FX Revaluation, Multiple Warehouses, Serial/Batch Tracking, Bill of Materials (4 advanced features)</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N750,000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Analytics &amp; Reports Dashboard</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Revenue charts, payroll trends, expense breakdowns, cross-module KPIs</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N280,000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Document Scanner &amp; Cloud Storage</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Scan or upload supporting documents and attach them to any record, stored securely in the cloud</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N280,000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Excel Import/Export Manager</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Per-module Excel export, template download, and bulk import with preview - the primary way new data will enter the system post-handover</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N180,000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Activity Log &amp; Audit Trail</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Every transaction timestamped and tied to a user, fully searchable</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N140,000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Backup &amp; Restore System</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One-click local export, full cloud backup and restore</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N180,000</w:t>
            </w:r>
          </w:p>
        </w:tc>
      </w:tr>
      <w:tr>
        <w:trPr>
          <w:cantSplit/>
        </w:trPr>
        <w:tc>
          <w:tcPr>
            <w:tcW w:type="dxa" w:w="25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Security &amp; Data-Integrity Hardening</w:t>
            </w:r>
          </w:p>
        </w:tc>
        <w:tc>
          <w:tcPr>
            <w:tcW w:type="dxa" w:w="54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Independent security/QA audit: database-level row security, three-way PO/delivery/invoice match fraud control, race-condition-safe cloud sync, hardened cloud functions</w:t>
            </w:r>
          </w:p>
        </w:tc>
        <w:tc>
          <w:tcPr>
            <w:tcW w:type="dxa" w:w="138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N850,000</w:t>
            </w:r>
          </w:p>
        </w:tc>
      </w:tr>
      <w:tr>
        <w:trPr>
          <w:cantSplit/>
        </w:trPr>
        <w:tc>
          <w:tcPr>
            <w:tcW w:type="dxa" w:w="25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Setup, Cloud Deployment &amp; Handover</w:t>
            </w:r>
          </w:p>
        </w:tc>
        <w:tc>
          <w:tcPr>
            <w:tcW w:type="dxa" w:w="54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Firebase + Supabase production deployment, final testing, handover documentation and training session</w:t>
            </w:r>
          </w:p>
        </w:tc>
        <w:tc>
          <w:tcPr>
            <w:tcW w:type="dxa" w:w="138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N260,000</w:t>
            </w:r>
          </w:p>
        </w:tc>
      </w:tr>
    </w:tbl>
    <w:p>
      <w:pPr>
        <w:spacing w:after="100"/>
      </w:pPr>
    </w:p>
    <w:p>
      <w:pPr>
        <w:spacing w:after="160" w:line="276"/>
        <w:jc w:val="right"/>
      </w:pPr>
      <w:r>
        <w:rPr>
          <w:rFonts w:ascii="Calibri" w:cs="Calibri" w:eastAsia="Calibri" w:hAnsi="Calibri"/>
          <w:b/>
          <w:bCs/>
          <w:sz w:val="21"/>
          <w:szCs w:val="21"/>
        </w:rPr>
        <w:t xml:space="preserve">TOTAL:  </w:t>
      </w:r>
      <w:r>
        <w:rPr>
          <w:rFonts w:ascii="Calibri" w:cs="Calibri" w:eastAsia="Calibri" w:hAnsi="Calibri"/>
          <w:b/>
          <w:bCs/>
          <w:sz w:val="21"/>
          <w:szCs w:val="21"/>
        </w:rPr>
        <w:t xml:space="preserve">N10,000,000</w:t>
      </w:r>
    </w:p>
    <w:p>
      <w:pPr>
        <w:spacing w:after="160" w:line="276"/>
      </w:pPr>
      <w:r>
        <w:rPr>
          <w:rFonts w:ascii="Calibri" w:cs="Calibri" w:eastAsia="Calibri" w:hAnsi="Calibri"/>
          <w:i/>
          <w:iCs/>
          <w:sz w:val="21"/>
          <w:szCs w:val="21"/>
        </w:rPr>
        <w:t xml:space="preserve">Total in words: Ten Million Naira Only</w:t>
      </w:r>
    </w:p>
    <w:p>
      <w:pPr>
        <w:pStyle w:val="Heading1"/>
        <w:pBdr>
          <w:bottom w:val="single" w:color="1B3A5C" w:sz="6" w:space="4"/>
        </w:pBdr>
        <w:spacing w:after="160" w:before="380"/>
      </w:pPr>
      <w:r>
        <w:rPr>
          <w:rFonts w:ascii="Calibri" w:cs="Calibri" w:eastAsia="Calibri" w:hAnsi="Calibri"/>
          <w:b/>
          <w:bCs/>
          <w:color w:val="10253B"/>
          <w:sz w:val="27"/>
          <w:szCs w:val="27"/>
        </w:rPr>
        <w:t xml:space="preserve">9. Payment Schedule</w:t>
      </w:r>
    </w:p>
    <w:p>
      <w:pPr>
        <w:spacing w:after="160" w:line="276"/>
      </w:pPr>
      <w:r>
        <w:rPr>
          <w:rFonts w:ascii="Calibri" w:cs="Calibri" w:eastAsia="Calibri" w:hAnsi="Calibri"/>
          <w:color w:val="222222"/>
          <w:sz w:val="21"/>
          <w:szCs w:val="21"/>
        </w:rPr>
        <w:t xml:space="preserve">Payment is split into three milestones tied to real delivery stages, consistent with the structure used in March. Nothing is paid upfront without something happening on our side, and the final instalment falls due only once you are satisfied with what has been handed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cantSplit/>
          <w:tblHeader/>
        </w:trPr>
        <w:tc>
          <w:tcPr>
            <w:tcW w:type="dxa" w:w="20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Milestone</w:t>
            </w:r>
          </w:p>
        </w:tc>
        <w:tc>
          <w:tcPr>
            <w:tcW w:type="dxa" w:w="160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Amount</w:t>
            </w:r>
          </w:p>
        </w:tc>
        <w:tc>
          <w:tcPr>
            <w:tcW w:type="dxa" w:w="5760"/>
            <w:shd w:fill="10253B" w:val="clear"/>
            <w:tcMar>
              <w:top w:type="dxa" w:w="90"/>
              <w:left w:type="dxa" w:w="110"/>
              <w:bottom w:type="dxa" w:w="90"/>
              <w:right w:type="dxa" w:w="110"/>
            </w:tcMar>
            <w:vAlign w:val="center"/>
          </w:tcPr>
          <w:p>
            <w:pPr>
              <w:spacing w:after="0" w:line="260"/>
              <w:jc w:val="left"/>
            </w:pPr>
            <w:r>
              <w:rPr>
                <w:rFonts w:ascii="Calibri" w:cs="Calibri" w:eastAsia="Calibri" w:hAnsi="Calibri"/>
                <w:b/>
                <w:bCs/>
                <w:color w:val="FFFFFF"/>
                <w:sz w:val="19"/>
                <w:szCs w:val="19"/>
              </w:rPr>
              <w:t xml:space="preserve">When It Falls Due</w:t>
            </w:r>
          </w:p>
        </w:tc>
      </w:tr>
      <w:tr>
        <w:trPr>
          <w:cantSplit/>
        </w:trPr>
        <w:tc>
          <w:tcPr>
            <w:tcW w:type="dxa" w:w="20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Deposit - 50%</w:t>
            </w:r>
          </w:p>
        </w:tc>
        <w:tc>
          <w:tcPr>
            <w:tcW w:type="dxa" w:w="16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N5,000,000</w:t>
            </w:r>
          </w:p>
        </w:tc>
        <w:tc>
          <w:tcPr>
            <w:tcW w:type="dxa" w:w="5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On signing of this proposal - confirms the engagement and triggers handover preparation</w:t>
            </w:r>
          </w:p>
        </w:tc>
      </w:tr>
      <w:tr>
        <w:trPr>
          <w:cantSplit/>
        </w:trPr>
        <w:tc>
          <w:tcPr>
            <w:tcW w:type="dxa" w:w="20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Delivery - 30%</w:t>
            </w:r>
          </w:p>
        </w:tc>
        <w:tc>
          <w:tcPr>
            <w:tcW w:type="dxa" w:w="160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N3,000,000</w:t>
            </w:r>
          </w:p>
        </w:tc>
        <w:tc>
          <w:tcPr>
            <w:tcW w:type="dxa" w:w="576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On live demonstration of the full platform to management and sign-off on all functionality</w:t>
            </w:r>
          </w:p>
        </w:tc>
      </w:tr>
      <w:tr>
        <w:trPr>
          <w:cantSplit/>
        </w:trPr>
        <w:tc>
          <w:tcPr>
            <w:tcW w:type="dxa" w:w="20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Handover - 20%</w:t>
            </w:r>
          </w:p>
        </w:tc>
        <w:tc>
          <w:tcPr>
            <w:tcW w:type="dxa" w:w="160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N2,000,000</w:t>
            </w:r>
          </w:p>
        </w:tc>
        <w:tc>
          <w:tcPr>
            <w:tcW w:type="dxa" w:w="576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On final production deployment, staff training, and handover of all admin credentials</w:t>
            </w:r>
          </w:p>
        </w:tc>
      </w:tr>
    </w:tbl>
    <w:p>
      <w:pPr>
        <w:spacing w:after="160"/>
      </w:pPr>
    </w:p>
    <w:p>
      <w:pPr>
        <w:pStyle w:val="Heading2"/>
        <w:spacing w:after="120" w:before="260"/>
      </w:pPr>
      <w:r>
        <w:rPr>
          <w:rFonts w:ascii="Calibri" w:cs="Calibri" w:eastAsia="Calibri" w:hAnsi="Calibri"/>
          <w:b/>
          <w:bCs/>
          <w:color w:val="1B3A5C"/>
          <w:sz w:val="23"/>
          <w:szCs w:val="23"/>
        </w:rPr>
        <w:t xml:space="preserve">Payment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Mar>
              <w:top w:type="dxa" w:w="90"/>
              <w:left w:type="dxa" w:w="110"/>
              <w:bottom w:type="dxa" w:w="90"/>
              <w:right w:type="dxa" w:w="110"/>
            </w:tcMar>
            <w:vAlign w:val="center"/>
          </w:tcPr>
          <w:p>
            <w:pPr>
              <w:spacing w:after="0" w:line="260"/>
            </w:pPr>
            <w:r>
              <w:rPr>
                <w:rFonts w:ascii="Calibri" w:cs="Calibri" w:eastAsia="Calibri" w:hAnsi="Calibri"/>
                <w:b/>
                <w:bCs/>
                <w:color w:val="222222"/>
                <w:sz w:val="19"/>
                <w:szCs w:val="19"/>
              </w:rPr>
              <w:t xml:space="preserve">Account Name</w:t>
            </w:r>
          </w:p>
        </w:tc>
        <w:tc>
          <w:tcPr>
            <w:tcW w:type="dxa" w:w="702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MOLLERNIK GLOBAL SERVICES</w:t>
            </w:r>
          </w:p>
        </w:tc>
      </w:tr>
      <w:tr>
        <w:trPr>
          <w:cantSplit/>
        </w:trPr>
        <w:tc>
          <w:tcPr>
            <w:tcW w:type="dxa" w:w="2340"/>
            <w:shd w:fill="F4F7F9" w:val="clear"/>
            <w:tcMar>
              <w:top w:type="dxa" w:w="90"/>
              <w:left w:type="dxa" w:w="110"/>
              <w:bottom w:type="dxa" w:w="90"/>
              <w:right w:type="dxa" w:w="110"/>
            </w:tcMar>
            <w:vAlign w:val="center"/>
          </w:tcPr>
          <w:p>
            <w:pPr>
              <w:spacing w:after="0" w:line="260"/>
            </w:pPr>
            <w:r>
              <w:rPr>
                <w:rFonts w:ascii="Calibri" w:cs="Calibri" w:eastAsia="Calibri" w:hAnsi="Calibri"/>
                <w:b/>
                <w:bCs/>
                <w:color w:val="222222"/>
                <w:sz w:val="19"/>
                <w:szCs w:val="19"/>
              </w:rPr>
              <w:t xml:space="preserve">Account Number</w:t>
            </w:r>
          </w:p>
        </w:tc>
        <w:tc>
          <w:tcPr>
            <w:tcW w:type="dxa" w:w="7020"/>
            <w:shd w:fill="F4F7F9" w:val="clear"/>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8902573094</w:t>
            </w:r>
          </w:p>
        </w:tc>
      </w:tr>
      <w:tr>
        <w:trPr>
          <w:cantSplit/>
        </w:trPr>
        <w:tc>
          <w:tcPr>
            <w:tcW w:type="dxa" w:w="2340"/>
            <w:tcMar>
              <w:top w:type="dxa" w:w="90"/>
              <w:left w:type="dxa" w:w="110"/>
              <w:bottom w:type="dxa" w:w="90"/>
              <w:right w:type="dxa" w:w="110"/>
            </w:tcMar>
            <w:vAlign w:val="center"/>
          </w:tcPr>
          <w:p>
            <w:pPr>
              <w:spacing w:after="0" w:line="260"/>
            </w:pPr>
            <w:r>
              <w:rPr>
                <w:rFonts w:ascii="Calibri" w:cs="Calibri" w:eastAsia="Calibri" w:hAnsi="Calibri"/>
                <w:b/>
                <w:bCs/>
                <w:color w:val="222222"/>
                <w:sz w:val="19"/>
                <w:szCs w:val="19"/>
              </w:rPr>
              <w:t xml:space="preserve">Bank</w:t>
            </w:r>
          </w:p>
        </w:tc>
        <w:tc>
          <w:tcPr>
            <w:tcW w:type="dxa" w:w="7020"/>
            <w:tcMar>
              <w:top w:type="dxa" w:w="90"/>
              <w:left w:type="dxa" w:w="110"/>
              <w:bottom w:type="dxa" w:w="90"/>
              <w:right w:type="dxa" w:w="110"/>
            </w:tcMar>
            <w:vAlign w:val="center"/>
          </w:tcPr>
          <w:p>
            <w:pPr>
              <w:spacing w:after="0" w:line="260"/>
            </w:pPr>
            <w:r>
              <w:rPr>
                <w:rFonts w:ascii="Calibri" w:cs="Calibri" w:eastAsia="Calibri" w:hAnsi="Calibri"/>
                <w:b w:val="false"/>
                <w:bCs w:val="false"/>
                <w:color w:val="222222"/>
                <w:sz w:val="19"/>
                <w:szCs w:val="19"/>
              </w:rPr>
              <w:t xml:space="preserve">PalmPay</w:t>
            </w:r>
          </w:p>
        </w:tc>
      </w:tr>
    </w:tbl>
    <w:p>
      <w:pPr>
        <w:spacing w:after="140"/>
      </w:pPr>
    </w:p>
    <w:p>
      <w:pPr>
        <w:spacing w:after="160" w:line="276"/>
      </w:pPr>
      <w:r>
        <w:rPr>
          <w:rFonts w:ascii="Calibri" w:cs="Calibri" w:eastAsia="Calibri" w:hAnsi="Calibri"/>
          <w:color w:val="222222"/>
          <w:sz w:val="21"/>
          <w:szCs w:val="21"/>
        </w:rPr>
        <w:t xml:space="preserve">Please send proof of payment to yolugbuyi@gmail.com after each transfer so we can acknowledge and update the project records accordingly.</w:t>
      </w:r>
    </w:p>
    <w:p>
      <w:pPr>
        <w:pStyle w:val="Heading1"/>
        <w:pBdr>
          <w:bottom w:val="single" w:color="1B3A5C" w:sz="6" w:space="4"/>
        </w:pBdr>
        <w:spacing w:after="160" w:before="380"/>
      </w:pPr>
      <w:r>
        <w:rPr>
          <w:rFonts w:ascii="Calibri" w:cs="Calibri" w:eastAsia="Calibri" w:hAnsi="Calibri"/>
          <w:b/>
          <w:bCs/>
          <w:color w:val="10253B"/>
          <w:sz w:val="27"/>
          <w:szCs w:val="27"/>
        </w:rPr>
        <w:t xml:space="preserve">10. Post-Handover Support</w:t>
      </w:r>
    </w:p>
    <w:p>
      <w:pPr>
        <w:pStyle w:val="ListParagraph"/>
        <w:numPr>
          <w:ilvl w:val="0"/>
          <w:numId w:val="2"/>
        </w:numPr>
        <w:spacing w:after="120" w:line="270"/>
      </w:pPr>
      <w:r>
        <w:rPr>
          <w:rFonts w:ascii="Calibri" w:cs="Calibri" w:eastAsia="Calibri" w:hAnsi="Calibri"/>
          <w:sz w:val="21"/>
          <w:szCs w:val="21"/>
        </w:rPr>
        <w:t xml:space="preserve">30 days of free bug-fix support from the date of final handover. Any issue arising from how the system was built - not from user error - will be fixed at no charge within this period.</w:t>
      </w:r>
    </w:p>
    <w:p>
      <w:pPr>
        <w:pStyle w:val="ListParagraph"/>
        <w:numPr>
          <w:ilvl w:val="0"/>
          <w:numId w:val="2"/>
        </w:numPr>
        <w:spacing w:after="120" w:line="270"/>
      </w:pPr>
      <w:r>
        <w:rPr>
          <w:rFonts w:ascii="Calibri" w:cs="Calibri" w:eastAsia="Calibri" w:hAnsi="Calibri"/>
          <w:sz w:val="21"/>
          <w:szCs w:val="21"/>
        </w:rPr>
        <w:t xml:space="preserve">Remote support via WhatsApp and email throughout the engagement and during the support period.</w:t>
      </w:r>
    </w:p>
    <w:p>
      <w:pPr>
        <w:pStyle w:val="ListParagraph"/>
        <w:numPr>
          <w:ilvl w:val="0"/>
          <w:numId w:val="2"/>
        </w:numPr>
        <w:spacing w:after="120" w:line="270"/>
      </w:pPr>
      <w:r>
        <w:rPr>
          <w:rFonts w:ascii="Calibri" w:cs="Calibri" w:eastAsia="Calibri" w:hAnsi="Calibri"/>
          <w:sz w:val="21"/>
          <w:szCs w:val="21"/>
        </w:rPr>
        <w:t xml:space="preserve">Any new features or additional modules requested after handover will be quoted separately and agreed before work begins.</w:t>
      </w:r>
    </w:p>
    <w:p>
      <w:pPr>
        <w:pStyle w:val="ListParagraph"/>
        <w:numPr>
          <w:ilvl w:val="0"/>
          <w:numId w:val="2"/>
        </w:numPr>
        <w:spacing w:after="120" w:line="270"/>
      </w:pPr>
      <w:r>
        <w:rPr>
          <w:rFonts w:ascii="Calibri" w:cs="Calibri" w:eastAsia="Calibri" w:hAnsi="Calibri"/>
          <w:sz w:val="21"/>
          <w:szCs w:val="21"/>
        </w:rPr>
        <w:t xml:space="preserve">An annual maintenance retainer is available at N500,000 per year for organisations that want ongoing support, minor updates, and priority response time - reflecting the much larger platform now in place (up from N150,000/year in March).</w:t>
      </w:r>
    </w:p>
    <w:p>
      <w:pPr>
        <w:pStyle w:val="Heading1"/>
        <w:pBdr>
          <w:bottom w:val="single" w:color="1B3A5C" w:sz="6" w:space="4"/>
        </w:pBdr>
        <w:spacing w:after="160" w:before="380"/>
      </w:pPr>
      <w:r>
        <w:rPr>
          <w:rFonts w:ascii="Calibri" w:cs="Calibri" w:eastAsia="Calibri" w:hAnsi="Calibri"/>
          <w:b/>
          <w:bCs/>
          <w:color w:val="10253B"/>
          <w:sz w:val="27"/>
          <w:szCs w:val="27"/>
        </w:rPr>
        <w:t xml:space="preserve">11. Acceptance and Sign-Off</w:t>
      </w:r>
    </w:p>
    <w:p>
      <w:pPr>
        <w:spacing w:after="160" w:line="276"/>
      </w:pPr>
      <w:r>
        <w:rPr>
          <w:rFonts w:ascii="Calibri" w:cs="Calibri" w:eastAsia="Calibri" w:hAnsi="Calibri"/>
          <w:color w:val="222222"/>
          <w:sz w:val="21"/>
          <w:szCs w:val="21"/>
        </w:rPr>
        <w:t xml:space="preserve">If management is comfortable with what is outlined here, please sign below to confirm acceptance. Handover preparation will begin as soon as the deposit is received and this document is countersigned.</w:t>
      </w:r>
    </w:p>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after="0" w:line="260"/>
            </w:pPr>
            <w:r>
              <w:rPr>
                <w:rFonts w:ascii="Calibri" w:cs="Calibri" w:eastAsia="Calibri" w:hAnsi="Calibri"/>
                <w:b/>
                <w:bCs/>
                <w:color w:val="222222"/>
                <w:sz w:val="20"/>
                <w:szCs w:val="20"/>
              </w:rPr>
              <w:t xml:space="preserve">FOR: MOLLERNIK GLOBAL SERVICES</w:t>
            </w:r>
          </w:p>
        </w:tc>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after="0" w:line="260"/>
            </w:pPr>
            <w:r>
              <w:rPr>
                <w:rFonts w:ascii="Calibri" w:cs="Calibri" w:eastAsia="Calibri" w:hAnsi="Calibri"/>
                <w:b/>
                <w:bCs/>
                <w:color w:val="222222"/>
                <w:sz w:val="20"/>
                <w:szCs w:val="20"/>
              </w:rPr>
              <w:t xml:space="preserve">FOR: SLOT ENGINEERING NIGERIA LIMITED</w:t>
            </w:r>
          </w:p>
        </w:tc>
      </w:tr>
      <w:tr>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before="200"/>
            </w:pPr>
            <w:r>
              <w:rPr>
                <w:rFonts w:ascii="Calibri" w:cs="Calibri" w:eastAsia="Calibri" w:hAnsi="Calibri"/>
                <w:sz w:val="21"/>
                <w:szCs w:val="21"/>
              </w:rPr>
              <w:t xml:space="preserve">Name: ______________________________</w:t>
            </w:r>
          </w:p>
        </w:tc>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before="200"/>
            </w:pPr>
            <w:r>
              <w:rPr>
                <w:rFonts w:ascii="Calibri" w:cs="Calibri" w:eastAsia="Calibri" w:hAnsi="Calibri"/>
                <w:sz w:val="21"/>
                <w:szCs w:val="21"/>
              </w:rPr>
              <w:t xml:space="preserve">Name: ______________________________</w:t>
            </w:r>
          </w:p>
        </w:tc>
      </w:tr>
      <w:tr>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before="200"/>
            </w:pPr>
            <w:r>
              <w:rPr>
                <w:rFonts w:ascii="Calibri" w:cs="Calibri" w:eastAsia="Calibri" w:hAnsi="Calibri"/>
                <w:sz w:val="21"/>
                <w:szCs w:val="21"/>
              </w:rPr>
              <w:t xml:space="preserve">Designation: ______________________________</w:t>
            </w:r>
          </w:p>
        </w:tc>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before="200"/>
            </w:pPr>
            <w:r>
              <w:rPr>
                <w:rFonts w:ascii="Calibri" w:cs="Calibri" w:eastAsia="Calibri" w:hAnsi="Calibri"/>
                <w:sz w:val="21"/>
                <w:szCs w:val="21"/>
              </w:rPr>
              <w:t xml:space="preserve">Designation: ______________________________</w:t>
            </w:r>
          </w:p>
        </w:tc>
      </w:tr>
      <w:tr>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before="200"/>
            </w:pPr>
            <w:r>
              <w:rPr>
                <w:rFonts w:ascii="Calibri" w:cs="Calibri" w:eastAsia="Calibri" w:hAnsi="Calibri"/>
                <w:sz w:val="21"/>
                <w:szCs w:val="21"/>
              </w:rPr>
              <w:t xml:space="preserve">Signature: ______________________________</w:t>
            </w:r>
          </w:p>
        </w:tc>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before="200"/>
            </w:pPr>
            <w:r>
              <w:rPr>
                <w:rFonts w:ascii="Calibri" w:cs="Calibri" w:eastAsia="Calibri" w:hAnsi="Calibri"/>
                <w:sz w:val="21"/>
                <w:szCs w:val="21"/>
              </w:rPr>
              <w:t xml:space="preserve">Signature: ______________________________</w:t>
            </w:r>
          </w:p>
        </w:tc>
      </w:tr>
      <w:tr>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before="200"/>
            </w:pPr>
            <w:r>
              <w:rPr>
                <w:rFonts w:ascii="Calibri" w:cs="Calibri" w:eastAsia="Calibri" w:hAnsi="Calibri"/>
                <w:sz w:val="21"/>
                <w:szCs w:val="21"/>
              </w:rPr>
              <w:t xml:space="preserve">Date: ______________________________</w:t>
            </w:r>
          </w:p>
        </w:tc>
        <w:tc>
          <w:tcPr>
            <w:tcW w:type="dxa" w:w="4680"/>
            <w:tcBorders>
              <w:top w:val="none" w:color="FFFFFF" w:sz="0"/>
              <w:left w:val="none" w:color="FFFFFF" w:sz="0"/>
              <w:bottom w:val="none" w:color="FFFFFF" w:sz="0"/>
              <w:right w:val="none" w:color="FFFFFF" w:sz="0"/>
            </w:tcBorders>
            <w:tcMar>
              <w:top w:type="dxa" w:w="90"/>
              <w:left w:type="dxa" w:w="110"/>
              <w:bottom w:type="dxa" w:w="90"/>
              <w:right w:type="dxa" w:w="110"/>
            </w:tcMar>
            <w:vAlign w:val="center"/>
          </w:tcPr>
          <w:p>
            <w:pPr>
              <w:spacing w:before="200"/>
            </w:pPr>
            <w:r>
              <w:rPr>
                <w:rFonts w:ascii="Calibri" w:cs="Calibri" w:eastAsia="Calibri" w:hAnsi="Calibri"/>
                <w:sz w:val="21"/>
                <w:szCs w:val="21"/>
              </w:rPr>
              <w:t xml:space="preserve">Date: ______________________________</w:t>
            </w:r>
          </w:p>
        </w:tc>
      </w:tr>
    </w:tbl>
    <w:p>
      <w:pPr>
        <w:spacing w:after="320"/>
      </w:pPr>
    </w:p>
    <w:p>
      <w:pPr>
        <w:pBdr>
          <w:bottom w:val="single" w:color="CCCCCC" w:sz="6" w:space="1"/>
        </w:pBdr>
        <w:spacing w:after="200" w:before="200"/>
      </w:pPr>
    </w:p>
    <w:p>
      <w:pPr>
        <w:jc w:val="center"/>
      </w:pPr>
      <w:r>
        <w:rPr>
          <w:rFonts w:ascii="Calibri" w:cs="Calibri" w:eastAsia="Calibri" w:hAnsi="Calibri"/>
          <w:i/>
          <w:iCs/>
          <w:color w:val="5A5A5A"/>
          <w:sz w:val="18"/>
          <w:szCs w:val="18"/>
        </w:rPr>
        <w:t xml:space="preserve">Mollernik Global Services  |  yolugbuyi@gmail.com  |  July 2026</w:t>
      </w:r>
    </w:p>
    <w:p>
      <w:pPr>
        <w:spacing w:before="60"/>
        <w:jc w:val="center"/>
      </w:pPr>
      <w:r>
        <w:rPr>
          <w:rFonts w:ascii="Calibri" w:cs="Calibri" w:eastAsia="Calibri" w:hAnsi="Calibri"/>
          <w:i/>
          <w:iCs/>
          <w:color w:val="5A5A5A"/>
          <w:sz w:val="18"/>
          <w:szCs w:val="18"/>
        </w:rPr>
        <w:t xml:space="preserve">This document is confidential and intended solely for the management of SLOT Engineering Nigeria Limited.</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2026-07-23T14:38:40.705Z</dcterms:created>
  <dcterms:modified xsi:type="dcterms:W3CDTF">2026-07-23T14:38:40.711Z</dcterms:modified>
</cp:coreProperties>
</file>

<file path=docProps/custom.xml><?xml version="1.0" encoding="utf-8"?>
<Properties xmlns="http://schemas.openxmlformats.org/officeDocument/2006/custom-properties" xmlns:vt="http://schemas.openxmlformats.org/officeDocument/2006/docPropsVTypes"/>
</file>