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Calibri" w:cs="Calibri" w:eastAsia="Calibri" w:hAnsi="Calibri"/>
          <w:b/>
          <w:bCs/>
          <w:color w:val="0F3A1A"/>
          <w:sz w:val="30"/>
          <w:szCs w:val="30"/>
        </w:rPr>
        <w:t xml:space="preserve">SLOT ENGINEERING NIGERIA LIMITED</w:t>
      </w:r>
    </w:p>
    <w:p>
      <w:pPr>
        <w:spacing w:after="500"/>
        <w:jc w:val="center"/>
      </w:pPr>
      <w:r>
        <w:rPr>
          <w:rFonts w:ascii="Calibri" w:cs="Calibri" w:eastAsia="Calibri" w:hAnsi="Calibri"/>
          <w:color w:val="5B6470"/>
          <w:sz w:val="20"/>
          <w:szCs w:val="20"/>
        </w:rPr>
        <w:t xml:space="preserve">ERP v3.0, yemicoreerp.web.app</w:t>
      </w:r>
    </w:p>
    <w:p>
      <w:pPr>
        <w:spacing w:after="200"/>
        <w:jc w:val="center"/>
      </w:pPr>
      <w:r>
        <w:rPr>
          <w:rFonts w:ascii="Calibri" w:cs="Calibri" w:eastAsia="Calibri" w:hAnsi="Calibri"/>
          <w:b/>
          <w:bCs/>
          <w:color w:val="1E6B3C"/>
          <w:sz w:val="56"/>
          <w:szCs w:val="56"/>
        </w:rPr>
        <w:t xml:space="preserve">Accounting Module</w:t>
      </w:r>
    </w:p>
    <w:p>
      <w:pPr>
        <w:spacing w:after="700"/>
        <w:jc w:val="center"/>
      </w:pPr>
      <w:r>
        <w:rPr>
          <w:rFonts w:ascii="Calibri" w:cs="Calibri" w:eastAsia="Calibri" w:hAnsi="Calibri"/>
          <w:color w:val="5B6470"/>
          <w:sz w:val="30"/>
          <w:szCs w:val="30"/>
        </w:rPr>
        <w:t xml:space="preserve">Staff Training &amp; Navigation Manual</w:t>
      </w:r>
    </w:p>
    <w:p>
      <w:pPr>
        <w:spacing w:after="60"/>
        <w:jc w:val="center"/>
      </w:pPr>
      <w:r>
        <w:rPr>
          <w:rFonts w:ascii="Calibri" w:cs="Calibri" w:eastAsia="Calibri" w:hAnsi="Calibri"/>
          <w:sz w:val="22"/>
          <w:szCs w:val="22"/>
        </w:rPr>
        <w:t xml:space="preserve">Prepared for the SLOT Accounts Team</w:t>
      </w:r>
    </w:p>
    <w:p>
      <w:pPr>
        <w:spacing w:after="1400"/>
        <w:jc w:val="center"/>
      </w:pPr>
      <w:r>
        <w:rPr>
          <w:rFonts w:ascii="Calibri" w:cs="Calibri" w:eastAsia="Calibri" w:hAnsi="Calibri"/>
          <w:color w:val="5B6470"/>
          <w:sz w:val="22"/>
          <w:szCs w:val="22"/>
        </w:rPr>
        <w:t xml:space="preserve">19 August 2026</w:t>
      </w:r>
    </w:p>
    <w:tbl>
      <w:tblPr>
        <w:tblW w:type="pct" w:w="100%"/>
        <w:tblBorders>
          <w:top w:val="single" w:color="1E6B3C" w:sz="4"/>
          <w:left w:val="single" w:color="1E6B3C" w:sz="24"/>
          <w:bottom w:val="single" w:color="1E6B3C" w:sz="4"/>
          <w:right w:val="single" w:color="1E6B3C" w:sz="4"/>
          <w:insideH w:val="none" w:color="FFFFFF" w:sz="0"/>
          <w:insideV w:val="none" w:color="FFFFFF" w:sz="0"/>
        </w:tblBorders>
        <w:tblLayout w:type="fixed"/>
      </w:tblPr>
      <w:tblGrid>
        <w:gridCol w:w="100"/>
      </w:tblGrid>
      <w:tr>
        <w:tc>
          <w:tcPr>
            <w:shd w:fill="EAF3ED" w:val="clear"/>
            <w:tcMar>
              <w:top w:type="dxa" w:w="160"/>
              <w:left w:type="dxa" w:w="220"/>
              <w:bottom w:type="dxa" w:w="160"/>
              <w:right w:type="dxa" w:w="220"/>
            </w:tcMar>
          </w:tcPr>
          <w:p>
            <w:pPr>
              <w:spacing w:after="80"/>
            </w:pPr>
            <w:r>
              <w:rPr>
                <w:rFonts w:ascii="Calibri" w:cs="Calibri" w:eastAsia="Calibri" w:hAnsi="Calibri"/>
                <w:b/>
                <w:bCs/>
                <w:color w:val="1E6B3C"/>
                <w:sz w:val="22"/>
                <w:szCs w:val="22"/>
              </w:rPr>
              <w:t xml:space="preserve">How to use this manual</w:t>
            </w:r>
          </w:p>
          <w:p>
            <w:pPr>
              <w:spacing w:after="40" w:line="260"/>
            </w:pPr>
            <w:r>
              <w:rPr>
                <w:rFonts w:ascii="Calibri" w:cs="Calibri" w:eastAsia="Calibri" w:hAnsi="Calibri"/>
                <w:sz w:val="21"/>
                <w:szCs w:val="21"/>
              </w:rPr>
              <w:t xml:space="preserve">Keep this open in one browser tab and the live app open in another. Every section is written as a walk-through, so the screen names, tab names and button labels below match exactly what you will see on screen.</w:t>
            </w:r>
          </w:p>
          <w:p>
            <w:pPr>
              <w:spacing w:after="40" w:line="260"/>
            </w:pPr>
            <w:r>
              <w:rPr>
                <w:rFonts w:ascii="Calibri" w:cs="Calibri" w:eastAsia="Calibri" w:hAnsi="Calibri"/>
                <w:sz w:val="21"/>
                <w:szCs w:val="21"/>
              </w:rPr>
              <w:t xml:space="preserve">You do not need to memorise the Chart of Accounts. The system posts almost everything automatically. Your job is mostly to understand where numbers come from and how to correct a mistake safely.</w:t>
            </w:r>
          </w:p>
        </w:tc>
      </w:tr>
    </w:tbl>
    <w:p>
      <w:r>
        <w:br w:type="page"/>
      </w:r>
    </w:p>
    <w:p>
      <w:pPr>
        <w:pStyle w:val="Heading1"/>
        <w:pBdr>
          <w:bottom w:val="single" w:color="1E6B3C" w:sz="8" w:space="4"/>
        </w:pBdr>
        <w:spacing w:after="180" w:before="420"/>
      </w:pPr>
      <w:r>
        <w:rPr>
          <w:b/>
          <w:bCs/>
          <w:color w:val="0F3A1A"/>
        </w:rPr>
        <w:t xml:space="preserve">Table of Contents</w:t>
      </w:r>
    </w:p>
    <w:p>
      <w:pPr>
        <w:spacing w:after="130" w:line="280"/>
      </w:pPr>
      <w:r>
        <w:rPr>
          <w:rFonts w:ascii="Calibri" w:cs="Calibri" w:eastAsia="Calibri" w:hAnsi="Calibri"/>
          <w:color w:val="0F3A1A"/>
          <w:sz w:val="23"/>
          <w:szCs w:val="23"/>
        </w:rPr>
        <w:t xml:space="preserve">1. Introduction</w:t>
      </w:r>
    </w:p>
    <w:p>
      <w:pPr>
        <w:spacing w:after="130" w:line="280"/>
      </w:pPr>
      <w:r>
        <w:rPr>
          <w:rFonts w:ascii="Calibri" w:cs="Calibri" w:eastAsia="Calibri" w:hAnsi="Calibri"/>
          <w:color w:val="0F3A1A"/>
          <w:sz w:val="23"/>
          <w:szCs w:val="23"/>
        </w:rPr>
        <w:t xml:space="preserve">2. Three Rules That Explain Almost Everything</w:t>
      </w:r>
    </w:p>
    <w:p>
      <w:pPr>
        <w:spacing w:after="130" w:line="280"/>
      </w:pPr>
      <w:r>
        <w:rPr>
          <w:rFonts w:ascii="Calibri" w:cs="Calibri" w:eastAsia="Calibri" w:hAnsi="Calibri"/>
          <w:color w:val="0F3A1A"/>
          <w:sz w:val="23"/>
          <w:szCs w:val="23"/>
        </w:rPr>
        <w:t xml:space="preserve">3. Getting Oriented: The Accounting Screen</w:t>
      </w:r>
    </w:p>
    <w:p>
      <w:pPr>
        <w:spacing w:after="130" w:line="280"/>
      </w:pPr>
      <w:r>
        <w:rPr>
          <w:rFonts w:ascii="Calibri" w:cs="Calibri" w:eastAsia="Calibri" w:hAnsi="Calibri"/>
          <w:color w:val="0F3A1A"/>
          <w:sz w:val="23"/>
          <w:szCs w:val="23"/>
        </w:rPr>
        <w:t xml:space="preserve">4. Where the Numbers Come From: The Auto-Posting Map</w:t>
      </w:r>
    </w:p>
    <w:p>
      <w:pPr>
        <w:spacing w:after="130" w:line="280"/>
      </w:pPr>
      <w:r>
        <w:rPr>
          <w:rFonts w:ascii="Calibri" w:cs="Calibri" w:eastAsia="Calibri" w:hAnsi="Calibri"/>
          <w:color w:val="0F3A1A"/>
          <w:sz w:val="23"/>
          <w:szCs w:val="23"/>
        </w:rPr>
        <w:t xml:space="preserve">5. Manual Journal Entries: When and How</w:t>
      </w:r>
    </w:p>
    <w:p>
      <w:pPr>
        <w:spacing w:after="130" w:line="280"/>
      </w:pPr>
      <w:r>
        <w:rPr>
          <w:rFonts w:ascii="Calibri" w:cs="Calibri" w:eastAsia="Calibri" w:hAnsi="Calibri"/>
          <w:color w:val="0F3A1A"/>
          <w:sz w:val="23"/>
          <w:szCs w:val="23"/>
        </w:rPr>
        <w:t xml:space="preserve">6. Payroll: Full Walkthrough</w:t>
      </w:r>
    </w:p>
    <w:p>
      <w:pPr>
        <w:spacing w:after="130" w:line="280"/>
      </w:pPr>
      <w:r>
        <w:rPr>
          <w:rFonts w:ascii="Calibri" w:cs="Calibri" w:eastAsia="Calibri" w:hAnsi="Calibri"/>
          <w:color w:val="0F3A1A"/>
          <w:sz w:val="23"/>
          <w:szCs w:val="23"/>
        </w:rPr>
        <w:t xml:space="preserve">7. Accounts Payable and Accounts Receivable: Quick Reference</w:t>
      </w:r>
    </w:p>
    <w:p>
      <w:pPr>
        <w:spacing w:after="130" w:line="280"/>
      </w:pPr>
      <w:r>
        <w:rPr>
          <w:rFonts w:ascii="Calibri" w:cs="Calibri" w:eastAsia="Calibri" w:hAnsi="Calibri"/>
          <w:color w:val="0F3A1A"/>
          <w:sz w:val="23"/>
          <w:szCs w:val="23"/>
        </w:rPr>
        <w:t xml:space="preserve">8. Fixed Assets: Use the Right Screen</w:t>
      </w:r>
    </w:p>
    <w:p>
      <w:pPr>
        <w:spacing w:after="130" w:line="280"/>
      </w:pPr>
      <w:r>
        <w:rPr>
          <w:rFonts w:ascii="Calibri" w:cs="Calibri" w:eastAsia="Calibri" w:hAnsi="Calibri"/>
          <w:color w:val="0F3A1A"/>
          <w:sz w:val="23"/>
          <w:szCs w:val="23"/>
        </w:rPr>
        <w:t xml:space="preserve">9. Reports: What Each One Answers</w:t>
      </w:r>
    </w:p>
    <w:p>
      <w:pPr>
        <w:spacing w:after="130" w:line="280"/>
      </w:pPr>
      <w:r>
        <w:rPr>
          <w:rFonts w:ascii="Calibri" w:cs="Calibri" w:eastAsia="Calibri" w:hAnsi="Calibri"/>
          <w:color w:val="0F3A1A"/>
          <w:sz w:val="23"/>
          <w:szCs w:val="23"/>
        </w:rPr>
        <w:t xml:space="preserve">10. Period Close and Fiscal Year Close</w:t>
      </w:r>
    </w:p>
    <w:p>
      <w:pPr>
        <w:spacing w:after="130" w:line="280"/>
      </w:pPr>
      <w:r>
        <w:rPr>
          <w:rFonts w:ascii="Calibri" w:cs="Calibri" w:eastAsia="Calibri" w:hAnsi="Calibri"/>
          <w:color w:val="0F3A1A"/>
          <w:sz w:val="23"/>
          <w:szCs w:val="23"/>
        </w:rPr>
        <w:t xml:space="preserve">11. Other Tools: Quick Reference</w:t>
      </w:r>
    </w:p>
    <w:p>
      <w:pPr>
        <w:spacing w:after="130" w:line="280"/>
      </w:pPr>
      <w:r>
        <w:rPr>
          <w:rFonts w:ascii="Calibri" w:cs="Calibri" w:eastAsia="Calibri" w:hAnsi="Calibri"/>
          <w:color w:val="0F3A1A"/>
          <w:sz w:val="23"/>
          <w:szCs w:val="23"/>
        </w:rPr>
        <w:t xml:space="preserve">12. Troubleshooting and Frequently Asked Questions</w:t>
      </w:r>
    </w:p>
    <w:p>
      <w:pPr>
        <w:spacing w:after="200"/>
      </w:pPr>
    </w:p>
    <w:p>
      <w:pPr>
        <w:spacing w:after="160" w:line="276"/>
      </w:pPr>
      <w:r>
        <w:rPr>
          <w:rFonts w:ascii="Calibri" w:cs="Calibri" w:eastAsia="Calibri" w:hAnsi="Calibri"/>
          <w:i/>
          <w:iCs/>
          <w:color w:val="5B6470"/>
          <w:sz w:val="22"/>
          <w:szCs w:val="22"/>
        </w:rPr>
        <w:t xml:space="preserve">Tip: in Word, use View, then Navigation Pane, for one-click jumps to every section heading below.</w:t>
      </w:r>
    </w:p>
    <w:p>
      <w:r>
        <w:br w:type="page"/>
      </w:r>
    </w:p>
    <w:p>
      <w:pPr>
        <w:pStyle w:val="Heading1"/>
        <w:pBdr>
          <w:bottom w:val="single" w:color="1E6B3C" w:sz="8" w:space="4"/>
        </w:pBdr>
        <w:spacing w:after="180" w:before="420"/>
      </w:pPr>
      <w:r>
        <w:rPr>
          <w:b/>
          <w:bCs/>
          <w:color w:val="0F3A1A"/>
        </w:rPr>
        <w:t xml:space="preserve">1. Introduction</w:t>
      </w:r>
    </w:p>
    <w:p>
      <w:pPr>
        <w:spacing w:after="160" w:line="276"/>
      </w:pPr>
      <w:r>
        <w:rPr>
          <w:rFonts w:ascii="Calibri" w:cs="Calibri" w:eastAsia="Calibri" w:hAnsi="Calibri"/>
          <w:sz w:val="22"/>
          <w:szCs w:val="22"/>
        </w:rPr>
        <w:t xml:space="preserve">This manual explains how the Accounting module of the SLOT ERP system works, and more importantly, how it connects to every other module in the app: Payroll, Accounts Payable, Accounts Receivable, Procurement, Petty Cash, Terminal Operations and Fixed Assets. In a modern ERP system, accountants rarely type numbers directly into the ledger. Other departments record their own transactions instead, a payroll run, a supplier bill, a customer invoice, and the system turns each one into a proper double-entry journal entry on its own. Your role is to understand this chain, review it, close periods, and correct mistakes the right way when they happen.</w:t>
      </w:r>
    </w:p>
    <w:p>
      <w:pPr>
        <w:spacing w:after="160" w:line="276"/>
      </w:pPr>
      <w:r>
        <w:rPr>
          <w:rFonts w:ascii="Calibri" w:cs="Calibri" w:eastAsia="Calibri" w:hAnsi="Calibri"/>
          <w:sz w:val="22"/>
          <w:szCs w:val="22"/>
        </w:rPr>
        <w:t xml:space="preserve">This manual is organised so you can either read it start to finish, or jump straight to the section that matches whatever screen you are looking at.</w:t>
      </w:r>
    </w:p>
    <w:p>
      <w:pPr>
        <w:pStyle w:val="Heading1"/>
        <w:pBdr>
          <w:bottom w:val="single" w:color="1E6B3C" w:sz="8" w:space="4"/>
        </w:pBdr>
        <w:spacing w:after="180" w:before="420"/>
      </w:pPr>
      <w:r>
        <w:rPr>
          <w:b/>
          <w:bCs/>
          <w:color w:val="0F3A1A"/>
        </w:rPr>
        <w:t xml:space="preserve">2. Three Rules That Explain Almost Everything</w:t>
      </w:r>
    </w:p>
    <w:p>
      <w:pPr>
        <w:spacing w:after="160" w:line="276"/>
      </w:pPr>
      <w:r>
        <w:rPr>
          <w:rFonts w:ascii="Calibri" w:cs="Calibri" w:eastAsia="Calibri" w:hAnsi="Calibri"/>
          <w:sz w:val="22"/>
          <w:szCs w:val="22"/>
        </w:rPr>
        <w:t xml:space="preserve">Before touching any screen, it helps to understand these three rules. Nearly every "why does it do that" question in this app traces back to one of them.</w:t>
      </w:r>
    </w:p>
    <w:p>
      <w:pPr>
        <w:pStyle w:val="Heading2"/>
        <w:spacing w:after="120" w:before="300"/>
      </w:pPr>
      <w:r>
        <w:rPr>
          <w:b/>
          <w:bCs/>
          <w:color w:val="1E6B3C"/>
        </w:rPr>
        <w:t xml:space="preserve">Rule 1: Most postings are automatic</w:t>
      </w:r>
    </w:p>
    <w:p>
      <w:pPr>
        <w:spacing w:after="160" w:line="276"/>
      </w:pPr>
      <w:r>
        <w:rPr>
          <w:rFonts w:ascii="Calibri" w:cs="Calibri" w:eastAsia="Calibri" w:hAnsi="Calibri"/>
          <w:sz w:val="22"/>
          <w:szCs w:val="22"/>
        </w:rPr>
        <w:t xml:space="preserve">Creating a customer invoice, paying a supplier, running payroll, logging a petty cash voucher, capitalising a fixed asset: each of these already posts its own journal entry the moment you save it. You will see these entries in Journal Entries tagged with a source label (payroll, invoice, procurement, pettycash and so on) and a small lock icon marked "auto-posted." You cannot edit or delete an auto-posted entry directly. Instead you correct or void the record it came from, and the journal entry updates or reverses itself.</w:t>
      </w:r>
    </w:p>
    <w:p>
      <w:pPr>
        <w:pStyle w:val="Heading2"/>
        <w:spacing w:after="120" w:before="300"/>
      </w:pPr>
      <w:r>
        <w:rPr>
          <w:b/>
          <w:bCs/>
          <w:color w:val="1E6B3C"/>
        </w:rPr>
        <w:t xml:space="preserve">Rule 2: Nothing is ever deleted, only voided and reversed</w:t>
      </w:r>
    </w:p>
    <w:p>
      <w:pPr>
        <w:spacing w:after="160" w:line="276"/>
      </w:pPr>
      <w:r>
        <w:rPr>
          <w:rFonts w:ascii="Calibri" w:cs="Calibri" w:eastAsia="Calibri" w:hAnsi="Calibri"/>
          <w:sz w:val="22"/>
          <w:szCs w:val="22"/>
        </w:rPr>
        <w:t xml:space="preserve">This is the single most important idea in the whole system. If a payroll run, an invoice, a bill or a journal entry turns out to be wrong, the correct fix is never to delete it. Deleting would silently erase the trail of what happened, and often the amount would still sit in the ledger with nothing left to explain it. Every module in this app handles this the same way, using a Void pattern:</w:t>
      </w:r>
    </w:p>
    <w:p>
      <w:pPr>
        <w:pStyle w:val="ListParagraph"/>
        <w:numPr>
          <w:ilvl w:val="0"/>
          <w:numId w:val="2"/>
        </w:numPr>
        <w:spacing w:after="100" w:line="270"/>
      </w:pPr>
      <w:r>
        <w:rPr>
          <w:rFonts w:ascii="Calibri" w:cs="Calibri" w:eastAsia="Calibri" w:hAnsi="Calibri"/>
          <w:sz w:val="22"/>
          <w:szCs w:val="22"/>
        </w:rPr>
        <w:t xml:space="preserve">The original record stays exactly as it was, now marked "voided."</w:t>
      </w:r>
    </w:p>
    <w:p>
      <w:pPr>
        <w:pStyle w:val="ListParagraph"/>
        <w:numPr>
          <w:ilvl w:val="0"/>
          <w:numId w:val="2"/>
        </w:numPr>
        <w:spacing w:after="100" w:line="270"/>
      </w:pPr>
      <w:r>
        <w:rPr>
          <w:rFonts w:ascii="Calibri" w:cs="Calibri" w:eastAsia="Calibri" w:hAnsi="Calibri"/>
          <w:sz w:val="22"/>
          <w:szCs w:val="22"/>
        </w:rPr>
        <w:t xml:space="preserve">The system automatically posts a mirror-image reversing journal entry, every debit and credit flipped, so the net financial effect becomes zero.</w:t>
      </w:r>
    </w:p>
    <w:p>
      <w:pPr>
        <w:pStyle w:val="ListParagraph"/>
        <w:numPr>
          <w:ilvl w:val="0"/>
          <w:numId w:val="2"/>
        </w:numPr>
        <w:spacing w:after="100" w:line="270"/>
      </w:pPr>
      <w:r>
        <w:rPr>
          <w:rFonts w:ascii="Calibri" w:cs="Calibri" w:eastAsia="Calibri" w:hAnsi="Calibri"/>
          <w:sz w:val="22"/>
          <w:szCs w:val="22"/>
        </w:rPr>
        <w:t xml:space="preserve">Both the original and the reversal stay permanently visible in Journal Entries. Nothing disappears, so an auditor, or you, six months from now, can see exactly what was posted and exactly what corrected it.</w:t>
      </w:r>
    </w:p>
    <w:p>
      <w:pPr>
        <w:spacing w:after="160" w:line="276"/>
      </w:pPr>
      <w:r>
        <w:rPr>
          <w:rFonts w:ascii="Calibri" w:cs="Calibri" w:eastAsia="Calibri" w:hAnsi="Calibri"/>
          <w:sz w:val="22"/>
          <w:szCs w:val="22"/>
        </w:rPr>
        <w:t xml:space="preserve">This applies to Accounts Payable bills, Accounts Receivable invoices, Payroll runs, Terminal advances, Fixed Assets and, since 19 August 2026, manual Journal Entries too. If you ever see a red "Void" button instead of "Delete," that is this rule in action.</w:t>
      </w:r>
    </w:p>
    <w:p>
      <w:pPr>
        <w:pStyle w:val="Heading2"/>
        <w:spacing w:after="120" w:before="300"/>
      </w:pPr>
      <w:r>
        <w:rPr>
          <w:b/>
          <w:bCs/>
          <w:color w:val="1E6B3C"/>
        </w:rPr>
        <w:t xml:space="preserve">Rule 3: Closed periods and closed years are locked</w:t>
      </w:r>
    </w:p>
    <w:p>
      <w:pPr>
        <w:spacing w:after="160" w:line="276"/>
      </w:pPr>
      <w:r>
        <w:rPr>
          <w:rFonts w:ascii="Calibri" w:cs="Calibri" w:eastAsia="Calibri" w:hAnsi="Calibri"/>
          <w:sz w:val="22"/>
          <w:szCs w:val="22"/>
        </w:rPr>
        <w:t xml:space="preserve">Once an accounting period, a calendar month, has been closed under Settings, then Accounting, then Period Close, nothing can post into it any more. Not a manual journal entry, not an automatic posting from Payroll or AP/AR, nothing. If you try, the system blocks it and tells you the period is closed. This protects a month once it has been reviewed and reported on. If something genuinely needs to change in a closed month, the correct step is to reopen that period first, a deliberate, logged action, make the correction, then close it again.</w:t>
      </w:r>
    </w:p>
    <w:p>
      <w:pPr>
        <w:pStyle w:val="Heading1"/>
        <w:pBdr>
          <w:bottom w:val="single" w:color="1E6B3C" w:sz="8" w:space="4"/>
        </w:pBdr>
        <w:spacing w:after="180" w:before="420"/>
      </w:pPr>
      <w:r>
        <w:rPr>
          <w:b/>
          <w:bCs/>
          <w:color w:val="0F3A1A"/>
        </w:rPr>
        <w:t xml:space="preserve">3. Getting Oriented: The Accounting Screen</w:t>
      </w:r>
    </w:p>
    <w:p>
      <w:pPr>
        <w:spacing w:after="160" w:line="276"/>
      </w:pPr>
      <w:r>
        <w:rPr>
          <w:rFonts w:ascii="Calibri" w:cs="Calibri" w:eastAsia="Calibri" w:hAnsi="Calibri"/>
          <w:sz w:val="22"/>
          <w:szCs w:val="22"/>
        </w:rPr>
        <w:t xml:space="preserve">Path: Finance, then Accounting. This single screen has 14 tabs across the top. Here is what each one is for:</w:t>
      </w:r>
    </w:p>
    <w:tbl>
      <w:tblPr>
        <w:tblW w:type="dxa" w:w="9700"/>
        <w:tblBorders>
          <w:top w:val="single" w:color="C9D6CE" w:sz="4"/>
          <w:left w:val="single" w:color="C9D6CE" w:sz="4"/>
          <w:bottom w:val="single" w:color="C9D6CE" w:sz="4"/>
          <w:right w:val="single" w:color="C9D6CE" w:sz="4"/>
          <w:insideH w:val="single" w:color="C9D6CE" w:sz="4"/>
          <w:insideV w:val="single" w:color="C9D6CE" w:sz="4"/>
        </w:tblBorders>
        <w:tblLayout w:type="fixed"/>
      </w:tblPr>
      <w:tblGrid>
        <w:gridCol w:w="2400"/>
        <w:gridCol w:w="7300"/>
      </w:tblGrid>
      <w:tr>
        <w:trPr>
          <w:tblHeader/>
        </w:trPr>
        <w:tc>
          <w:tcPr>
            <w:tcW w:type="dxa" w:w="2400"/>
            <w:shd w:fill="0F3A1A" w:val="clear"/>
            <w:tcMar>
              <w:top w:type="dxa" w:w="100"/>
              <w:left w:type="dxa" w:w="110"/>
              <w:bottom w:type="dxa" w:w="100"/>
              <w:right w:type="dxa" w:w="110"/>
            </w:tcMar>
            <w:vAlign w:val="center"/>
          </w:tcPr>
          <w:p>
            <w:r>
              <w:rPr>
                <w:rFonts w:ascii="Calibri" w:cs="Calibri" w:eastAsia="Calibri" w:hAnsi="Calibri"/>
                <w:b/>
                <w:bCs/>
                <w:color w:val="FFFFFF"/>
                <w:sz w:val="19"/>
                <w:szCs w:val="19"/>
              </w:rPr>
              <w:t xml:space="preserve">Tab</w:t>
            </w:r>
          </w:p>
        </w:tc>
        <w:tc>
          <w:tcPr>
            <w:tcW w:type="dxa" w:w="7300"/>
            <w:shd w:fill="0F3A1A" w:val="clear"/>
            <w:tcMar>
              <w:top w:type="dxa" w:w="100"/>
              <w:left w:type="dxa" w:w="110"/>
              <w:bottom w:type="dxa" w:w="100"/>
              <w:right w:type="dxa" w:w="110"/>
            </w:tcMar>
            <w:vAlign w:val="center"/>
          </w:tcPr>
          <w:p>
            <w:r>
              <w:rPr>
                <w:rFonts w:ascii="Calibri" w:cs="Calibri" w:eastAsia="Calibri" w:hAnsi="Calibri"/>
                <w:b/>
                <w:bCs/>
                <w:color w:val="FFFFFF"/>
                <w:sz w:val="19"/>
                <w:szCs w:val="19"/>
              </w:rPr>
              <w:t xml:space="preserve">What it is for</w:t>
            </w:r>
          </w:p>
        </w:tc>
      </w:tr>
      <w:tr>
        <w:tc>
          <w:tcPr>
            <w:tcW w:type="dxa" w:w="24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Overview</w:t>
            </w:r>
          </w:p>
        </w:tc>
        <w:tc>
          <w:tcPr>
            <w:tcW w:type="dxa" w:w="73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Home base. Clickable KPI cards for Revenue, Expenses, Net Profit, Cash &amp; Bank, Receivables and Payables. Click any card or row to jump straight to the report behind it.</w:t>
            </w:r>
          </w:p>
        </w:tc>
      </w:tr>
      <w:tr>
        <w:tc>
          <w:tcPr>
            <w:tcW w:type="dxa" w:w="24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Chart of Accounts</w:t>
            </w:r>
          </w:p>
        </w:tc>
        <w:tc>
          <w:tcPr>
            <w:tcW w:type="dxa" w:w="73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The full list of account codes (for example 6002 Trade Receivables, 7001 Trade Payables) and their categories. You will rarely need to edit this.</w:t>
            </w:r>
          </w:p>
        </w:tc>
      </w:tr>
      <w:tr>
        <w:tc>
          <w:tcPr>
            <w:tcW w:type="dxa" w:w="24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Journal Entries</w:t>
            </w:r>
          </w:p>
        </w:tc>
        <w:tc>
          <w:tcPr>
            <w:tcW w:type="dxa" w:w="73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Every posting in the system, automatic and manual, in one searchable list. See Section 5.</w:t>
            </w:r>
          </w:p>
        </w:tc>
      </w:tr>
      <w:tr>
        <w:tc>
          <w:tcPr>
            <w:tcW w:type="dxa" w:w="24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General Ledger</w:t>
            </w:r>
          </w:p>
        </w:tc>
        <w:tc>
          <w:tcPr>
            <w:tcW w:type="dxa" w:w="73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Pick one account and see every transaction that has ever hit it, with a running balance.</w:t>
            </w:r>
          </w:p>
        </w:tc>
      </w:tr>
      <w:tr>
        <w:tc>
          <w:tcPr>
            <w:tcW w:type="dxa" w:w="24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Trial Balance</w:t>
            </w:r>
          </w:p>
        </w:tc>
        <w:tc>
          <w:tcPr>
            <w:tcW w:type="dxa" w:w="73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Every account with its total debits and credits, at a chosen date. The classic accountant’s checksum: debits must equal credits.</w:t>
            </w:r>
          </w:p>
        </w:tc>
      </w:tr>
      <w:tr>
        <w:tc>
          <w:tcPr>
            <w:tcW w:type="dxa" w:w="24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P&amp;L Statement</w:t>
            </w:r>
          </w:p>
        </w:tc>
        <w:tc>
          <w:tcPr>
            <w:tcW w:type="dxa" w:w="73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Revenue less expenses over a date range. Are we profitable?</w:t>
            </w:r>
          </w:p>
        </w:tc>
      </w:tr>
      <w:tr>
        <w:tc>
          <w:tcPr>
            <w:tcW w:type="dxa" w:w="24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Balance Sheet</w:t>
            </w:r>
          </w:p>
        </w:tc>
        <w:tc>
          <w:tcPr>
            <w:tcW w:type="dxa" w:w="73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Assets, liabilities and equity at a point in time. What do we own and owe?</w:t>
            </w:r>
          </w:p>
        </w:tc>
      </w:tr>
      <w:tr>
        <w:tc>
          <w:tcPr>
            <w:tcW w:type="dxa" w:w="24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Cash Flow</w:t>
            </w:r>
          </w:p>
        </w:tc>
        <w:tc>
          <w:tcPr>
            <w:tcW w:type="dxa" w:w="73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How cash moved in and out over a period.</w:t>
            </w:r>
          </w:p>
        </w:tc>
      </w:tr>
      <w:tr>
        <w:tc>
          <w:tcPr>
            <w:tcW w:type="dxa" w:w="24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Bank Reconciliation</w:t>
            </w:r>
          </w:p>
        </w:tc>
        <w:tc>
          <w:tcPr>
            <w:tcW w:type="dxa" w:w="73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Match the bank statement against what the ledger says the bank balance should be.</w:t>
            </w:r>
          </w:p>
        </w:tc>
      </w:tr>
      <w:tr>
        <w:tc>
          <w:tcPr>
            <w:tcW w:type="dxa" w:w="24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Currency Exchange</w:t>
            </w:r>
          </w:p>
        </w:tc>
        <w:tc>
          <w:tcPr>
            <w:tcW w:type="dxa" w:w="73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Foreign-currency transactions and period-end FX revaluation.</w:t>
            </w:r>
          </w:p>
        </w:tc>
      </w:tr>
      <w:tr>
        <w:tc>
          <w:tcPr>
            <w:tcW w:type="dxa" w:w="24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VAT Returns</w:t>
            </w:r>
          </w:p>
        </w:tc>
        <w:tc>
          <w:tcPr>
            <w:tcW w:type="dxa" w:w="73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VAT collected against VAT recoverable, for filing to FIRS.</w:t>
            </w:r>
          </w:p>
        </w:tc>
      </w:tr>
      <w:tr>
        <w:tc>
          <w:tcPr>
            <w:tcW w:type="dxa" w:w="24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Fixed Assets</w:t>
            </w:r>
          </w:p>
        </w:tc>
        <w:tc>
          <w:tcPr>
            <w:tcW w:type="dxa" w:w="73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See the warning in Section 8. Use the standalone Fixed Assets module instead, not this tab.</w:t>
            </w:r>
          </w:p>
        </w:tc>
      </w:tr>
      <w:tr>
        <w:tc>
          <w:tcPr>
            <w:tcW w:type="dxa" w:w="24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WHT Register</w:t>
            </w:r>
          </w:p>
        </w:tc>
        <w:tc>
          <w:tcPr>
            <w:tcW w:type="dxa" w:w="73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Withholding tax withheld from suppliers and customers, for remittance.</w:t>
            </w:r>
          </w:p>
        </w:tc>
      </w:tr>
      <w:tr>
        <w:tc>
          <w:tcPr>
            <w:tcW w:type="dxa" w:w="24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Import / Upload</w:t>
            </w:r>
          </w:p>
        </w:tc>
        <w:tc>
          <w:tcPr>
            <w:tcW w:type="dxa" w:w="73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Bulk-import opening balances or historical journals from Excel.</w:t>
            </w:r>
          </w:p>
        </w:tc>
      </w:tr>
    </w:tbl>
    <w:p>
      <w:pPr>
        <w:spacing w:after="160"/>
      </w:pPr>
    </w:p>
    <w:p>
      <w:pPr>
        <w:spacing w:after="160" w:line="276"/>
      </w:pPr>
      <w:r>
        <w:rPr>
          <w:rFonts w:ascii="Calibri" w:cs="Calibri" w:eastAsia="Calibri" w:hAnsi="Calibri"/>
          <w:sz w:val="22"/>
          <w:szCs w:val="22"/>
        </w:rPr>
        <w:t xml:space="preserve">Tip: the Overview tab is designed to be clicked, not just read. Every card and every row inside "Key Balances" and "P&amp;L Summary" is a shortcut. Click Trade Payables and it takes you straight into the Trial Balance filtered to that account.</w:t>
      </w:r>
    </w:p>
    <w:p>
      <w:pPr>
        <w:pStyle w:val="Heading1"/>
        <w:pBdr>
          <w:bottom w:val="single" w:color="1E6B3C" w:sz="8" w:space="4"/>
        </w:pBdr>
        <w:spacing w:after="180" w:before="420"/>
      </w:pPr>
      <w:r>
        <w:rPr>
          <w:b/>
          <w:bCs/>
          <w:color w:val="0F3A1A"/>
        </w:rPr>
        <w:t xml:space="preserve">4. Where the Numbers Come From: The Auto-Posting Map</w:t>
      </w:r>
    </w:p>
    <w:p>
      <w:pPr>
        <w:spacing w:after="160" w:line="276"/>
      </w:pPr>
      <w:r>
        <w:rPr>
          <w:rFonts w:ascii="Calibri" w:cs="Calibri" w:eastAsia="Calibri" w:hAnsi="Calibri"/>
          <w:sz w:val="22"/>
          <w:szCs w:val="22"/>
        </w:rPr>
        <w:t xml:space="preserve">This is the map worth coming back to. Every row below is a business event that happens somewhere else in the app, along with the journal entry it posts automatically. You never type these in yourself.</w:t>
      </w:r>
    </w:p>
    <w:tbl>
      <w:tblPr>
        <w:tblW w:type="dxa" w:w="9700"/>
        <w:tblBorders>
          <w:top w:val="single" w:color="C9D6CE" w:sz="4"/>
          <w:left w:val="single" w:color="C9D6CE" w:sz="4"/>
          <w:bottom w:val="single" w:color="C9D6CE" w:sz="4"/>
          <w:right w:val="single" w:color="C9D6CE" w:sz="4"/>
          <w:insideH w:val="single" w:color="C9D6CE" w:sz="4"/>
          <w:insideV w:val="single" w:color="C9D6CE" w:sz="4"/>
        </w:tblBorders>
        <w:tblLayout w:type="fixed"/>
      </w:tblPr>
      <w:tblGrid>
        <w:gridCol w:w="3400"/>
        <w:gridCol w:w="4300"/>
        <w:gridCol w:w="2000"/>
      </w:tblGrid>
      <w:tr>
        <w:trPr>
          <w:tblHeader/>
        </w:trPr>
        <w:tc>
          <w:tcPr>
            <w:tcW w:type="dxa" w:w="3400"/>
            <w:shd w:fill="0F3A1A" w:val="clear"/>
            <w:tcMar>
              <w:top w:type="dxa" w:w="100"/>
              <w:left w:type="dxa" w:w="110"/>
              <w:bottom w:type="dxa" w:w="100"/>
              <w:right w:type="dxa" w:w="110"/>
            </w:tcMar>
            <w:vAlign w:val="center"/>
          </w:tcPr>
          <w:p>
            <w:r>
              <w:rPr>
                <w:rFonts w:ascii="Calibri" w:cs="Calibri" w:eastAsia="Calibri" w:hAnsi="Calibri"/>
                <w:b/>
                <w:bCs/>
                <w:color w:val="FFFFFF"/>
                <w:sz w:val="19"/>
                <w:szCs w:val="19"/>
              </w:rPr>
              <w:t xml:space="preserve">Business Event (where it happens)</w:t>
            </w:r>
          </w:p>
        </w:tc>
        <w:tc>
          <w:tcPr>
            <w:tcW w:type="dxa" w:w="4300"/>
            <w:shd w:fill="0F3A1A" w:val="clear"/>
            <w:tcMar>
              <w:top w:type="dxa" w:w="100"/>
              <w:left w:type="dxa" w:w="110"/>
              <w:bottom w:type="dxa" w:w="100"/>
              <w:right w:type="dxa" w:w="110"/>
            </w:tcMar>
            <w:vAlign w:val="center"/>
          </w:tcPr>
          <w:p>
            <w:r>
              <w:rPr>
                <w:rFonts w:ascii="Calibri" w:cs="Calibri" w:eastAsia="Calibri" w:hAnsi="Calibri"/>
                <w:b/>
                <w:bCs/>
                <w:color w:val="FFFFFF"/>
                <w:sz w:val="19"/>
                <w:szCs w:val="19"/>
              </w:rPr>
              <w:t xml:space="preserve">What Posts to the Ledger</w:t>
            </w:r>
          </w:p>
        </w:tc>
        <w:tc>
          <w:tcPr>
            <w:tcW w:type="dxa" w:w="2000"/>
            <w:shd w:fill="0F3A1A" w:val="clear"/>
            <w:tcMar>
              <w:top w:type="dxa" w:w="100"/>
              <w:left w:type="dxa" w:w="110"/>
              <w:bottom w:type="dxa" w:w="100"/>
              <w:right w:type="dxa" w:w="110"/>
            </w:tcMar>
            <w:vAlign w:val="center"/>
          </w:tcPr>
          <w:p>
            <w:r>
              <w:rPr>
                <w:rFonts w:ascii="Calibri" w:cs="Calibri" w:eastAsia="Calibri" w:hAnsi="Calibri"/>
                <w:b/>
                <w:bCs/>
                <w:color w:val="FFFFFF"/>
                <w:sz w:val="19"/>
                <w:szCs w:val="19"/>
              </w:rPr>
              <w:t xml:space="preserve">Ref in Journal Entries</w:t>
            </w:r>
          </w:p>
        </w:tc>
      </w:tr>
      <w:tr>
        <w:tc>
          <w:tcPr>
            <w:tcW w:type="dxa" w:w="34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Customer invoice created (Sales Orders / AR)</w:t>
            </w:r>
          </w:p>
        </w:tc>
        <w:tc>
          <w:tcPr>
            <w:tcW w:type="dxa" w:w="43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Dr Trade Receivables. Cr Revenue, Sales VAT Payable, WHT/NCDF adjustments</w:t>
            </w:r>
          </w:p>
        </w:tc>
        <w:tc>
          <w:tcPr>
            <w:tcW w:type="dxa" w:w="20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source: invoice</w:t>
            </w:r>
          </w:p>
        </w:tc>
      </w:tr>
      <w:tr>
        <w:tc>
          <w:tcPr>
            <w:tcW w:type="dxa" w:w="34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Credit note issued against an invoice</w:t>
            </w:r>
          </w:p>
        </w:tc>
        <w:tc>
          <w:tcPr>
            <w:tcW w:type="dxa" w:w="43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Reverses the relevant portion of the original invoice entry</w:t>
            </w:r>
          </w:p>
        </w:tc>
        <w:tc>
          <w:tcPr>
            <w:tcW w:type="dxa" w:w="20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source: invoice</w:t>
            </w:r>
          </w:p>
        </w:tc>
      </w:tr>
      <w:tr>
        <w:tc>
          <w:tcPr>
            <w:tcW w:type="dxa" w:w="34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Customer payment or receipt recorded (AR)</w:t>
            </w:r>
          </w:p>
        </w:tc>
        <w:tc>
          <w:tcPr>
            <w:tcW w:type="dxa" w:w="43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Dr Bank Account. Cr Trade Receivables (clears the receivable)</w:t>
            </w:r>
          </w:p>
        </w:tc>
        <w:tc>
          <w:tcPr>
            <w:tcW w:type="dxa" w:w="20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source: invoice</w:t>
            </w:r>
          </w:p>
        </w:tc>
      </w:tr>
      <w:tr>
        <w:tc>
          <w:tcPr>
            <w:tcW w:type="dxa" w:w="34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Supplier bill entered manually (Accounts Payable)</w:t>
            </w:r>
          </w:p>
        </w:tc>
        <w:tc>
          <w:tcPr>
            <w:tcW w:type="dxa" w:w="43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Dr Expense, Input VAT. Cr Trade Payables (and WHT Payable if withheld)</w:t>
            </w:r>
          </w:p>
        </w:tc>
        <w:tc>
          <w:tcPr>
            <w:tcW w:type="dxa" w:w="20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source: manual, AP</w:t>
            </w:r>
          </w:p>
        </w:tc>
      </w:tr>
      <w:tr>
        <w:tc>
          <w:tcPr>
            <w:tcW w:type="dxa" w:w="34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Supplier invoice from Procurement</w:t>
            </w:r>
          </w:p>
        </w:tc>
        <w:tc>
          <w:tcPr>
            <w:tcW w:type="dxa" w:w="43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Same accounts as an AP bill, so the two reconcile against each other</w:t>
            </w:r>
          </w:p>
        </w:tc>
        <w:tc>
          <w:tcPr>
            <w:tcW w:type="dxa" w:w="20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source: procurement</w:t>
            </w:r>
          </w:p>
        </w:tc>
      </w:tr>
      <w:tr>
        <w:tc>
          <w:tcPr>
            <w:tcW w:type="dxa" w:w="34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Supplier bill paid (AP)</w:t>
            </w:r>
          </w:p>
        </w:tc>
        <w:tc>
          <w:tcPr>
            <w:tcW w:type="dxa" w:w="43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Dr Trade Payables. Cr Bank Account (clears the liability)</w:t>
            </w:r>
          </w:p>
        </w:tc>
        <w:tc>
          <w:tcPr>
            <w:tcW w:type="dxa" w:w="20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source: manual, AP</w:t>
            </w:r>
          </w:p>
        </w:tc>
      </w:tr>
      <w:tr>
        <w:tc>
          <w:tcPr>
            <w:tcW w:type="dxa" w:w="34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Payroll run posted (Contract or Company Staff)</w:t>
            </w:r>
          </w:p>
        </w:tc>
        <w:tc>
          <w:tcPr>
            <w:tcW w:type="dxa" w:w="43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Dr Salaries Expense. Cr PAYE, Pension, NHF, Other Deductions and Net Salary Payable</w:t>
            </w:r>
          </w:p>
        </w:tc>
        <w:tc>
          <w:tcPr>
            <w:tcW w:type="dxa" w:w="20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source: payroll</w:t>
            </w:r>
          </w:p>
        </w:tc>
      </w:tr>
      <w:tr>
        <w:tc>
          <w:tcPr>
            <w:tcW w:type="dxa" w:w="34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Payroll marked "Salaries Paid"</w:t>
            </w:r>
          </w:p>
        </w:tc>
        <w:tc>
          <w:tcPr>
            <w:tcW w:type="dxa" w:w="43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Dr Net Salary Payable. Cr Bank Account (disbursement)</w:t>
            </w:r>
          </w:p>
        </w:tc>
        <w:tc>
          <w:tcPr>
            <w:tcW w:type="dxa" w:w="20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source: payroll</w:t>
            </w:r>
          </w:p>
        </w:tc>
      </w:tr>
      <w:tr>
        <w:tc>
          <w:tcPr>
            <w:tcW w:type="dxa" w:w="34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Petty cash voucher logged</w:t>
            </w:r>
          </w:p>
        </w:tc>
        <w:tc>
          <w:tcPr>
            <w:tcW w:type="dxa" w:w="43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Dr the relevant expense account. Cr Imprest Cash</w:t>
            </w:r>
          </w:p>
        </w:tc>
        <w:tc>
          <w:tcPr>
            <w:tcW w:type="dxa" w:w="20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source: pettycash</w:t>
            </w:r>
          </w:p>
        </w:tc>
      </w:tr>
      <w:tr>
        <w:tc>
          <w:tcPr>
            <w:tcW w:type="dxa" w:w="34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Terminal operations charge posted</w:t>
            </w:r>
          </w:p>
        </w:tc>
        <w:tc>
          <w:tcPr>
            <w:tcW w:type="dxa" w:w="43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Dr Clearing/Duties cost. Cr Bank Account</w:t>
            </w:r>
          </w:p>
        </w:tc>
        <w:tc>
          <w:tcPr>
            <w:tcW w:type="dxa" w:w="20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source: terminal</w:t>
            </w:r>
          </w:p>
        </w:tc>
      </w:tr>
      <w:tr>
        <w:tc>
          <w:tcPr>
            <w:tcW w:type="dxa" w:w="34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Terminal customer advance received or applied</w:t>
            </w:r>
          </w:p>
        </w:tc>
        <w:tc>
          <w:tcPr>
            <w:tcW w:type="dxa" w:w="43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Dr Bank. Cr Advance from Customer, then cleared against revenue as containers are processed</w:t>
            </w:r>
          </w:p>
        </w:tc>
        <w:tc>
          <w:tcPr>
            <w:tcW w:type="dxa" w:w="20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source: terminal</w:t>
            </w:r>
          </w:p>
        </w:tc>
      </w:tr>
      <w:tr>
        <w:tc>
          <w:tcPr>
            <w:tcW w:type="dxa" w:w="34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Fixed asset registered (capitalised)</w:t>
            </w:r>
          </w:p>
        </w:tc>
        <w:tc>
          <w:tcPr>
            <w:tcW w:type="dxa" w:w="43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Dr the asset category account. Cr Transit/Suspense</w:t>
            </w:r>
          </w:p>
        </w:tc>
        <w:tc>
          <w:tcPr>
            <w:tcW w:type="dxa" w:w="20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source: fixedassets</w:t>
            </w:r>
          </w:p>
        </w:tc>
      </w:tr>
      <w:tr>
        <w:tc>
          <w:tcPr>
            <w:tcW w:type="dxa" w:w="34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Monthly depreciation run</w:t>
            </w:r>
          </w:p>
        </w:tc>
        <w:tc>
          <w:tcPr>
            <w:tcW w:type="dxa" w:w="43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Dr Depreciation Charges. Cr Accumulated Depreciation (by category)</w:t>
            </w:r>
          </w:p>
        </w:tc>
        <w:tc>
          <w:tcPr>
            <w:tcW w:type="dxa" w:w="20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source: fixedassets</w:t>
            </w:r>
          </w:p>
        </w:tc>
      </w:tr>
      <w:tr>
        <w:tc>
          <w:tcPr>
            <w:tcW w:type="dxa" w:w="34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Fleet vehicle repair logged</w:t>
            </w:r>
          </w:p>
        </w:tc>
        <w:tc>
          <w:tcPr>
            <w:tcW w:type="dxa" w:w="43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Dr Repairs &amp; Maintenance (Motor Vehicle). Cr Bank Account</w:t>
            </w:r>
          </w:p>
        </w:tc>
        <w:tc>
          <w:tcPr>
            <w:tcW w:type="dxa" w:w="20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source: fleet</w:t>
            </w:r>
          </w:p>
        </w:tc>
      </w:tr>
      <w:tr>
        <w:tc>
          <w:tcPr>
            <w:tcW w:type="dxa" w:w="34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Inventory stock issued or scrapped</w:t>
            </w:r>
          </w:p>
        </w:tc>
        <w:tc>
          <w:tcPr>
            <w:tcW w:type="dxa" w:w="43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Dr Cost of Goods Sold. Cr Inventory</w:t>
            </w:r>
          </w:p>
        </w:tc>
        <w:tc>
          <w:tcPr>
            <w:tcW w:type="dxa" w:w="20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source: inventory</w:t>
            </w:r>
          </w:p>
        </w:tc>
      </w:tr>
    </w:tbl>
    <w:p>
      <w:pPr>
        <w:spacing w:after="160"/>
      </w:pPr>
    </w:p>
    <w:tbl>
      <w:tblPr>
        <w:tblW w:type="pct" w:w="100%"/>
        <w:tblBorders>
          <w:top w:val="single" w:color="B8720A" w:sz="4"/>
          <w:left w:val="single" w:color="B8720A" w:sz="24"/>
          <w:bottom w:val="single" w:color="B8720A" w:sz="4"/>
          <w:right w:val="single" w:color="B8720A" w:sz="4"/>
          <w:insideH w:val="none" w:color="FFFFFF" w:sz="0"/>
          <w:insideV w:val="none" w:color="FFFFFF" w:sz="0"/>
        </w:tblBorders>
        <w:tblLayout w:type="fixed"/>
      </w:tblPr>
      <w:tblGrid>
        <w:gridCol w:w="100"/>
      </w:tblGrid>
      <w:tr>
        <w:tc>
          <w:tcPr>
            <w:shd w:fill="FBF3E4" w:val="clear"/>
            <w:tcMar>
              <w:top w:type="dxa" w:w="160"/>
              <w:left w:type="dxa" w:w="220"/>
              <w:bottom w:type="dxa" w:w="160"/>
              <w:right w:type="dxa" w:w="220"/>
            </w:tcMar>
          </w:tcPr>
          <w:p>
            <w:pPr>
              <w:spacing w:after="80"/>
            </w:pPr>
            <w:r>
              <w:rPr>
                <w:rFonts w:ascii="Calibri" w:cs="Calibri" w:eastAsia="Calibri" w:hAnsi="Calibri"/>
                <w:b/>
                <w:bCs/>
                <w:color w:val="B8720A"/>
                <w:sz w:val="22"/>
                <w:szCs w:val="22"/>
              </w:rPr>
              <w:t xml:space="preserve">If a number looks wrong</w:t>
            </w:r>
          </w:p>
          <w:p>
            <w:pPr>
              <w:spacing w:after="40" w:line="260"/>
            </w:pPr>
            <w:r>
              <w:rPr>
                <w:rFonts w:ascii="Calibri" w:cs="Calibri" w:eastAsia="Calibri" w:hAnsi="Calibri"/>
                <w:sz w:val="21"/>
                <w:szCs w:val="21"/>
              </w:rPr>
              <w:t xml:space="preserve">Do not edit the journal entry directly. You cannot, and even if you could it would just fall out of step with its source.</w:t>
            </w:r>
          </w:p>
          <w:p>
            <w:pPr>
              <w:spacing w:after="40" w:line="260"/>
            </w:pPr>
            <w:r>
              <w:rPr>
                <w:rFonts w:ascii="Calibri" w:cs="Calibri" w:eastAsia="Calibri" w:hAnsi="Calibri"/>
                <w:sz w:val="21"/>
                <w:szCs w:val="21"/>
              </w:rPr>
              <w:t xml:space="preserve">Go to the record that generated it, the invoice, the bill, the payroll run, the asset, and correct or void it there. The Journal Entries list updates itself.</w:t>
            </w:r>
          </w:p>
        </w:tc>
      </w:tr>
    </w:tbl>
    <w:p>
      <w:pPr>
        <w:pStyle w:val="Heading1"/>
        <w:pBdr>
          <w:bottom w:val="single" w:color="1E6B3C" w:sz="8" w:space="4"/>
        </w:pBdr>
        <w:spacing w:after="180" w:before="420"/>
      </w:pPr>
      <w:r>
        <w:rPr>
          <w:b/>
          <w:bCs/>
          <w:color w:val="0F3A1A"/>
        </w:rPr>
        <w:t xml:space="preserve">5. Manual Journal Entries: When and How</w:t>
      </w:r>
    </w:p>
    <w:p>
      <w:pPr>
        <w:pStyle w:val="Heading2"/>
        <w:spacing w:after="120" w:before="300"/>
      </w:pPr>
      <w:r>
        <w:rPr>
          <w:b/>
          <w:bCs/>
          <w:color w:val="1E6B3C"/>
        </w:rPr>
        <w:t xml:space="preserve">When to use one</w:t>
      </w:r>
    </w:p>
    <w:p>
      <w:pPr>
        <w:spacing w:after="160" w:line="276"/>
      </w:pPr>
      <w:r>
        <w:rPr>
          <w:rFonts w:ascii="Calibri" w:cs="Calibri" w:eastAsia="Calibri" w:hAnsi="Calibri"/>
          <w:sz w:val="22"/>
          <w:szCs w:val="22"/>
        </w:rPr>
        <w:t xml:space="preserve">Only for things that genuinely have no source module: bank charges and interest, month-end accruals and prepayment releases, adjusting or correcting entries, and the standard opening-balance or reclassification entries an accountant posts directly. If the transaction belongs to Payroll, AP, AR, Petty Cash, Terminal Ops or Fixed Assets, post it there instead and let the system journal it for you. Do not duplicate it manually.</w:t>
      </w:r>
    </w:p>
    <w:p>
      <w:pPr>
        <w:pStyle w:val="Heading2"/>
        <w:spacing w:after="120" w:before="300"/>
      </w:pPr>
      <w:r>
        <w:rPr>
          <w:b/>
          <w:bCs/>
          <w:color w:val="1E6B3C"/>
        </w:rPr>
        <w:t xml:space="preserve">Creating one</w:t>
      </w:r>
    </w:p>
    <w:p>
      <w:pPr>
        <w:pStyle w:val="ListParagraph"/>
        <w:numPr>
          <w:ilvl w:val="0"/>
          <w:numId w:val="3"/>
        </w:numPr>
        <w:spacing w:after="100" w:line="270"/>
      </w:pPr>
      <w:r>
        <w:rPr>
          <w:rFonts w:ascii="Calibri" w:cs="Calibri" w:eastAsia="Calibri" w:hAnsi="Calibri"/>
          <w:sz w:val="22"/>
          <w:szCs w:val="22"/>
        </w:rPr>
        <w:t xml:space="preserve">Go to Accounting, then Journal Entries, then "+ New Journal Entry."</w:t>
      </w:r>
    </w:p>
    <w:p>
      <w:pPr>
        <w:pStyle w:val="ListParagraph"/>
        <w:numPr>
          <w:ilvl w:val="0"/>
          <w:numId w:val="3"/>
        </w:numPr>
        <w:spacing w:after="100" w:line="270"/>
      </w:pPr>
      <w:r>
        <w:rPr>
          <w:rFonts w:ascii="Calibri" w:cs="Calibri" w:eastAsia="Calibri" w:hAnsi="Calibri"/>
          <w:sz w:val="22"/>
          <w:szCs w:val="22"/>
        </w:rPr>
        <w:t xml:space="preserve">Enter the date, a reference, and a clear description. This is what shows up in every report, so make it specific, for example "August bank charges, GTB current account" rather than "misc."</w:t>
      </w:r>
    </w:p>
    <w:p>
      <w:pPr>
        <w:pStyle w:val="ListParagraph"/>
        <w:numPr>
          <w:ilvl w:val="0"/>
          <w:numId w:val="3"/>
        </w:numPr>
        <w:spacing w:after="100" w:line="270"/>
      </w:pPr>
      <w:r>
        <w:rPr>
          <w:rFonts w:ascii="Calibri" w:cs="Calibri" w:eastAsia="Calibri" w:hAnsi="Calibri"/>
          <w:sz w:val="22"/>
          <w:szCs w:val="22"/>
        </w:rPr>
        <w:t xml:space="preserve">Add one or more Dr/Cr lines. Each line needs a debit account, a credit account, and an amount. The total must balance before you can post.</w:t>
      </w:r>
    </w:p>
    <w:p>
      <w:pPr>
        <w:pStyle w:val="ListParagraph"/>
        <w:numPr>
          <w:ilvl w:val="0"/>
          <w:numId w:val="3"/>
        </w:numPr>
        <w:spacing w:after="100" w:line="270"/>
      </w:pPr>
      <w:r>
        <w:rPr>
          <w:rFonts w:ascii="Calibri" w:cs="Calibri" w:eastAsia="Calibri" w:hAnsi="Calibri"/>
          <w:sz w:val="22"/>
          <w:szCs w:val="22"/>
        </w:rPr>
        <w:t xml:space="preserve">Save. If the date falls inside a closed period, the system will block it and tell you which period to reopen first.</w:t>
      </w:r>
    </w:p>
    <w:p>
      <w:pPr>
        <w:pStyle w:val="Heading2"/>
        <w:spacing w:after="120" w:before="300"/>
      </w:pPr>
      <w:r>
        <w:rPr>
          <w:b/>
          <w:bCs/>
          <w:color w:val="1E6B3C"/>
        </w:rPr>
        <w:t xml:space="preserve">Editing and voiding</w:t>
      </w:r>
    </w:p>
    <w:p>
      <w:pPr>
        <w:spacing w:after="160" w:line="276"/>
      </w:pPr>
      <w:r>
        <w:rPr>
          <w:rFonts w:ascii="Calibri" w:cs="Calibri" w:eastAsia="Calibri" w:hAnsi="Calibri"/>
          <w:sz w:val="22"/>
          <w:szCs w:val="22"/>
        </w:rPr>
        <w:t xml:space="preserve">You can edit or void a manual entry only while its period is still open. Once source-module entries are marked "auto-posted" or the period is marked "closed" (both shown with a small lock icon), those actions disappear from the row. As of 19 August 2026, the red button next to a manual entry reads "Void," not "Delete." Clicking it posts a reversing entry rather than erasing anything, per Rule 2 in Section 2.</w:t>
      </w:r>
    </w:p>
    <w:p>
      <w:pPr>
        <w:pStyle w:val="Heading2"/>
        <w:spacing w:after="120" w:before="300"/>
      </w:pPr>
      <w:r>
        <w:rPr>
          <w:b/>
          <w:bCs/>
          <w:color w:val="1E6B3C"/>
        </w:rPr>
        <w:t xml:space="preserve">Recurring templates</w:t>
      </w:r>
    </w:p>
    <w:p>
      <w:pPr>
        <w:spacing w:after="160" w:line="276"/>
      </w:pPr>
      <w:r>
        <w:rPr>
          <w:rFonts w:ascii="Calibri" w:cs="Calibri" w:eastAsia="Calibri" w:hAnsi="Calibri"/>
          <w:sz w:val="22"/>
          <w:szCs w:val="22"/>
        </w:rPr>
        <w:t xml:space="preserve">For entries that repeat every month, a fixed monthly accrual for example, save one as a template from the New Journal Entry screen, then post it each period with one click from the "Recurring Journal Templates" panel at the top of the Journal Entries tab.</w:t>
      </w:r>
    </w:p>
    <w:p>
      <w:pPr>
        <w:pStyle w:val="Heading1"/>
        <w:pBdr>
          <w:bottom w:val="single" w:color="1E6B3C" w:sz="8" w:space="4"/>
        </w:pBdr>
        <w:spacing w:after="180" w:before="420"/>
      </w:pPr>
      <w:r>
        <w:rPr>
          <w:b/>
          <w:bCs/>
          <w:color w:val="0F3A1A"/>
        </w:rPr>
        <w:t xml:space="preserve">6. Payroll: Full Walkthrough</w:t>
      </w:r>
    </w:p>
    <w:p>
      <w:pPr>
        <w:spacing w:after="160" w:line="276"/>
      </w:pPr>
      <w:r>
        <w:rPr>
          <w:rFonts w:ascii="Calibri" w:cs="Calibri" w:eastAsia="Calibri" w:hAnsi="Calibri"/>
          <w:sz w:val="22"/>
          <w:szCs w:val="22"/>
        </w:rPr>
        <w:t xml:space="preserve">Payroll is one of the biggest numbers in the ledger every month, and the module accountants interact with most directly, so it gets its own section.</w:t>
      </w:r>
    </w:p>
    <w:p>
      <w:pPr>
        <w:pStyle w:val="Heading2"/>
        <w:spacing w:after="120" w:before="300"/>
      </w:pPr>
      <w:r>
        <w:rPr>
          <w:b/>
          <w:bCs/>
          <w:color w:val="1E6B3C"/>
        </w:rPr>
        <w:t xml:space="preserve">Two separate staff modules</w:t>
      </w:r>
    </w:p>
    <w:p>
      <w:pPr>
        <w:pStyle w:val="ListParagraph"/>
        <w:numPr>
          <w:ilvl w:val="0"/>
          <w:numId w:val="2"/>
        </w:numPr>
        <w:spacing w:after="100" w:line="270"/>
      </w:pPr>
      <w:r>
        <w:rPr>
          <w:rFonts w:ascii="Calibri" w:cs="Calibri" w:eastAsia="Calibri" w:hAnsi="Calibri"/>
          <w:sz w:val="22"/>
          <w:szCs w:val="22"/>
        </w:rPr>
        <w:t xml:space="preserve">HR, then Contract Staff: NLNG contract staff payroll.</w:t>
      </w:r>
    </w:p>
    <w:p>
      <w:pPr>
        <w:pStyle w:val="ListParagraph"/>
        <w:numPr>
          <w:ilvl w:val="0"/>
          <w:numId w:val="2"/>
        </w:numPr>
        <w:spacing w:after="100" w:line="270"/>
      </w:pPr>
      <w:r>
        <w:rPr>
          <w:rFonts w:ascii="Calibri" w:cs="Calibri" w:eastAsia="Calibri" w:hAnsi="Calibri"/>
          <w:sz w:val="22"/>
          <w:szCs w:val="22"/>
        </w:rPr>
        <w:t xml:space="preserve">HR, then Company Staff: SLOT’s own permanent staff payroll.</w:t>
      </w:r>
    </w:p>
    <w:p>
      <w:pPr>
        <w:spacing w:after="160" w:line="276"/>
      </w:pPr>
      <w:r>
        <w:rPr>
          <w:rFonts w:ascii="Calibri" w:cs="Calibri" w:eastAsia="Calibri" w:hAnsi="Calibri"/>
          <w:sz w:val="22"/>
          <w:szCs w:val="22"/>
        </w:rPr>
        <w:t xml:space="preserve">Each has its own "Payroll View" tab with a month and year selector, and both work the same way.</w:t>
      </w:r>
    </w:p>
    <w:p>
      <w:pPr>
        <w:pStyle w:val="Heading2"/>
        <w:spacing w:after="120" w:before="300"/>
      </w:pPr>
      <w:r>
        <w:rPr>
          <w:b/>
          <w:bCs/>
          <w:color w:val="1E6B3C"/>
        </w:rPr>
        <w:t xml:space="preserve">The normal cycle</w:t>
      </w:r>
    </w:p>
    <w:p>
      <w:pPr>
        <w:pStyle w:val="ListParagraph"/>
        <w:numPr>
          <w:ilvl w:val="0"/>
          <w:numId w:val="4"/>
        </w:numPr>
        <w:spacing w:after="100" w:line="270"/>
      </w:pPr>
      <w:r>
        <w:rPr>
          <w:rFonts w:ascii="Calibri" w:cs="Calibri" w:eastAsia="Calibri" w:hAnsi="Calibri"/>
          <w:sz w:val="22"/>
          <w:szCs w:val="22"/>
        </w:rPr>
        <w:t xml:space="preserve">Select the month and year. If no run exists yet for that period, click "Run Payroll for [Month Year]." This posts the accrual automatically (Dr Salaries Expense, Cr PAYE, Pension and Net Salary Payable, and so on), and you will see "Posted to GL" appear.</w:t>
      </w:r>
    </w:p>
    <w:p>
      <w:pPr>
        <w:pStyle w:val="ListParagraph"/>
        <w:numPr>
          <w:ilvl w:val="0"/>
          <w:numId w:val="4"/>
        </w:numPr>
        <w:spacing w:after="100" w:line="270"/>
      </w:pPr>
      <w:r>
        <w:rPr>
          <w:rFonts w:ascii="Calibri" w:cs="Calibri" w:eastAsia="Calibri" w:hAnsi="Calibri"/>
          <w:sz w:val="22"/>
          <w:szCs w:val="22"/>
        </w:rPr>
        <w:t xml:space="preserve">Once salaries are actually disbursed, click "Mark Salaries Paid." This posts the second leg, Dr Net Salary Payable, Cr Bank Account, and the badge changes to "Paid [date]."</w:t>
      </w:r>
    </w:p>
    <w:p>
      <w:pPr>
        <w:pStyle w:val="Heading2"/>
        <w:spacing w:after="120" w:before="300"/>
      </w:pPr>
      <w:r>
        <w:rPr>
          <w:b/>
          <w:bCs/>
          <w:color w:val="1E6B3C"/>
        </w:rPr>
        <w:t xml:space="preserve">If a run was a mistake: use Void Run</w:t>
      </w:r>
    </w:p>
    <w:p>
      <w:pPr>
        <w:spacing w:after="160" w:line="276"/>
      </w:pPr>
      <w:r>
        <w:rPr>
          <w:rFonts w:ascii="Calibri" w:cs="Calibri" w:eastAsia="Calibri" w:hAnsi="Calibri"/>
          <w:sz w:val="22"/>
          <w:szCs w:val="22"/>
        </w:rPr>
        <w:t xml:space="preserve">Every payroll period shows a red "Void Run" button next to its status badge, whether the run is still just posted or already marked paid. Click it, confirm, and the system posts the reversing entries automatically:</w:t>
      </w:r>
    </w:p>
    <w:p>
      <w:pPr>
        <w:pStyle w:val="ListParagraph"/>
        <w:numPr>
          <w:ilvl w:val="0"/>
          <w:numId w:val="2"/>
        </w:numPr>
        <w:spacing w:after="100" w:line="270"/>
      </w:pPr>
      <w:r>
        <w:rPr>
          <w:rFonts w:ascii="Calibri" w:cs="Calibri" w:eastAsia="Calibri" w:hAnsi="Calibri"/>
          <w:sz w:val="22"/>
          <w:szCs w:val="22"/>
        </w:rPr>
        <w:t xml:space="preserve">If the run was only posted, not yet paid, one reversing entry undoes the accrual.</w:t>
      </w:r>
    </w:p>
    <w:p>
      <w:pPr>
        <w:pStyle w:val="ListParagraph"/>
        <w:numPr>
          <w:ilvl w:val="0"/>
          <w:numId w:val="2"/>
        </w:numPr>
        <w:spacing w:after="100" w:line="270"/>
      </w:pPr>
      <w:r>
        <w:rPr>
          <w:rFonts w:ascii="Calibri" w:cs="Calibri" w:eastAsia="Calibri" w:hAnsi="Calibri"/>
          <w:sz w:val="22"/>
          <w:szCs w:val="22"/>
        </w:rPr>
        <w:t xml:space="preserve">If the run was already marked paid, two reversing entries post: one undoing the accrual and one undoing the salary payment, so both the expense/payable side and the bank/cash side get corrected.</w:t>
      </w:r>
    </w:p>
    <w:p>
      <w:pPr>
        <w:spacing w:after="160" w:line="276"/>
      </w:pPr>
      <w:r>
        <w:rPr>
          <w:rFonts w:ascii="Calibri" w:cs="Calibri" w:eastAsia="Calibri" w:hAnsi="Calibri"/>
          <w:sz w:val="22"/>
          <w:szCs w:val="22"/>
        </w:rPr>
        <w:t xml:space="preserve">The original entries are never removed. The void just cancels out their effect while keeping the full history visible, exactly per Rule 2.</w:t>
      </w:r>
    </w:p>
    <w:tbl>
      <w:tblPr>
        <w:tblW w:type="pct" w:w="100%"/>
        <w:tblBorders>
          <w:top w:val="single" w:color="1E6B3C" w:sz="4"/>
          <w:left w:val="single" w:color="1E6B3C" w:sz="24"/>
          <w:bottom w:val="single" w:color="1E6B3C" w:sz="4"/>
          <w:right w:val="single" w:color="1E6B3C" w:sz="4"/>
          <w:insideH w:val="none" w:color="FFFFFF" w:sz="0"/>
          <w:insideV w:val="none" w:color="FFFFFF" w:sz="0"/>
        </w:tblBorders>
        <w:tblLayout w:type="fixed"/>
      </w:tblPr>
      <w:tblGrid>
        <w:gridCol w:w="100"/>
      </w:tblGrid>
      <w:tr>
        <w:tc>
          <w:tcPr>
            <w:shd w:fill="EAF3ED" w:val="clear"/>
            <w:tcMar>
              <w:top w:type="dxa" w:w="160"/>
              <w:left w:type="dxa" w:w="220"/>
              <w:bottom w:type="dxa" w:w="160"/>
              <w:right w:type="dxa" w:w="220"/>
            </w:tcMar>
          </w:tcPr>
          <w:p>
            <w:pPr>
              <w:spacing w:after="80"/>
            </w:pPr>
            <w:r>
              <w:rPr>
                <w:rFonts w:ascii="Calibri" w:cs="Calibri" w:eastAsia="Calibri" w:hAnsi="Calibri"/>
                <w:b/>
                <w:bCs/>
                <w:color w:val="1E6B3C"/>
                <w:sz w:val="22"/>
                <w:szCs w:val="22"/>
              </w:rPr>
              <w:t xml:space="preserve">Why a deleted staff member’s salary can still show in the GL</w:t>
            </w:r>
          </w:p>
          <w:p>
            <w:pPr>
              <w:spacing w:after="40" w:line="260"/>
            </w:pPr>
            <w:r>
              <w:rPr>
                <w:rFonts w:ascii="Calibri" w:cs="Calibri" w:eastAsia="Calibri" w:hAnsi="Calibri"/>
                <w:sz w:val="21"/>
                <w:szCs w:val="21"/>
              </w:rPr>
              <w:t xml:space="preserve">Deleting a staff record only removes that person from the current staff list. It does not, and should not, touch any payroll run that already happened. Every "Run Payroll" click captures a permanent snapshot of who was paid, how much, and for which period, and that snapshot is completely independent of the live staff list from that moment on.</w:t>
            </w:r>
          </w:p>
          <w:p>
            <w:pPr>
              <w:spacing w:after="40" w:line="260"/>
            </w:pPr>
            <w:r>
              <w:rPr>
                <w:rFonts w:ascii="Calibri" w:cs="Calibri" w:eastAsia="Calibri" w:hAnsi="Calibri"/>
                <w:sz w:val="21"/>
                <w:szCs w:val="21"/>
              </w:rPr>
              <w:t xml:space="preserve">This is why the July 2026 Contract Staff payroll run for 66 staff members who were later deleted from the staff list still showed up in the General Ledger. The run itself was a separate, historical record, and deleting the staff master data was never going to make that GL entry disappear.</w:t>
            </w:r>
          </w:p>
          <w:p>
            <w:pPr>
              <w:spacing w:after="40" w:line="260"/>
            </w:pPr>
            <w:r>
              <w:rPr>
                <w:rFonts w:ascii="Calibri" w:cs="Calibri" w:eastAsia="Calibri" w:hAnsi="Calibri"/>
                <w:sz w:val="21"/>
                <w:szCs w:val="21"/>
              </w:rPr>
              <w:t xml:space="preserve">If a run genuinely should never have happened, use Void Run, described above. That is the only correct way to remove its financial effect. Do not expect deleting staff records to clean up payroll history.</w:t>
            </w:r>
          </w:p>
        </w:tc>
      </w:tr>
    </w:tbl>
    <w:p>
      <w:pPr>
        <w:pStyle w:val="Heading1"/>
        <w:pBdr>
          <w:bottom w:val="single" w:color="1E6B3C" w:sz="8" w:space="4"/>
        </w:pBdr>
        <w:spacing w:after="180" w:before="420"/>
      </w:pPr>
      <w:r>
        <w:rPr>
          <w:b/>
          <w:bCs/>
          <w:color w:val="0F3A1A"/>
        </w:rPr>
        <w:t xml:space="preserve">7. Accounts Payable and Accounts Receivable: Quick Reference</w:t>
      </w:r>
    </w:p>
    <w:p>
      <w:pPr>
        <w:pStyle w:val="Heading2"/>
        <w:spacing w:after="120" w:before="300"/>
      </w:pPr>
      <w:r>
        <w:rPr>
          <w:b/>
          <w:bCs/>
          <w:color w:val="1E6B3C"/>
        </w:rPr>
        <w:t xml:space="preserve">Accounts Payable (Finance, then Accounts Payable)</w:t>
      </w:r>
    </w:p>
    <w:p>
      <w:pPr>
        <w:pStyle w:val="ListParagraph"/>
        <w:numPr>
          <w:ilvl w:val="0"/>
          <w:numId w:val="2"/>
        </w:numPr>
        <w:spacing w:after="100" w:line="270"/>
      </w:pPr>
      <w:r>
        <w:rPr>
          <w:rFonts w:ascii="Calibri" w:cs="Calibri" w:eastAsia="Calibri" w:hAnsi="Calibri"/>
          <w:sz w:val="22"/>
          <w:szCs w:val="22"/>
        </w:rPr>
        <w:t xml:space="preserve">Enter a supplier bill and it posts to the GL immediately (expense plus payable).</w:t>
      </w:r>
    </w:p>
    <w:p>
      <w:pPr>
        <w:pStyle w:val="ListParagraph"/>
        <w:numPr>
          <w:ilvl w:val="0"/>
          <w:numId w:val="2"/>
        </w:numPr>
        <w:spacing w:after="100" w:line="270"/>
      </w:pPr>
      <w:r>
        <w:rPr>
          <w:rFonts w:ascii="Calibri" w:cs="Calibri" w:eastAsia="Calibri" w:hAnsi="Calibri"/>
          <w:sz w:val="22"/>
          <w:szCs w:val="22"/>
        </w:rPr>
        <w:t xml:space="preserve">Record a payment against it and the second leg posts, clearing the payable and reducing the bank balance.</w:t>
      </w:r>
    </w:p>
    <w:p>
      <w:pPr>
        <w:pStyle w:val="ListParagraph"/>
        <w:numPr>
          <w:ilvl w:val="0"/>
          <w:numId w:val="2"/>
        </w:numPr>
        <w:spacing w:after="100" w:line="270"/>
      </w:pPr>
      <w:r>
        <w:rPr>
          <w:rFonts w:ascii="Calibri" w:cs="Calibri" w:eastAsia="Calibri" w:hAnsi="Calibri"/>
          <w:sz w:val="22"/>
          <w:szCs w:val="22"/>
        </w:rPr>
        <w:t xml:space="preserve">A bill can only be deleted while it is still "Unpaid" and untouched. Once it has any payment activity, only "Void" is available, which sets its status to "Cancelled," the same Rule 2 pattern.</w:t>
      </w:r>
    </w:p>
    <w:p>
      <w:pPr>
        <w:pStyle w:val="ListParagraph"/>
        <w:numPr>
          <w:ilvl w:val="0"/>
          <w:numId w:val="2"/>
        </w:numPr>
        <w:spacing w:after="100" w:line="270"/>
      </w:pPr>
      <w:r>
        <w:rPr>
          <w:rFonts w:ascii="Calibri" w:cs="Calibri" w:eastAsia="Calibri" w:hAnsi="Calibri"/>
          <w:sz w:val="22"/>
          <w:szCs w:val="22"/>
        </w:rPr>
        <w:t xml:space="preserve">Supplier invoices raised in Procurement land in the same Trade Payables account as manually entered AP bills, so the two should reconcile against each other rather than be treated as separate ledgers.</w:t>
      </w:r>
    </w:p>
    <w:p>
      <w:pPr>
        <w:pStyle w:val="Heading2"/>
        <w:spacing w:after="120" w:before="300"/>
      </w:pPr>
      <w:r>
        <w:rPr>
          <w:b/>
          <w:bCs/>
          <w:color w:val="1E6B3C"/>
        </w:rPr>
        <w:t xml:space="preserve">Accounts Receivable (via Sales Orders / AR)</w:t>
      </w:r>
    </w:p>
    <w:p>
      <w:pPr>
        <w:pStyle w:val="ListParagraph"/>
        <w:numPr>
          <w:ilvl w:val="0"/>
          <w:numId w:val="2"/>
        </w:numPr>
        <w:spacing w:after="100" w:line="270"/>
      </w:pPr>
      <w:r>
        <w:rPr>
          <w:rFonts w:ascii="Calibri" w:cs="Calibri" w:eastAsia="Calibri" w:hAnsi="Calibri"/>
          <w:sz w:val="22"/>
          <w:szCs w:val="22"/>
        </w:rPr>
        <w:t xml:space="preserve">An invoice posts revenue and the receivable immediately on creation.</w:t>
      </w:r>
    </w:p>
    <w:p>
      <w:pPr>
        <w:pStyle w:val="ListParagraph"/>
        <w:numPr>
          <w:ilvl w:val="0"/>
          <w:numId w:val="2"/>
        </w:numPr>
        <w:spacing w:after="100" w:line="270"/>
      </w:pPr>
      <w:r>
        <w:rPr>
          <w:rFonts w:ascii="Calibri" w:cs="Calibri" w:eastAsia="Calibri" w:hAnsi="Calibri"/>
          <w:sz w:val="22"/>
          <w:szCs w:val="22"/>
        </w:rPr>
        <w:t xml:space="preserve">A customer receipt clears the receivable and posts cash into the bank.</w:t>
      </w:r>
    </w:p>
    <w:p>
      <w:pPr>
        <w:pStyle w:val="ListParagraph"/>
        <w:numPr>
          <w:ilvl w:val="0"/>
          <w:numId w:val="2"/>
        </w:numPr>
        <w:spacing w:after="100" w:line="270"/>
      </w:pPr>
      <w:r>
        <w:rPr>
          <w:rFonts w:ascii="Calibri" w:cs="Calibri" w:eastAsia="Calibri" w:hAnsi="Calibri"/>
          <w:sz w:val="22"/>
          <w:szCs w:val="22"/>
        </w:rPr>
        <w:t xml:space="preserve">A credit note reverses the relevant part of the original invoice rather than editing it directly.</w:t>
      </w:r>
    </w:p>
    <w:p>
      <w:pPr>
        <w:pStyle w:val="Heading1"/>
        <w:pBdr>
          <w:bottom w:val="single" w:color="1E6B3C" w:sz="8" w:space="4"/>
        </w:pBdr>
        <w:spacing w:after="180" w:before="420"/>
      </w:pPr>
      <w:r>
        <w:rPr>
          <w:b/>
          <w:bCs/>
          <w:color w:val="0F3A1A"/>
        </w:rPr>
        <w:t xml:space="preserve">8. Fixed Assets: Use the Right Screen</w:t>
      </w:r>
    </w:p>
    <w:tbl>
      <w:tblPr>
        <w:tblW w:type="pct" w:w="100%"/>
        <w:tblBorders>
          <w:top w:val="single" w:color="B8720A" w:sz="4"/>
          <w:left w:val="single" w:color="B8720A" w:sz="24"/>
          <w:bottom w:val="single" w:color="B8720A" w:sz="4"/>
          <w:right w:val="single" w:color="B8720A" w:sz="4"/>
          <w:insideH w:val="none" w:color="FFFFFF" w:sz="0"/>
          <w:insideV w:val="none" w:color="FFFFFF" w:sz="0"/>
        </w:tblBorders>
        <w:tblLayout w:type="fixed"/>
      </w:tblPr>
      <w:tblGrid>
        <w:gridCol w:w="100"/>
      </w:tblGrid>
      <w:tr>
        <w:tc>
          <w:tcPr>
            <w:shd w:fill="FBF3E4" w:val="clear"/>
            <w:tcMar>
              <w:top w:type="dxa" w:w="160"/>
              <w:left w:type="dxa" w:w="220"/>
              <w:bottom w:type="dxa" w:w="160"/>
              <w:right w:type="dxa" w:w="220"/>
            </w:tcMar>
          </w:tcPr>
          <w:p>
            <w:pPr>
              <w:spacing w:after="80"/>
            </w:pPr>
            <w:r>
              <w:rPr>
                <w:rFonts w:ascii="Calibri" w:cs="Calibri" w:eastAsia="Calibri" w:hAnsi="Calibri"/>
                <w:b/>
                <w:bCs/>
                <w:color w:val="B8720A"/>
                <w:sz w:val="22"/>
                <w:szCs w:val="22"/>
              </w:rPr>
              <w:t xml:space="preserve">Important: there are two "Fixed Assets" screens</w:t>
            </w:r>
          </w:p>
          <w:p>
            <w:pPr>
              <w:spacing w:after="40" w:line="260"/>
            </w:pPr>
            <w:r>
              <w:rPr>
                <w:rFonts w:ascii="Calibri" w:cs="Calibri" w:eastAsia="Calibri" w:hAnsi="Calibri"/>
                <w:sz w:val="21"/>
                <w:szCs w:val="21"/>
              </w:rPr>
              <w:t xml:space="preserve">The real one is Finance, then Fixed Assets, its own module in the sidebar. This is where you register a new asset, review the Asset Register and Depreciation Schedule, and dispose of an asset. It is fully connected to the General Ledger.</w:t>
            </w:r>
          </w:p>
          <w:p>
            <w:pPr>
              <w:spacing w:after="40" w:line="260"/>
            </w:pPr>
            <w:r>
              <w:rPr>
                <w:rFonts w:ascii="Calibri" w:cs="Calibri" w:eastAsia="Calibri" w:hAnsi="Calibri"/>
                <w:sz w:val="21"/>
                <w:szCs w:val="21"/>
              </w:rPr>
              <w:t xml:space="preserve">The one to ignore is the "Fixed Assets" tab inside the Accounting screen. This is a legacy, disconnected screen. It keeps its own separate list, is not linked to the real asset register or the GL, and will simply show "0 assets, no records" in production. If you land on it and it looks empty, that is expected. It is not where your assets live, so use the sidebar module instead.</w:t>
            </w:r>
          </w:p>
        </w:tc>
      </w:tr>
    </w:tbl>
    <w:p>
      <w:pPr>
        <w:pStyle w:val="Heading2"/>
        <w:spacing w:after="120" w:before="300"/>
      </w:pPr>
      <w:r>
        <w:rPr>
          <w:b/>
          <w:bCs/>
          <w:color w:val="1E6B3C"/>
        </w:rPr>
        <w:t xml:space="preserve">The normal cycle (in the real module)</w:t>
      </w:r>
    </w:p>
    <w:p>
      <w:pPr>
        <w:pStyle w:val="ListParagraph"/>
        <w:numPr>
          <w:ilvl w:val="0"/>
          <w:numId w:val="5"/>
        </w:numPr>
        <w:spacing w:after="100" w:line="270"/>
      </w:pPr>
      <w:r>
        <w:rPr>
          <w:rFonts w:ascii="Calibri" w:cs="Calibri" w:eastAsia="Calibri" w:hAnsi="Calibri"/>
          <w:sz w:val="22"/>
          <w:szCs w:val="22"/>
        </w:rPr>
        <w:t xml:space="preserve">Register Asset: enter description, category, cost, purchase date and location. This posts the capitalisation entry (Dr asset account, Cr Transit/Suspense) automatically.</w:t>
      </w:r>
    </w:p>
    <w:p>
      <w:pPr>
        <w:pStyle w:val="ListParagraph"/>
        <w:numPr>
          <w:ilvl w:val="0"/>
          <w:numId w:val="5"/>
        </w:numPr>
        <w:spacing w:after="100" w:line="270"/>
      </w:pPr>
      <w:r>
        <w:rPr>
          <w:rFonts w:ascii="Calibri" w:cs="Calibri" w:eastAsia="Calibri" w:hAnsi="Calibri"/>
          <w:sz w:val="22"/>
          <w:szCs w:val="22"/>
        </w:rPr>
        <w:t xml:space="preserve">Depreciation runs monthly from the Depreciation Schedule tab, posting Dr Depreciation Charges and Cr Accumulated Depreciation for that category.</w:t>
      </w:r>
    </w:p>
    <w:p>
      <w:pPr>
        <w:pStyle w:val="ListParagraph"/>
        <w:numPr>
          <w:ilvl w:val="0"/>
          <w:numId w:val="5"/>
        </w:numPr>
        <w:spacing w:after="100" w:line="270"/>
      </w:pPr>
      <w:r>
        <w:rPr>
          <w:rFonts w:ascii="Calibri" w:cs="Calibri" w:eastAsia="Calibri" w:hAnsi="Calibri"/>
          <w:sz w:val="22"/>
          <w:szCs w:val="22"/>
        </w:rPr>
        <w:t xml:space="preserve">Dispose an asset when it is sold, scrapped or written off. This records the disposal method, proceeds and gain or loss, and sets its status to "Disposed." A disposed asset is a real, permanent business event and stays visible in the register.</w:t>
      </w:r>
    </w:p>
    <w:p>
      <w:pPr>
        <w:spacing w:after="160" w:line="276"/>
      </w:pPr>
      <w:r>
        <w:rPr>
          <w:rFonts w:ascii="Calibri" w:cs="Calibri" w:eastAsia="Calibri" w:hAnsi="Calibri"/>
          <w:sz w:val="22"/>
          <w:szCs w:val="22"/>
        </w:rPr>
        <w:t xml:space="preserve">Separately, "Void" exists for an asset that should never have been registered at all, a genuine data-entry mistake. It hides the asset from the active register entirely and reverses its capitalisation entry, the same as any other void in this app. Use Dispose for a real asset reaching the end of its life. Use Void only to correct a mistake.</w:t>
      </w:r>
    </w:p>
    <w:p>
      <w:pPr>
        <w:pStyle w:val="Heading1"/>
        <w:pBdr>
          <w:bottom w:val="single" w:color="1E6B3C" w:sz="8" w:space="4"/>
        </w:pBdr>
        <w:spacing w:after="180" w:before="420"/>
      </w:pPr>
      <w:r>
        <w:rPr>
          <w:b/>
          <w:bCs/>
          <w:color w:val="0F3A1A"/>
        </w:rPr>
        <w:t xml:space="preserve">9. Reports: What Each One Answers</w:t>
      </w:r>
    </w:p>
    <w:tbl>
      <w:tblPr>
        <w:tblW w:type="dxa" w:w="9700"/>
        <w:tblBorders>
          <w:top w:val="single" w:color="C9D6CE" w:sz="4"/>
          <w:left w:val="single" w:color="C9D6CE" w:sz="4"/>
          <w:bottom w:val="single" w:color="C9D6CE" w:sz="4"/>
          <w:right w:val="single" w:color="C9D6CE" w:sz="4"/>
          <w:insideH w:val="single" w:color="C9D6CE" w:sz="4"/>
          <w:insideV w:val="single" w:color="C9D6CE" w:sz="4"/>
        </w:tblBorders>
        <w:tblLayout w:type="fixed"/>
      </w:tblPr>
      <w:tblGrid>
        <w:gridCol w:w="2400"/>
        <w:gridCol w:w="7300"/>
      </w:tblGrid>
      <w:tr>
        <w:trPr>
          <w:tblHeader/>
        </w:trPr>
        <w:tc>
          <w:tcPr>
            <w:tcW w:type="dxa" w:w="2400"/>
            <w:shd w:fill="0F3A1A" w:val="clear"/>
            <w:tcMar>
              <w:top w:type="dxa" w:w="100"/>
              <w:left w:type="dxa" w:w="110"/>
              <w:bottom w:type="dxa" w:w="100"/>
              <w:right w:type="dxa" w:w="110"/>
            </w:tcMar>
            <w:vAlign w:val="center"/>
          </w:tcPr>
          <w:p>
            <w:r>
              <w:rPr>
                <w:rFonts w:ascii="Calibri" w:cs="Calibri" w:eastAsia="Calibri" w:hAnsi="Calibri"/>
                <w:b/>
                <w:bCs/>
                <w:color w:val="FFFFFF"/>
                <w:sz w:val="19"/>
                <w:szCs w:val="19"/>
              </w:rPr>
              <w:t xml:space="preserve">Report</w:t>
            </w:r>
          </w:p>
        </w:tc>
        <w:tc>
          <w:tcPr>
            <w:tcW w:type="dxa" w:w="7300"/>
            <w:shd w:fill="0F3A1A" w:val="clear"/>
            <w:tcMar>
              <w:top w:type="dxa" w:w="100"/>
              <w:left w:type="dxa" w:w="110"/>
              <w:bottom w:type="dxa" w:w="100"/>
              <w:right w:type="dxa" w:w="110"/>
            </w:tcMar>
            <w:vAlign w:val="center"/>
          </w:tcPr>
          <w:p>
            <w:r>
              <w:rPr>
                <w:rFonts w:ascii="Calibri" w:cs="Calibri" w:eastAsia="Calibri" w:hAnsi="Calibri"/>
                <w:b/>
                <w:bCs/>
                <w:color w:val="FFFFFF"/>
                <w:sz w:val="19"/>
                <w:szCs w:val="19"/>
              </w:rPr>
              <w:t xml:space="preserve">Question it answers</w:t>
            </w:r>
          </w:p>
        </w:tc>
      </w:tr>
      <w:tr>
        <w:tc>
          <w:tcPr>
            <w:tcW w:type="dxa" w:w="24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Trial Balance</w:t>
            </w:r>
          </w:p>
        </w:tc>
        <w:tc>
          <w:tcPr>
            <w:tcW w:type="dxa" w:w="73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Do total debits equal total credits across every account, as of a date? The first thing to check if anything looks off.</w:t>
            </w:r>
          </w:p>
        </w:tc>
      </w:tr>
      <w:tr>
        <w:tc>
          <w:tcPr>
            <w:tcW w:type="dxa" w:w="24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General Ledger</w:t>
            </w:r>
          </w:p>
        </w:tc>
        <w:tc>
          <w:tcPr>
            <w:tcW w:type="dxa" w:w="73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Show me every transaction that ever hit one specific account, in order, with a running balance.</w:t>
            </w:r>
          </w:p>
        </w:tc>
      </w:tr>
      <w:tr>
        <w:tc>
          <w:tcPr>
            <w:tcW w:type="dxa" w:w="24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P&amp;L Statement</w:t>
            </w:r>
          </w:p>
        </w:tc>
        <w:tc>
          <w:tcPr>
            <w:tcW w:type="dxa" w:w="73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Were we profitable over this period? Revenue minus every expense.</w:t>
            </w:r>
          </w:p>
        </w:tc>
      </w:tr>
      <w:tr>
        <w:tc>
          <w:tcPr>
            <w:tcW w:type="dxa" w:w="24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Balance Sheet</w:t>
            </w:r>
          </w:p>
        </w:tc>
        <w:tc>
          <w:tcPr>
            <w:tcW w:type="dxa" w:w="7300"/>
            <w:shd w:fill="EAF3ED"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What do we own, what do we owe, and what is left over as equity, as of this date?</w:t>
            </w:r>
          </w:p>
        </w:tc>
      </w:tr>
      <w:tr>
        <w:tc>
          <w:tcPr>
            <w:tcW w:type="dxa" w:w="24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Cash Flow</w:t>
            </w:r>
          </w:p>
        </w:tc>
        <w:tc>
          <w:tcPr>
            <w:tcW w:type="dxa" w:w="7300"/>
            <w:shd w:fill="FFFFFF" w:val="clear"/>
            <w:tcMar>
              <w:top w:type="dxa" w:w="90"/>
              <w:left w:type="dxa" w:w="110"/>
              <w:bottom w:type="dxa" w:w="90"/>
              <w:right w:type="dxa" w:w="110"/>
            </w:tcMar>
            <w:vAlign w:val="center"/>
          </w:tcPr>
          <w:p>
            <w:pPr>
              <w:spacing w:after="20" w:line="250"/>
            </w:pPr>
            <w:r>
              <w:rPr>
                <w:rFonts w:ascii="Calibri" w:cs="Calibri" w:eastAsia="Calibri" w:hAnsi="Calibri"/>
                <w:sz w:val="19"/>
                <w:szCs w:val="19"/>
              </w:rPr>
              <w:t xml:space="preserve">Where did cash actually come from and go to this period? This is separate from accrual profit.</w:t>
            </w:r>
          </w:p>
        </w:tc>
      </w:tr>
    </w:tbl>
    <w:p>
      <w:pPr>
        <w:pStyle w:val="Heading1"/>
        <w:pBdr>
          <w:bottom w:val="single" w:color="1E6B3C" w:sz="8" w:space="4"/>
        </w:pBdr>
        <w:spacing w:after="180" w:before="420"/>
      </w:pPr>
      <w:r>
        <w:rPr>
          <w:b/>
          <w:bCs/>
          <w:color w:val="0F3A1A"/>
        </w:rPr>
        <w:t xml:space="preserve">10. Period Close and Fiscal Year Close</w:t>
      </w:r>
    </w:p>
    <w:p>
      <w:pPr>
        <w:spacing w:after="160" w:line="276"/>
      </w:pPr>
      <w:r>
        <w:rPr>
          <w:rFonts w:ascii="Calibri" w:cs="Calibri" w:eastAsia="Calibri" w:hAnsi="Calibri"/>
          <w:sz w:val="22"/>
          <w:szCs w:val="22"/>
        </w:rPr>
        <w:t xml:space="preserve">Settings, then Accounting, then Period Close is where a month gets locked once it has been reviewed. Once a period is closed:</w:t>
      </w:r>
    </w:p>
    <w:p>
      <w:pPr>
        <w:pStyle w:val="ListParagraph"/>
        <w:numPr>
          <w:ilvl w:val="0"/>
          <w:numId w:val="2"/>
        </w:numPr>
        <w:spacing w:after="100" w:line="270"/>
      </w:pPr>
      <w:r>
        <w:rPr>
          <w:rFonts w:ascii="Calibri" w:cs="Calibri" w:eastAsia="Calibri" w:hAnsi="Calibri"/>
          <w:sz w:val="22"/>
          <w:szCs w:val="22"/>
        </w:rPr>
        <w:t xml:space="preserve">No new manual journal entry can be dated inside it.</w:t>
      </w:r>
    </w:p>
    <w:p>
      <w:pPr>
        <w:pStyle w:val="ListParagraph"/>
        <w:numPr>
          <w:ilvl w:val="0"/>
          <w:numId w:val="2"/>
        </w:numPr>
        <w:spacing w:after="100" w:line="270"/>
      </w:pPr>
      <w:r>
        <w:rPr>
          <w:rFonts w:ascii="Calibri" w:cs="Calibri" w:eastAsia="Calibri" w:hAnsi="Calibri"/>
          <w:sz w:val="22"/>
          <w:szCs w:val="22"/>
        </w:rPr>
        <w:t xml:space="preserve">No automatic posting, a late payroll run or a backdated invoice for example, can land inside it either. The system blocks it the same way.</w:t>
      </w:r>
    </w:p>
    <w:p>
      <w:pPr>
        <w:pStyle w:val="ListParagraph"/>
        <w:numPr>
          <w:ilvl w:val="0"/>
          <w:numId w:val="2"/>
        </w:numPr>
        <w:spacing w:after="100" w:line="270"/>
      </w:pPr>
      <w:r>
        <w:rPr>
          <w:rFonts w:ascii="Calibri" w:cs="Calibri" w:eastAsia="Calibri" w:hAnsi="Calibri"/>
          <w:sz w:val="22"/>
          <w:szCs w:val="22"/>
        </w:rPr>
        <w:t xml:space="preserve">To correct something inside a closed month, reopen that specific period first. This is a deliberate, logged action. Make the fix, then close it again.</w:t>
      </w:r>
    </w:p>
    <w:p>
      <w:pPr>
        <w:spacing w:after="160" w:line="276"/>
      </w:pPr>
      <w:r>
        <w:rPr>
          <w:rFonts w:ascii="Calibri" w:cs="Calibri" w:eastAsia="Calibri" w:hAnsi="Calibri"/>
          <w:sz w:val="22"/>
          <w:szCs w:val="22"/>
        </w:rPr>
        <w:t xml:space="preserve">Closing every period in a fiscal year and running the year-end close posts the standard closing entry. It sweeps all Revenue and Expense account balances into Retained Earnings and resets the P&amp;L to zero for the new year, the same way SAP, NetSuite and Odoo handle a year-end close.</w:t>
      </w:r>
    </w:p>
    <w:p>
      <w:pPr>
        <w:pStyle w:val="Heading1"/>
        <w:pBdr>
          <w:bottom w:val="single" w:color="1E6B3C" w:sz="8" w:space="4"/>
        </w:pBdr>
        <w:spacing w:after="180" w:before="420"/>
      </w:pPr>
      <w:r>
        <w:rPr>
          <w:b/>
          <w:bCs/>
          <w:color w:val="0F3A1A"/>
        </w:rPr>
        <w:t xml:space="preserve">11. Other Tools: Quick Reference</w:t>
      </w:r>
    </w:p>
    <w:p>
      <w:pPr>
        <w:pStyle w:val="ListParagraph"/>
        <w:numPr>
          <w:ilvl w:val="0"/>
          <w:numId w:val="2"/>
        </w:numPr>
        <w:spacing w:after="100" w:line="270"/>
      </w:pPr>
      <w:r>
        <w:rPr>
          <w:rFonts w:ascii="Calibri" w:cs="Calibri" w:eastAsia="Calibri" w:hAnsi="Calibri"/>
          <w:b/>
          <w:bCs/>
          <w:sz w:val="22"/>
          <w:szCs w:val="22"/>
        </w:rPr>
        <w:t xml:space="preserve">Bank Reconciliation: </w:t>
      </w:r>
      <w:r>
        <w:rPr>
          <w:rFonts w:ascii="Calibri" w:cs="Calibri" w:eastAsia="Calibri" w:hAnsi="Calibri"/>
          <w:sz w:val="22"/>
          <w:szCs w:val="22"/>
        </w:rPr>
        <w:t xml:space="preserve">match each line on the bank statement against the ledger’s Cash &amp; Bank account, so you can prove the two agree at month end.</w:t>
      </w:r>
    </w:p>
    <w:p>
      <w:pPr>
        <w:pStyle w:val="ListParagraph"/>
        <w:numPr>
          <w:ilvl w:val="0"/>
          <w:numId w:val="2"/>
        </w:numPr>
        <w:spacing w:after="100" w:line="270"/>
      </w:pPr>
      <w:r>
        <w:rPr>
          <w:rFonts w:ascii="Calibri" w:cs="Calibri" w:eastAsia="Calibri" w:hAnsi="Calibri"/>
          <w:b/>
          <w:bCs/>
          <w:sz w:val="22"/>
          <w:szCs w:val="22"/>
        </w:rPr>
        <w:t xml:space="preserve">Currency Exchange (FX): </w:t>
      </w:r>
      <w:r>
        <w:rPr>
          <w:rFonts w:ascii="Calibri" w:cs="Calibri" w:eastAsia="Calibri" w:hAnsi="Calibri"/>
          <w:sz w:val="22"/>
          <w:szCs w:val="22"/>
        </w:rPr>
        <w:t xml:space="preserve">records and revalues any transaction that was not in Naira, and posts the period-end FX gain or loss adjustment.</w:t>
      </w:r>
    </w:p>
    <w:p>
      <w:pPr>
        <w:pStyle w:val="ListParagraph"/>
        <w:numPr>
          <w:ilvl w:val="0"/>
          <w:numId w:val="2"/>
        </w:numPr>
        <w:spacing w:after="100" w:line="270"/>
      </w:pPr>
      <w:r>
        <w:rPr>
          <w:rFonts w:ascii="Calibri" w:cs="Calibri" w:eastAsia="Calibri" w:hAnsi="Calibri"/>
          <w:b/>
          <w:bCs/>
          <w:sz w:val="22"/>
          <w:szCs w:val="22"/>
        </w:rPr>
        <w:t xml:space="preserve">VAT Returns: </w:t>
      </w:r>
      <w:r>
        <w:rPr>
          <w:rFonts w:ascii="Calibri" w:cs="Calibri" w:eastAsia="Calibri" w:hAnsi="Calibri"/>
          <w:sz w:val="22"/>
          <w:szCs w:val="22"/>
        </w:rPr>
        <w:t xml:space="preserve">summarises VAT collected on sales against VAT recoverable on purchases, ready for FIRS filing.</w:t>
      </w:r>
    </w:p>
    <w:p>
      <w:pPr>
        <w:pStyle w:val="ListParagraph"/>
        <w:numPr>
          <w:ilvl w:val="0"/>
          <w:numId w:val="2"/>
        </w:numPr>
        <w:spacing w:after="100" w:line="270"/>
      </w:pPr>
      <w:r>
        <w:rPr>
          <w:rFonts w:ascii="Calibri" w:cs="Calibri" w:eastAsia="Calibri" w:hAnsi="Calibri"/>
          <w:b/>
          <w:bCs/>
          <w:sz w:val="22"/>
          <w:szCs w:val="22"/>
        </w:rPr>
        <w:t xml:space="preserve">WHT Register: </w:t>
      </w:r>
      <w:r>
        <w:rPr>
          <w:rFonts w:ascii="Calibri" w:cs="Calibri" w:eastAsia="Calibri" w:hAnsi="Calibri"/>
          <w:sz w:val="22"/>
          <w:szCs w:val="22"/>
        </w:rPr>
        <w:t xml:space="preserve">tracks withholding tax retained from suppliers and withheld by customers, so it can be remitted or claimed correctly.</w:t>
      </w:r>
    </w:p>
    <w:p>
      <w:pPr>
        <w:pStyle w:val="Heading1"/>
        <w:pBdr>
          <w:bottom w:val="single" w:color="1E6B3C" w:sz="8" w:space="4"/>
        </w:pBdr>
        <w:spacing w:after="180" w:before="420"/>
      </w:pPr>
      <w:r>
        <w:rPr>
          <w:b/>
          <w:bCs/>
          <w:color w:val="0F3A1A"/>
        </w:rPr>
        <w:t xml:space="preserve">12. Troubleshooting and Frequently Asked Questions</w:t>
      </w:r>
    </w:p>
    <w:p>
      <w:pPr>
        <w:pStyle w:val="Heading2"/>
        <w:spacing w:after="120" w:before="300"/>
      </w:pPr>
      <w:r>
        <w:rPr>
          <w:b/>
          <w:bCs/>
          <w:color w:val="1E6B3C"/>
        </w:rPr>
        <w:t xml:space="preserve">"I cannot find a Delete or Edit button on this entry."</w:t>
      </w:r>
    </w:p>
    <w:p>
      <w:pPr>
        <w:spacing w:after="160" w:line="276"/>
      </w:pPr>
      <w:r>
        <w:rPr>
          <w:rFonts w:ascii="Calibri" w:cs="Calibri" w:eastAsia="Calibri" w:hAnsi="Calibri"/>
          <w:sz w:val="22"/>
          <w:szCs w:val="22"/>
        </w:rPr>
        <w:t xml:space="preserve">One of two things is happening. Either the entry shows a lock-icon badge because it is auto-posted from another module, in which case correct it at the source instead, or its period has been closed, in which case reopen the period first in Settings, then Accounting, then Period Close.</w:t>
      </w:r>
    </w:p>
    <w:p>
      <w:pPr>
        <w:pStyle w:val="Heading2"/>
        <w:spacing w:after="120" w:before="300"/>
      </w:pPr>
      <w:r>
        <w:rPr>
          <w:b/>
          <w:bCs/>
          <w:color w:val="1E6B3C"/>
        </w:rPr>
        <w:t xml:space="preserve">"I made a mistake and need to undo it. Do I delete it?"</w:t>
      </w:r>
    </w:p>
    <w:p>
      <w:pPr>
        <w:spacing w:after="160" w:line="276"/>
      </w:pPr>
      <w:r>
        <w:rPr>
          <w:rFonts w:ascii="Calibri" w:cs="Calibri" w:eastAsia="Calibri" w:hAnsi="Calibri"/>
          <w:sz w:val="22"/>
          <w:szCs w:val="22"/>
        </w:rPr>
        <w:t xml:space="preserve">No, almost never. Look for a "Void" button. Voiding posts a reversing entry that cancels out the financial effect while keeping full history. This is true for payroll runs, AP bills, AR invoices, Fixed Assets, and manual journal entries.</w:t>
      </w:r>
    </w:p>
    <w:p>
      <w:pPr>
        <w:pStyle w:val="Heading2"/>
        <w:spacing w:after="120" w:before="300"/>
      </w:pPr>
      <w:r>
        <w:rPr>
          <w:b/>
          <w:bCs/>
          <w:color w:val="1E6B3C"/>
        </w:rPr>
        <w:t xml:space="preserve">"I deleted a staff member but their salary is still in the GL."</w:t>
      </w:r>
    </w:p>
    <w:p>
      <w:pPr>
        <w:spacing w:after="160" w:line="276"/>
      </w:pPr>
      <w:r>
        <w:rPr>
          <w:rFonts w:ascii="Calibri" w:cs="Calibri" w:eastAsia="Calibri" w:hAnsi="Calibri"/>
          <w:sz w:val="22"/>
          <w:szCs w:val="22"/>
        </w:rPr>
        <w:t xml:space="preserve">That is expected behaviour, explained in Section 6. Deleting staff master data never touches historical payroll runs. Use Void Run on the specific payroll period if the run itself was a mistake.</w:t>
      </w:r>
    </w:p>
    <w:p>
      <w:pPr>
        <w:pStyle w:val="Heading2"/>
        <w:spacing w:after="120" w:before="300"/>
      </w:pPr>
      <w:r>
        <w:rPr>
          <w:b/>
          <w:bCs/>
          <w:color w:val="1E6B3C"/>
        </w:rPr>
        <w:t xml:space="preserve">"The Fixed Assets tab inside Accounting shows nothing."</w:t>
      </w:r>
    </w:p>
    <w:p>
      <w:pPr>
        <w:spacing w:after="160" w:line="276"/>
      </w:pPr>
      <w:r>
        <w:rPr>
          <w:rFonts w:ascii="Calibri" w:cs="Calibri" w:eastAsia="Calibri" w:hAnsi="Calibri"/>
          <w:sz w:val="22"/>
          <w:szCs w:val="22"/>
        </w:rPr>
        <w:t xml:space="preserve">That is expected, explained in Section 8. Use Finance, then Fixed Assets, the standalone module, instead.</w:t>
      </w:r>
    </w:p>
    <w:p>
      <w:pPr>
        <w:pStyle w:val="Heading2"/>
        <w:spacing w:after="120" w:before="300"/>
      </w:pPr>
      <w:r>
        <w:rPr>
          <w:b/>
          <w:bCs/>
          <w:color w:val="1E6B3C"/>
        </w:rPr>
        <w:t xml:space="preserve">"The numbers on the Overview tab do not match what I expect."</w:t>
      </w:r>
    </w:p>
    <w:p>
      <w:pPr>
        <w:spacing w:after="160" w:line="276"/>
      </w:pPr>
      <w:r>
        <w:rPr>
          <w:rFonts w:ascii="Calibri" w:cs="Calibri" w:eastAsia="Calibri" w:hAnsi="Calibri"/>
          <w:sz w:val="22"/>
          <w:szCs w:val="22"/>
        </w:rPr>
        <w:t xml:space="preserve">Click straight through the KPI card or row in question. Every one of them is a shortcut into the exact report or account behind it, so you can trace the number instead of guessing. Also check whether a relevant period is still open, and whether any related record has been voided.</w:t>
      </w:r>
    </w:p>
    <w:p>
      <w:pPr>
        <w:spacing w:after="300"/>
      </w:pPr>
    </w:p>
    <w:p>
      <w:pPr>
        <w:pBdr>
          <w:top w:val="single" w:color="C9D6CE" w:sz="4" w:space="8"/>
        </w:pBdr>
        <w:spacing w:before="200"/>
      </w:pPr>
    </w:p>
    <w:p>
      <w:pPr>
        <w:spacing w:after="160" w:line="276"/>
      </w:pPr>
      <w:r>
        <w:rPr>
          <w:rFonts w:ascii="Calibri" w:cs="Calibri" w:eastAsia="Calibri" w:hAnsi="Calibri"/>
          <w:i/>
          <w:iCs/>
          <w:color w:val="5B6470"/>
          <w:sz w:val="22"/>
          <w:szCs w:val="22"/>
        </w:rPr>
        <w:t xml:space="preserve">This manual reflects the SLOT ERP Accounting module as deployed on 19 August 2026. If a screen you see does not match a description here, the app may have changed since then. Flag it so this manual can be kept current.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0"/>
        <w:sz w:val="16"/>
        <w:szCs w:val="16"/>
      </w:rPr>
      <w:t xml:space="preserve">Page </w:t>
    </w:r>
    <w:r>
      <w:rPr>
        <w:rFonts w:ascii="Calibri" w:cs="Calibri" w:eastAsia="Calibri" w:hAnsi="Calibri"/>
        <w:color w:val="5B6470"/>
        <w:sz w:val="16"/>
        <w:szCs w:val="16"/>
      </w:rPr>
      <w:fldChar w:fldCharType="begin"/>
      <w:instrText xml:space="preserve">PAGE</w:instrText>
      <w:fldChar w:fldCharType="separate"/>
      <w:fldChar w:fldCharType="end"/>
    </w:r>
    <w:r>
      <w:rPr>
        <w:rFonts w:ascii="Calibri" w:cs="Calibri" w:eastAsia="Calibri" w:hAnsi="Calibri"/>
        <w:color w:val="5B6470"/>
        <w:sz w:val="16"/>
        <w:szCs w:val="16"/>
      </w:rPr>
      <w:t xml:space="preserve"> of </w:t>
    </w:r>
    <w:r>
      <w:rPr>
        <w:rFonts w:ascii="Calibri" w:cs="Calibri" w:eastAsia="Calibri" w:hAnsi="Calibri"/>
        <w:color w:val="5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470"/>
        <w:sz w:val="16"/>
        <w:szCs w:val="16"/>
      </w:rPr>
      <w:t xml:space="preserve">SLOT Engineering, Accounting Module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pPr>
    <w:rPr>
      <w:rFonts w:ascii="Calibri" w:cs="Calibri" w:eastAsia="Calibri" w:hAnsi="Calibri"/>
      <w:b/>
      <w:bCs/>
      <w:color w:val="0F3A1A"/>
      <w:sz w:val="32"/>
      <w:szCs w:val="32"/>
    </w:rPr>
  </w:style>
  <w:style w:type="paragraph" w:styleId="Heading2">
    <w:name w:val="Heading 2"/>
    <w:basedOn w:val="Normal"/>
    <w:next w:val="Normal"/>
    <w:qFormat/>
    <w:pPr>
      <w:spacing w:after="120" w:before="280"/>
    </w:pPr>
    <w:rPr>
      <w:rFonts w:ascii="Calibri" w:cs="Calibri" w:eastAsia="Calibri" w:hAnsi="Calibri"/>
      <w:b/>
      <w:bCs/>
      <w:color w:val="1E6B3C"/>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2026-08-18T23:59:07.524Z</dcterms:created>
  <dcterms:modified xsi:type="dcterms:W3CDTF">2026-08-18T23:59:07.525Z</dcterms:modified>
</cp:coreProperties>
</file>

<file path=docProps/custom.xml><?xml version="1.0" encoding="utf-8"?>
<Properties xmlns="http://schemas.openxmlformats.org/officeDocument/2006/custom-properties" xmlns:vt="http://schemas.openxmlformats.org/officeDocument/2006/docPropsVTypes"/>
</file>