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0"/>
        <w:jc w:val="center"/>
      </w:pPr>
      <w:r>
        <w:rPr>
          <w:b/>
          <w:bCs/>
          <w:color w:val="1A5C2A"/>
          <w:sz w:val="40"/>
          <w:szCs w:val="40"/>
        </w:rPr>
        <w:t xml:space="preserve">SLOT ENGINEERING NIGERIA LIMITED</w:t>
      </w:r>
    </w:p>
    <w:p>
      <w:pPr>
        <w:spacing w:after="40"/>
        <w:jc w:val="center"/>
      </w:pPr>
      <w:r>
        <w:rPr>
          <w:color w:val="6B7280"/>
          <w:sz w:val="22"/>
          <w:szCs w:val="22"/>
        </w:rPr>
        <w:t xml:space="preserve">ERP v3.0, yemicoreerp.web.app</w:t>
      </w:r>
    </w:p>
    <w:p>
      <w:pPr>
        <w:spacing w:after="40" w:before="500"/>
        <w:jc w:val="center"/>
      </w:pPr>
      <w:r>
        <w:rPr>
          <w:b/>
          <w:bCs/>
          <w:color w:val="182A1C"/>
          <w:sz w:val="32"/>
          <w:szCs w:val="32"/>
        </w:rPr>
        <w:t xml:space="preserve">Procurement Module</w:t>
      </w:r>
    </w:p>
    <w:p>
      <w:pPr>
        <w:spacing w:after="500"/>
        <w:jc w:val="center"/>
      </w:pPr>
      <w:r>
        <w:rPr>
          <w:color w:val="182A1C"/>
          <w:sz w:val="24"/>
          <w:szCs w:val="24"/>
        </w:rPr>
        <w:t xml:space="preserve">Staff Training &amp; Navigation Manual</w:t>
      </w:r>
    </w:p>
    <w:p>
      <w:pPr>
        <w:spacing w:after="40"/>
        <w:jc w:val="center"/>
      </w:pPr>
      <w:r>
        <w:rPr>
          <w:color w:val="6B7280"/>
          <w:sz w:val="20"/>
          <w:szCs w:val="20"/>
        </w:rPr>
        <w:t xml:space="preserve">Prepared for the SLOT Procurement Team</w:t>
      </w:r>
    </w:p>
    <w:p>
      <w:pPr>
        <w:spacing w:after="1600"/>
        <w:jc w:val="center"/>
      </w:pPr>
      <w:r>
        <w:rPr>
          <w:color w:val="6B7280"/>
          <w:sz w:val="20"/>
          <w:szCs w:val="20"/>
        </w:rPr>
        <w:t xml:space="preserve">21 August 2026</w:t>
      </w:r>
    </w:p>
    <w:p>
      <w:pPr>
        <w:pageBreakBefore/>
      </w:pPr>
      <w:r>
        <w:br/>
        <w:t xml:space="preserve"/>
      </w:r>
    </w:p>
    <w:p>
      <w:pPr>
        <w:pStyle w:val="Heading1"/>
        <w:spacing w:after="160" w:before="360"/>
      </w:pPr>
      <w:r>
        <w:rPr>
          <w:b/>
          <w:bCs/>
          <w:color w:val="1A5C2A"/>
          <w:sz w:val="28"/>
          <w:szCs w:val="28"/>
        </w:rPr>
        <w:t xml:space="preserve">Table of Contents</w:t>
      </w:r>
    </w:p>
    <w:p>
      <w:pPr>
        <w:spacing w:after="60"/>
      </w:pPr>
      <w:r>
        <w:t xml:space="preserve">1. Introduction</w:t>
      </w:r>
    </w:p>
    <w:p>
      <w:pPr>
        <w:spacing w:after="60"/>
      </w:pPr>
      <w:r>
        <w:t xml:space="preserve">2. Three Rules That Explain Almost Everything</w:t>
      </w:r>
    </w:p>
    <w:p>
      <w:pPr>
        <w:spacing w:after="60"/>
      </w:pPr>
      <w:r>
        <w:t xml:space="preserve">3. Getting Oriented: The Procurement Screen</w:t>
      </w:r>
    </w:p>
    <w:p>
      <w:pPr>
        <w:spacing w:after="60"/>
      </w:pPr>
      <w:r>
        <w:t xml:space="preserve">4. RFQ: Requesting Quotes</w:t>
      </w:r>
    </w:p>
    <w:p>
      <w:pPr>
        <w:spacing w:after="60"/>
      </w:pPr>
      <w:r>
        <w:t xml:space="preserve">5. Purchase Orders: Client and SLOT</w:t>
      </w:r>
    </w:p>
    <w:p>
      <w:pPr>
        <w:spacing w:after="60"/>
      </w:pPr>
      <w:r>
        <w:t xml:space="preserve">6. Waybills: Recording What Was Delivered</w:t>
      </w:r>
    </w:p>
    <w:p>
      <w:pPr>
        <w:spacing w:after="60"/>
      </w:pPr>
      <w:r>
        <w:t xml:space="preserve">7. Supplier Invoices: Billing What Was Delivered</w:t>
      </w:r>
    </w:p>
    <w:p>
      <w:pPr>
        <w:spacing w:after="60"/>
      </w:pPr>
      <w:r>
        <w:t xml:space="preserve">8. Where This Lands in Accounting</w:t>
      </w:r>
    </w:p>
    <w:p>
      <w:pPr>
        <w:spacing w:after="60"/>
      </w:pPr>
      <w:r>
        <w:t xml:space="preserve">9. Getting Paid: From Procurement to Accounts Payable</w:t>
      </w:r>
    </w:p>
    <w:p>
      <w:pPr>
        <w:spacing w:after="60"/>
      </w:pPr>
      <w:r>
        <w:t xml:space="preserve">10. Vendors and Suppliers: Where Names Come From</w:t>
      </w:r>
    </w:p>
    <w:p>
      <w:pPr>
        <w:spacing w:after="60"/>
      </w:pPr>
      <w:r>
        <w:t xml:space="preserve">11. Permissions: Who Can Do What</w:t>
      </w:r>
    </w:p>
    <w:p>
      <w:pPr>
        <w:spacing w:after="60"/>
      </w:pPr>
      <w:r>
        <w:t xml:space="preserve">12. Troubleshooting and Frequently Asked Questions</w:t>
      </w:r>
    </w:p>
    <w:p>
      <w:pPr>
        <w:spacing w:after="120"/>
      </w:pPr>
    </w:p>
    <w:p>
      <w:pPr>
        <w:spacing w:after="160"/>
      </w:pPr>
      <w:r>
        <w:rPr>
          <w:i/>
          <w:iCs/>
          <w:color w:val="6B7280"/>
          <w:sz w:val="20"/>
          <w:szCs w:val="20"/>
        </w:rPr>
        <w:t xml:space="preserve">Tip: in Word, use View, then Navigation Pane, for one-click jumps to every section heading below.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single" w:color="1A5C2A" w:sz="4"/>
              <w:left w:val="single" w:color="1A5C2A" w:sz="4"/>
              <w:bottom w:val="single" w:color="1A5C2A" w:sz="4"/>
              <w:right w:val="single" w:color="1A5C2A" w:sz="4"/>
            </w:tcBorders>
            <w:shd w:fill="F0F8F2" w:color="auto" w:val="clear"/>
            <w:tcMar>
              <w:top w:type="dxa" w:w="140"/>
              <w:left w:type="dxa" w:w="160"/>
              <w:bottom w:type="dxa" w:w="140"/>
              <w:right w:type="dxa" w:w="160"/>
            </w:tcMar>
          </w:tcPr>
          <w:p>
            <w:pPr>
              <w:spacing w:after="80"/>
            </w:pPr>
            <w:r>
              <w:rPr>
                <w:b/>
                <w:bCs/>
                <w:color w:val="1A5C2A"/>
                <w:sz w:val="20"/>
                <w:szCs w:val="20"/>
              </w:rPr>
              <w:t xml:space="preserve">How to use this manual</w:t>
            </w:r>
          </w:p>
          <w:p>
            <w:pPr>
              <w:spacing w:after="60"/>
            </w:pPr>
            <w:r>
              <w:rPr>
                <w:color w:val="182A1C"/>
                <w:sz w:val="20"/>
                <w:szCs w:val="20"/>
              </w:rPr>
              <w:t xml:space="preserve">Keep this open in one browser tab and the live app open in another. Every section is written as a walk-through, so the screen names, tab names and button labels below match exactly what you will see on screen.</w:t>
            </w:r>
          </w:p>
          <w:p>
            <w:pPr>
              <w:spacing w:after="60"/>
            </w:pPr>
            <w:r>
              <w:rPr>
                <w:color w:val="182A1C"/>
                <w:sz w:val="20"/>
                <w:szCs w:val="20"/>
              </w:rPr>
              <w:t xml:space="preserve">The chain to remember is RFQ, then Purchase Order, then Waybill, then Supplier Invoice. Almost every question about this module comes back to where you are in that chain.</w:t>
            </w:r>
          </w:p>
        </w:tc>
      </w:tr>
    </w:tbl>
    <w:p>
      <w:pPr>
        <w:pStyle w:val="Heading1"/>
        <w:spacing w:after="160" w:before="360"/>
      </w:pPr>
      <w:r>
        <w:rPr>
          <w:b/>
          <w:bCs/>
          <w:color w:val="1A5C2A"/>
          <w:sz w:val="28"/>
          <w:szCs w:val="28"/>
        </w:rPr>
        <w:t xml:space="preserve">1. Introduction</w:t>
      </w:r>
    </w:p>
    <w:p>
      <w:pPr>
        <w:spacing w:after="160"/>
      </w:pPr>
      <w:r>
        <w:t xml:space="preserve">This manual explains how the Procurement module works, from raising a request for quotation through to a supplier invoice that Accounts Payable can pay, and how each step connects into the Accounting module behind it. Procurement is not an island: every purchase order you approve and every invoice you submit here becomes a real journal entry in the General Ledger and a real bill in Accounts Payable, automatically, without anyone retyping it.</w:t>
      </w:r>
    </w:p>
    <w:p>
      <w:pPr>
        <w:spacing w:after="160"/>
      </w:pPr>
      <w:r>
        <w:t xml:space="preserve">The module is built around one linked chain: a Request for Quotation (RFQ) becomes a Purchase Order (PO), an approved PO's deliveries are recorded as Waybills, and a Waybill (or the PO itself, once something has actually been delivered) becomes a Supplier Invoice. Each step only shows you what is left to do from the step before it, so you are never asked to invoice something that was never ordered or never delivered.</w:t>
      </w:r>
    </w:p>
    <w:p>
      <w:pPr>
        <w:spacing w:after="160"/>
      </w:pPr>
      <w:r>
        <w:t xml:space="preserve">This manual is organised so you can read it start to finish, or jump straight to the section that matches whatever screen you are looking at.</w:t>
      </w:r>
    </w:p>
    <w:p>
      <w:pPr>
        <w:pStyle w:val="Heading1"/>
        <w:spacing w:after="160" w:before="360"/>
      </w:pPr>
      <w:r>
        <w:rPr>
          <w:b/>
          <w:bCs/>
          <w:color w:val="1A5C2A"/>
          <w:sz w:val="28"/>
          <w:szCs w:val="28"/>
        </w:rPr>
        <w:t xml:space="preserve">2. Three Rules That Explain Almost Everything</w:t>
      </w:r>
    </w:p>
    <w:p>
      <w:pPr>
        <w:spacing w:after="160"/>
      </w:pPr>
      <w:r>
        <w:t xml:space="preserve">Before touching any screen, it helps to understand these three rules. Nearly every "why does it do that" question in this module traces back to one of them.</w:t>
      </w:r>
    </w:p>
    <w:p>
      <w:pPr>
        <w:pStyle w:val="Heading2"/>
        <w:spacing w:after="120" w:before="260"/>
      </w:pPr>
      <w:r>
        <w:rPr>
          <w:b/>
          <w:bCs/>
          <w:color w:val="182A1C"/>
          <w:sz w:val="24"/>
          <w:szCs w:val="24"/>
        </w:rPr>
        <w:t xml:space="preserve">Rule 1: Every document builds on the one before it</w:t>
      </w:r>
    </w:p>
    <w:p>
      <w:pPr>
        <w:spacing w:after="160"/>
      </w:pPr>
      <w:r>
        <w:t xml:space="preserve">An invoice cannot start from a blank form. There is deliberately no "New Invoice" button anywhere in this module. An invoice can only be created two ways: from an accepted Waybill's "Create Invoice" button, or from an approved Purchase Order's own "+ Invoice" button. Either way, the invoice starts pre-filled with only what has genuinely been delivered and not yet billed, never with the full ordered quantity. This is deliberate, so that every invoice this company raises traces back to a real order and, once a delivery has happened, a real delivery.</w:t>
      </w:r>
    </w:p>
    <w:p>
      <w:pPr>
        <w:pStyle w:val="Heading2"/>
        <w:spacing w:after="120" w:before="260"/>
      </w:pPr>
      <w:r>
        <w:rPr>
          <w:b/>
          <w:bCs/>
          <w:color w:val="182A1C"/>
          <w:sz w:val="24"/>
          <w:szCs w:val="24"/>
        </w:rPr>
        <w:t xml:space="preserve">Rule 2: A document locks once it starts to matter</w:t>
      </w:r>
    </w:p>
    <w:p>
      <w:pPr>
        <w:spacing w:after="160"/>
      </w:pPr>
      <w:r>
        <w:t xml:space="preserve">Each document type in this chain stays editable only until a decision has been made on it, then it locks:</w:t>
      </w:r>
    </w:p>
    <w:p>
      <w:pPr>
        <w:pStyle w:val="ListParagraph"/>
        <w:numPr>
          <w:ilvl w:val="0"/>
          <w:numId w:val="1"/>
        </w:numPr>
        <w:spacing w:after="100"/>
      </w:pPr>
      <w:r>
        <w:t xml:space="preserve">RFQ: editable while its status is "Sourcing." Locks once it moves past that.</w:t>
      </w:r>
    </w:p>
    <w:p>
      <w:pPr>
        <w:pStyle w:val="ListParagraph"/>
        <w:numPr>
          <w:ilvl w:val="0"/>
          <w:numId w:val="1"/>
        </w:numPr>
        <w:spacing w:after="100"/>
      </w:pPr>
      <w:r>
        <w:t xml:space="preserve">Purchase Order: editable while "Draft" or "Pending" approval. Locks the moment it becomes Approved, Partial, Complete, Rejected or Cancelled.</w:t>
      </w:r>
    </w:p>
    <w:p>
      <w:pPr>
        <w:pStyle w:val="ListParagraph"/>
        <w:numPr>
          <w:ilvl w:val="0"/>
          <w:numId w:val="1"/>
        </w:numPr>
        <w:spacing w:after="100"/>
      </w:pPr>
      <w:r>
        <w:t xml:space="preserve">Waybill: editable while its status is "Pending Inspection." Locks the instant you save it as Accepted, Partially Accepted or Rejected.</w:t>
      </w:r>
    </w:p>
    <w:p>
      <w:pPr>
        <w:pStyle w:val="ListParagraph"/>
        <w:numPr>
          <w:ilvl w:val="0"/>
          <w:numId w:val="1"/>
        </w:numPr>
        <w:spacing w:after="100"/>
      </w:pPr>
      <w:r>
        <w:t xml:space="preserve">Supplier Invoice: locks immediately once saved. Only Void, Mark as Paid and a few delivery-date fields remain reachable after that.</w:t>
      </w:r>
    </w:p>
    <w:p>
      <w:pPr>
        <w:spacing w:after="160"/>
      </w:pPr>
      <w:r>
        <w:t xml:space="preserve">The practical warning that follows from this: do not change a Status dropdown just to see what happens. On a Waybill in particular, saving with a status other than "Pending Inspection" locks that record permanently, with no way back in to fix a quantity you typed incorrectly. Get the numbers right before you change the status.</w:t>
      </w:r>
    </w:p>
    <w:p>
      <w:pPr>
        <w:pStyle w:val="Heading2"/>
        <w:spacing w:after="120" w:before="260"/>
      </w:pPr>
      <w:r>
        <w:rPr>
          <w:b/>
          <w:bCs/>
          <w:color w:val="182A1C"/>
          <w:sz w:val="24"/>
          <w:szCs w:val="24"/>
        </w:rPr>
        <w:t xml:space="preserve">Rule 3: Nothing that has already mattered gets deleted, only voided or cancelled</w:t>
      </w:r>
    </w:p>
    <w:p>
      <w:pPr>
        <w:spacing w:after="160"/>
      </w:pPr>
      <w:r>
        <w:t xml:space="preserve">Only an Admin can delete a record in this module at all, and even then, deleting is meant for a genuine mistake caught early, a duplicate created seconds ago, not a real document other people have already acted on. Once a Supplier Invoice has been saved, it is already visible, automatically, in Accounts Payable and already on its way into the General Ledger. Deleting it at that point does not clean up either of those, it just leaves them pointing at a record that no longer exists. The correct way to cancel a saved invoice is the red "Void" button inside it, which asks for a reason and sets its status to Cancelled without erasing it. The invoice stays on file, but stops counting toward what is owed or already billed.</w:t>
      </w:r>
    </w:p>
    <w:p>
      <w:pPr>
        <w:pStyle w:val="Heading1"/>
        <w:spacing w:after="160" w:before="360"/>
      </w:pPr>
      <w:r>
        <w:rPr>
          <w:b/>
          <w:bCs/>
          <w:color w:val="1A5C2A"/>
          <w:sz w:val="28"/>
          <w:szCs w:val="28"/>
        </w:rPr>
        <w:t xml:space="preserve">3. Getting Oriented: The Procurement Screen</w:t>
      </w:r>
    </w:p>
    <w:p>
      <w:pPr>
        <w:spacing w:after="160"/>
      </w:pPr>
      <w:r>
        <w:t xml:space="preserve">Path: Operations, then Procurement. The screen has four tabs across the top:</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0"/>
        <w:gridCol w:w="7066"/>
      </w:tblGrid>
      <w:tr>
        <w:trPr>
          <w:tblHeader/>
        </w:trPr>
        <w:tc>
          <w:tcPr>
            <w:tcW w:type="dxa" w:w="2680"/>
            <w:shd w:fill="1A5C2A" w:color="auto" w:val="clear"/>
            <w:tcMar>
              <w:top w:type="dxa" w:w="80"/>
              <w:left w:type="dxa" w:w="100"/>
              <w:bottom w:type="dxa" w:w="80"/>
              <w:right w:type="dxa" w:w="100"/>
            </w:tcMar>
          </w:tcPr>
          <w:p>
            <w:pPr>
              <w:spacing w:after="0"/>
            </w:pPr>
            <w:r>
              <w:rPr>
                <w:b/>
                <w:bCs/>
                <w:color w:val="FFFFFF"/>
                <w:sz w:val="18"/>
                <w:szCs w:val="18"/>
              </w:rPr>
              <w:t xml:space="preserve">Tab</w:t>
            </w:r>
          </w:p>
        </w:tc>
        <w:tc>
          <w:tcPr>
            <w:tcW w:type="dxa" w:w="7066"/>
            <w:shd w:fill="1A5C2A" w:color="auto" w:val="clear"/>
            <w:tcMar>
              <w:top w:type="dxa" w:w="80"/>
              <w:left w:type="dxa" w:w="100"/>
              <w:bottom w:type="dxa" w:w="80"/>
              <w:right w:type="dxa" w:w="100"/>
            </w:tcMar>
          </w:tcPr>
          <w:p>
            <w:pPr>
              <w:spacing w:after="0"/>
            </w:pPr>
            <w:r>
              <w:rPr>
                <w:b/>
                <w:bCs/>
                <w:color w:val="FFFFFF"/>
                <w:sz w:val="18"/>
                <w:szCs w:val="18"/>
              </w:rPr>
              <w:t xml:space="preserve">What it is for</w:t>
            </w:r>
          </w:p>
        </w:tc>
      </w:tr>
      <w:tr>
        <w:tc>
          <w:tcPr>
            <w:tcW w:type="dxa" w:w="2680"/>
            <w:tcMar>
              <w:top w:type="dxa" w:w="80"/>
              <w:left w:type="dxa" w:w="100"/>
              <w:bottom w:type="dxa" w:w="80"/>
              <w:right w:type="dxa" w:w="100"/>
            </w:tcMar>
          </w:tcPr>
          <w:p>
            <w:pPr>
              <w:spacing w:after="0"/>
            </w:pPr>
            <w:r>
              <w:rPr>
                <w:b w:val="false"/>
                <w:bCs w:val="false"/>
                <w:color w:val="182A1C"/>
                <w:sz w:val="20"/>
                <w:szCs w:val="20"/>
              </w:rPr>
              <w:t xml:space="preserve">RFQ / Enquiry</w:t>
            </w:r>
          </w:p>
        </w:tc>
        <w:tc>
          <w:tcPr>
            <w:tcW w:type="dxa" w:w="7066"/>
            <w:tcMar>
              <w:top w:type="dxa" w:w="80"/>
              <w:left w:type="dxa" w:w="100"/>
              <w:bottom w:type="dxa" w:w="80"/>
              <w:right w:type="dxa" w:w="100"/>
            </w:tcMar>
          </w:tcPr>
          <w:p>
            <w:pPr>
              <w:spacing w:after="0"/>
            </w:pPr>
            <w:r>
              <w:rPr>
                <w:b w:val="false"/>
                <w:bCs w:val="false"/>
                <w:color w:val="182A1C"/>
                <w:sz w:val="20"/>
                <w:szCs w:val="20"/>
              </w:rPr>
              <w:t xml:space="preserve">Requests for quotation, the starting point for a Client Purchase Order. Records what was asked for and at what estimated price, before a supplier or client has committed to anything.</w:t>
            </w:r>
          </w:p>
        </w:tc>
      </w:tr>
      <w:tr>
        <w:tc>
          <w:tcPr>
            <w:tcW w:type="dxa" w:w="2680"/>
            <w:shd w:fill="F0F8F2" w:color="auto" w:val="clear"/>
            <w:tcMar>
              <w:top w:type="dxa" w:w="80"/>
              <w:left w:type="dxa" w:w="100"/>
              <w:bottom w:type="dxa" w:w="80"/>
              <w:right w:type="dxa" w:w="100"/>
            </w:tcMar>
          </w:tcPr>
          <w:p>
            <w:pPr>
              <w:spacing w:after="0"/>
            </w:pPr>
            <w:r>
              <w:rPr>
                <w:b w:val="false"/>
                <w:bCs w:val="false"/>
                <w:color w:val="182A1C"/>
                <w:sz w:val="20"/>
                <w:szCs w:val="20"/>
              </w:rPr>
              <w:t xml:space="preserve">Purchase Orders</w:t>
            </w:r>
          </w:p>
        </w:tc>
        <w:tc>
          <w:tcPr>
            <w:tcW w:type="dxa" w:w="7066"/>
            <w:shd w:fill="F0F8F2" w:color="auto" w:val="clear"/>
            <w:tcMar>
              <w:top w:type="dxa" w:w="80"/>
              <w:left w:type="dxa" w:w="100"/>
              <w:bottom w:type="dxa" w:w="80"/>
              <w:right w:type="dxa" w:w="100"/>
            </w:tcMar>
          </w:tcPr>
          <w:p>
            <w:pPr>
              <w:spacing w:after="0"/>
            </w:pPr>
            <w:r>
              <w:rPr>
                <w:b w:val="false"/>
                <w:bCs w:val="false"/>
                <w:color w:val="182A1C"/>
                <w:sz w:val="20"/>
                <w:szCs w:val="20"/>
              </w:rPr>
              <w:t xml:space="preserve">The authorised order itself, Client-facing or SLOT-internal, with line items, pricing, and the approval chain that has to clear before it can be delivered against.</w:t>
            </w:r>
          </w:p>
        </w:tc>
      </w:tr>
      <w:tr>
        <w:tc>
          <w:tcPr>
            <w:tcW w:type="dxa" w:w="2680"/>
            <w:tcMar>
              <w:top w:type="dxa" w:w="80"/>
              <w:left w:type="dxa" w:w="100"/>
              <w:bottom w:type="dxa" w:w="80"/>
              <w:right w:type="dxa" w:w="100"/>
            </w:tcMar>
          </w:tcPr>
          <w:p>
            <w:pPr>
              <w:spacing w:after="0"/>
            </w:pPr>
            <w:r>
              <w:rPr>
                <w:b w:val="false"/>
                <w:bCs w:val="false"/>
                <w:color w:val="182A1C"/>
                <w:sz w:val="20"/>
                <w:szCs w:val="20"/>
              </w:rPr>
              <w:t xml:space="preserve">Waybills / Delivery</w:t>
            </w:r>
          </w:p>
        </w:tc>
        <w:tc>
          <w:tcPr>
            <w:tcW w:type="dxa" w:w="7066"/>
            <w:tcMar>
              <w:top w:type="dxa" w:w="80"/>
              <w:left w:type="dxa" w:w="100"/>
              <w:bottom w:type="dxa" w:w="80"/>
              <w:right w:type="dxa" w:w="100"/>
            </w:tcMar>
          </w:tcPr>
          <w:p>
            <w:pPr>
              <w:spacing w:after="0"/>
            </w:pPr>
            <w:r>
              <w:rPr>
                <w:b w:val="false"/>
                <w:bCs w:val="false"/>
                <w:color w:val="182A1C"/>
                <w:sz w:val="20"/>
                <w:szCs w:val="20"/>
              </w:rPr>
              <w:t xml:space="preserve">What actually arrived, against which PO, on which date, accepted or not. This is where partial deliveries get tracked over time.</w:t>
            </w:r>
          </w:p>
        </w:tc>
      </w:tr>
      <w:tr>
        <w:tc>
          <w:tcPr>
            <w:tcW w:type="dxa" w:w="2680"/>
            <w:shd w:fill="F0F8F2" w:color="auto" w:val="clear"/>
            <w:tcMar>
              <w:top w:type="dxa" w:w="80"/>
              <w:left w:type="dxa" w:w="100"/>
              <w:bottom w:type="dxa" w:w="80"/>
              <w:right w:type="dxa" w:w="100"/>
            </w:tcMar>
          </w:tcPr>
          <w:p>
            <w:pPr>
              <w:spacing w:after="0"/>
            </w:pPr>
            <w:r>
              <w:rPr>
                <w:b w:val="false"/>
                <w:bCs w:val="false"/>
                <w:color w:val="182A1C"/>
                <w:sz w:val="20"/>
                <w:szCs w:val="20"/>
              </w:rPr>
              <w:t xml:space="preserve">Supplier Invoices</w:t>
            </w:r>
          </w:p>
        </w:tc>
        <w:tc>
          <w:tcPr>
            <w:tcW w:type="dxa" w:w="7066"/>
            <w:shd w:fill="F0F8F2" w:color="auto" w:val="clear"/>
            <w:tcMar>
              <w:top w:type="dxa" w:w="80"/>
              <w:left w:type="dxa" w:w="100"/>
              <w:bottom w:type="dxa" w:w="80"/>
              <w:right w:type="dxa" w:w="100"/>
            </w:tcMar>
          </w:tcPr>
          <w:p>
            <w:pPr>
              <w:spacing w:after="0"/>
            </w:pPr>
            <w:r>
              <w:rPr>
                <w:b w:val="false"/>
                <w:bCs w:val="false"/>
                <w:color w:val="182A1C"/>
                <w:sz w:val="20"/>
                <w:szCs w:val="20"/>
              </w:rPr>
              <w:t xml:space="preserve">The bill for what was delivered. Always created from a Waybill or a PO, never from a blank form. Automatically lands in Accounts Payable once saved.</w:t>
            </w:r>
          </w:p>
        </w:tc>
      </w:tr>
    </w:tbl>
    <w:p>
      <w:pPr>
        <w:spacing w:after="160"/>
      </w:pPr>
    </w:p>
    <w:p>
      <w:pPr>
        <w:spacing w:after="160"/>
      </w:pPr>
      <w:r>
        <w:t xml:space="preserve">Four KPI cards sit above the tabs and stay visible no matter which tab is open. Each one is clickable and jumps straight to the tab it summarises:</w:t>
      </w:r>
    </w:p>
    <w:p>
      <w:pPr>
        <w:pStyle w:val="ListParagraph"/>
        <w:numPr>
          <w:ilvl w:val="0"/>
          <w:numId w:val="1"/>
        </w:numPr>
        <w:spacing w:after="100"/>
      </w:pPr>
      <w:r>
        <w:t xml:space="preserve">Total RFQs: how many requests for quotation exist in total.</w:t>
      </w:r>
    </w:p>
    <w:p>
      <w:pPr>
        <w:pStyle w:val="ListParagraph"/>
        <w:numPr>
          <w:ilvl w:val="0"/>
          <w:numId w:val="1"/>
        </w:numPr>
        <w:spacing w:after="100"/>
      </w:pPr>
      <w:r>
        <w:t xml:space="preserve">Active POs: purchase orders currently Approved or Partial (part-delivered), with a note underneath for how many are still sitting in Draft, waiting to be submitted for approval.</w:t>
      </w:r>
    </w:p>
    <w:p>
      <w:pPr>
        <w:pStyle w:val="ListParagraph"/>
        <w:numPr>
          <w:ilvl w:val="0"/>
          <w:numId w:val="1"/>
        </w:numPr>
        <w:spacing w:after="100"/>
      </w:pPr>
      <w:r>
        <w:t xml:space="preserve">Total Waybills: how many delivery records exist in total.</w:t>
      </w:r>
    </w:p>
    <w:p>
      <w:pPr>
        <w:pStyle w:val="ListParagraph"/>
        <w:numPr>
          <w:ilvl w:val="0"/>
          <w:numId w:val="1"/>
        </w:numPr>
        <w:spacing w:after="100"/>
      </w:pPr>
      <w:r>
        <w:t xml:space="preserve">Pending Invoices: invoices still awaiting payment, with the combined value of every purchase order on file underneath it for context.</w:t>
      </w:r>
    </w:p>
    <w:p>
      <w:pPr>
        <w:spacing w:after="160"/>
      </w:pPr>
      <w:r>
        <w:t xml:space="preserve">Each tab has its own search box and, where it makes sense, an Add button, "+ New RFQ," "+ New Client PO" or "+ New SLOT PO" depending on which PO type pill is selected, and "+ New Waybill." The Supplier Invoices tab has no Add button at all, by design, see Rule 1 above.</w:t>
      </w:r>
    </w:p>
    <w:p>
      <w:pPr>
        <w:pStyle w:val="Heading1"/>
        <w:spacing w:after="160" w:before="360"/>
      </w:pPr>
      <w:r>
        <w:rPr>
          <w:b/>
          <w:bCs/>
          <w:color w:val="1A5C2A"/>
          <w:sz w:val="28"/>
          <w:szCs w:val="28"/>
        </w:rPr>
        <w:t xml:space="preserve">4. RFQ: Requesting Quotes</w:t>
      </w:r>
    </w:p>
    <w:p>
      <w:pPr>
        <w:spacing w:after="160"/>
      </w:pPr>
      <w:r>
        <w:t xml:space="preserve">An RFQ records what a client is asking for and, as quotes come in, what it will likely cost, before any order is placed. Its status moves through Sourcing, Bids Submitted, PO Received, PO Issued and Delivered, or Cancelled at any point.</w:t>
      </w:r>
    </w:p>
    <w:p>
      <w:pPr>
        <w:spacing w:after="160"/>
      </w:pPr>
      <w:r>
        <w:t xml:space="preserve">Fields worth knowing: RFQ Number is auto-generated once saved. Client Name is a free-text box with suggestions pulled from the client list, type a new name if the client is not on it yet, or pick a suggestion to keep the spelling consistent for reporting. Each line item carries a description, quantity, unit and an estimated unit price, estimated prices can be left blank until a real quote comes in, an unpriced line prints and displays as a dash, not a false ₦0.00.</w:t>
      </w:r>
    </w:p>
    <w:p>
      <w:pPr>
        <w:spacing w:after="160"/>
      </w:pPr>
      <w:r>
        <w:t xml:space="preserve">An RFQ stays fully editable while its status is "Sourcing," exactly when estimated prices are still being updated as quotes arrive. Once you move it past Sourcing, it locks. When its status is set to "PO Received," a "Create PO" button appears at the top of the record, this is the normal way a Client Purchase Order gets started, carrying the client name, description and line items across automatically so nothing has to be retyped.</w:t>
      </w:r>
    </w:p>
    <w:p>
      <w:pPr>
        <w:pStyle w:val="Heading1"/>
        <w:spacing w:after="160" w:before="360"/>
      </w:pPr>
      <w:r>
        <w:rPr>
          <w:b/>
          <w:bCs/>
          <w:color w:val="1A5C2A"/>
          <w:sz w:val="28"/>
          <w:szCs w:val="28"/>
        </w:rPr>
        <w:t xml:space="preserve">5. Purchase Orders: Client and SLOT</w:t>
      </w:r>
    </w:p>
    <w:p>
      <w:pPr>
        <w:spacing w:after="160"/>
      </w:pPr>
      <w:r>
        <w:t xml:space="preserve">Every Purchase Order is one of two types, chosen when it is first created:</w:t>
      </w:r>
    </w:p>
    <w:p>
      <w:pPr>
        <w:pStyle w:val="ListParagraph"/>
        <w:numPr>
          <w:ilvl w:val="0"/>
          <w:numId w:val="1"/>
        </w:numPr>
        <w:spacing w:after="100"/>
      </w:pPr>
      <w:r>
        <w:t xml:space="preserve">Client Purchase Order: the normal chain. Once approved, it can generate real Waybill and Supplier Invoice records against it.</w:t>
      </w:r>
    </w:p>
    <w:p>
      <w:pPr>
        <w:pStyle w:val="ListParagraph"/>
        <w:numPr>
          <w:ilvl w:val="0"/>
          <w:numId w:val="1"/>
        </w:numPr>
        <w:spacing w:after="100"/>
      </w:pPr>
      <w:r>
        <w:t xml:space="preserve">SLOT Purchase Order: internal SLOT purchasing. No waybill or invoice records are generated automatically, instead there are two plain text fields on the PO itself, Waybill Reference No. and Invoice Reference No., for staff to note down manually once those documents exist elsewhere.</w:t>
      </w:r>
    </w:p>
    <w:p>
      <w:pPr>
        <w:spacing w:after="160"/>
      </w:pPr>
      <w:r>
        <w:t xml:space="preserve">Key fields: PO Date, Expected Delivery Date (shown with a live countdown, "3 days left" or "2 days overdue," once saved) and Actual Delivery Date. Supplier or Client Name is free text with suggestions from the vendor or client list, matching the same type-or-pick pattern as the RFQ. Payment Terms is a dropdown (Net 7 through Net 60, or advance/full-payment variants). Expense Category, Materials, Services, Logistics, Labour, Maintenance or Other, is set here, at approval time, because this is the point the spend is actually authorised, and it decides which General Ledger expense account the eventual invoice posts to, see Section 8. Currency defaults to NGN, choosing a foreign currency reveals an exchange rate field that must be filled in, more on why in Section 8. VAT Rate defaults to 7.5% but is editable per PO.</w:t>
      </w:r>
    </w:p>
    <w:p>
      <w:pPr>
        <w:spacing w:after="160"/>
      </w:pPr>
      <w:r>
        <w:t xml:space="preserve">A PO stays fully editable while it is Draft or Pending approval. It locks permanently the moment it becomes Approved, Partial, Complete, Rejected or Cancelled, because deliveries and invoices start referencing its exact lines and pricing from that point on. Once locked, only a small number of fields remain reachable: Actual Delivery Date always, and, for SLOT-type POs only, the two manual reference fields mentioned above.</w:t>
      </w:r>
    </w:p>
    <w:p>
      <w:pPr>
        <w:pStyle w:val="Heading2"/>
        <w:spacing w:after="120" w:before="260"/>
      </w:pPr>
      <w:r>
        <w:rPr>
          <w:b/>
          <w:bCs/>
          <w:color w:val="182A1C"/>
          <w:sz w:val="24"/>
          <w:szCs w:val="24"/>
        </w:rPr>
        <w:t xml:space="preserve">The approval chain</w:t>
      </w:r>
    </w:p>
    <w:p>
      <w:pPr>
        <w:spacing w:after="160"/>
      </w:pPr>
      <w:r>
        <w:t xml:space="preserve">A Purchase Order cannot be marked Approved directly from a dropdown. Instead, a Draft PO is submitted for approval, and clears a chain of sign-offs sized to its value: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98"/>
        <w:gridCol w:w="5848"/>
      </w:tblGrid>
      <w:tr>
        <w:trPr>
          <w:tblHeader/>
        </w:trPr>
        <w:tc>
          <w:tcPr>
            <w:tcW w:type="dxa" w:w="3898"/>
            <w:shd w:fill="1A5C2A" w:color="auto" w:val="clear"/>
            <w:tcMar>
              <w:top w:type="dxa" w:w="80"/>
              <w:left w:type="dxa" w:w="100"/>
              <w:bottom w:type="dxa" w:w="80"/>
              <w:right w:type="dxa" w:w="100"/>
            </w:tcMar>
          </w:tcPr>
          <w:p>
            <w:pPr>
              <w:spacing w:after="0"/>
            </w:pPr>
            <w:r>
              <w:rPr>
                <w:b/>
                <w:bCs/>
                <w:color w:val="FFFFFF"/>
                <w:sz w:val="18"/>
                <w:szCs w:val="18"/>
              </w:rPr>
              <w:t xml:space="preserve">PO Total (NGN)</w:t>
            </w:r>
          </w:p>
        </w:tc>
        <w:tc>
          <w:tcPr>
            <w:tcW w:type="dxa" w:w="5848"/>
            <w:shd w:fill="1A5C2A" w:color="auto" w:val="clear"/>
            <w:tcMar>
              <w:top w:type="dxa" w:w="80"/>
              <w:left w:type="dxa" w:w="100"/>
              <w:bottom w:type="dxa" w:w="80"/>
              <w:right w:type="dxa" w:w="100"/>
            </w:tcMar>
          </w:tcPr>
          <w:p>
            <w:pPr>
              <w:spacing w:after="0"/>
            </w:pPr>
            <w:r>
              <w:rPr>
                <w:b/>
                <w:bCs/>
                <w:color w:val="FFFFFF"/>
                <w:sz w:val="18"/>
                <w:szCs w:val="18"/>
              </w:rPr>
              <w:t xml:space="preserve">Approval chain required</w:t>
            </w:r>
          </w:p>
        </w:tc>
      </w:tr>
      <w:tr>
        <w:tc>
          <w:tcPr>
            <w:tcW w:type="dxa" w:w="3898"/>
            <w:tcMar>
              <w:top w:type="dxa" w:w="80"/>
              <w:left w:type="dxa" w:w="100"/>
              <w:bottom w:type="dxa" w:w="80"/>
              <w:right w:type="dxa" w:w="100"/>
            </w:tcMar>
          </w:tcPr>
          <w:p>
            <w:pPr>
              <w:spacing w:after="0"/>
            </w:pPr>
            <w:r>
              <w:rPr>
                <w:b w:val="false"/>
                <w:bCs w:val="false"/>
                <w:color w:val="182A1C"/>
                <w:sz w:val="20"/>
                <w:szCs w:val="20"/>
              </w:rPr>
              <w:t xml:space="preserve">Up to ₦500,000</w:t>
            </w:r>
          </w:p>
        </w:tc>
        <w:tc>
          <w:tcPr>
            <w:tcW w:type="dxa" w:w="5848"/>
            <w:tcMar>
              <w:top w:type="dxa" w:w="80"/>
              <w:left w:type="dxa" w:w="100"/>
              <w:bottom w:type="dxa" w:w="80"/>
              <w:right w:type="dxa" w:w="100"/>
            </w:tcMar>
          </w:tcPr>
          <w:p>
            <w:pPr>
              <w:spacing w:after="0"/>
            </w:pPr>
            <w:r>
              <w:rPr>
                <w:b w:val="false"/>
                <w:bCs w:val="false"/>
                <w:color w:val="182A1C"/>
                <w:sz w:val="20"/>
                <w:szCs w:val="20"/>
              </w:rPr>
              <w:t xml:space="preserve">Manager (1 level)</w:t>
            </w:r>
          </w:p>
        </w:tc>
      </w:tr>
      <w:tr>
        <w:tc>
          <w:tcPr>
            <w:tcW w:type="dxa" w:w="3898"/>
            <w:shd w:fill="F0F8F2" w:color="auto" w:val="clear"/>
            <w:tcMar>
              <w:top w:type="dxa" w:w="80"/>
              <w:left w:type="dxa" w:w="100"/>
              <w:bottom w:type="dxa" w:w="80"/>
              <w:right w:type="dxa" w:w="100"/>
            </w:tcMar>
          </w:tcPr>
          <w:p>
            <w:pPr>
              <w:spacing w:after="0"/>
            </w:pPr>
            <w:r>
              <w:rPr>
                <w:b w:val="false"/>
                <w:bCs w:val="false"/>
                <w:color w:val="182A1C"/>
                <w:sz w:val="20"/>
                <w:szCs w:val="20"/>
              </w:rPr>
              <w:t xml:space="preserve">₦500,000.01 to ₦2,000,000</w:t>
            </w:r>
          </w:p>
        </w:tc>
        <w:tc>
          <w:tcPr>
            <w:tcW w:type="dxa" w:w="5848"/>
            <w:shd w:fill="F0F8F2" w:color="auto" w:val="clear"/>
            <w:tcMar>
              <w:top w:type="dxa" w:w="80"/>
              <w:left w:type="dxa" w:w="100"/>
              <w:bottom w:type="dxa" w:w="80"/>
              <w:right w:type="dxa" w:w="100"/>
            </w:tcMar>
          </w:tcPr>
          <w:p>
            <w:pPr>
              <w:spacing w:after="0"/>
            </w:pPr>
            <w:r>
              <w:rPr>
                <w:b w:val="false"/>
                <w:bCs w:val="false"/>
                <w:color w:val="182A1C"/>
                <w:sz w:val="20"/>
                <w:szCs w:val="20"/>
              </w:rPr>
              <w:t xml:space="preserve">Manager, then Accountant (2 levels)</w:t>
            </w:r>
          </w:p>
        </w:tc>
      </w:tr>
      <w:tr>
        <w:tc>
          <w:tcPr>
            <w:tcW w:type="dxa" w:w="3898"/>
            <w:tcMar>
              <w:top w:type="dxa" w:w="80"/>
              <w:left w:type="dxa" w:w="100"/>
              <w:bottom w:type="dxa" w:w="80"/>
              <w:right w:type="dxa" w:w="100"/>
            </w:tcMar>
          </w:tcPr>
          <w:p>
            <w:pPr>
              <w:spacing w:after="0"/>
            </w:pPr>
            <w:r>
              <w:rPr>
                <w:b w:val="false"/>
                <w:bCs w:val="false"/>
                <w:color w:val="182A1C"/>
                <w:sz w:val="20"/>
                <w:szCs w:val="20"/>
              </w:rPr>
              <w:t xml:space="preserve">Above ₦2,000,000</w:t>
            </w:r>
          </w:p>
        </w:tc>
        <w:tc>
          <w:tcPr>
            <w:tcW w:type="dxa" w:w="5848"/>
            <w:tcMar>
              <w:top w:type="dxa" w:w="80"/>
              <w:left w:type="dxa" w:w="100"/>
              <w:bottom w:type="dxa" w:w="80"/>
              <w:right w:type="dxa" w:w="100"/>
            </w:tcMar>
          </w:tcPr>
          <w:p>
            <w:pPr>
              <w:spacing w:after="0"/>
            </w:pPr>
            <w:r>
              <w:rPr>
                <w:b w:val="false"/>
                <w:bCs w:val="false"/>
                <w:color w:val="182A1C"/>
                <w:sz w:val="20"/>
                <w:szCs w:val="20"/>
              </w:rPr>
              <w:t xml:space="preserve">Manager, then Accountant, then Admin (3 levels)</w:t>
            </w:r>
          </w:p>
        </w:tc>
      </w:tr>
    </w:tbl>
    <w:p>
      <w:pPr>
        <w:spacing w:after="160"/>
      </w:pPr>
    </w:p>
    <w:p>
      <w:pPr>
        <w:spacing w:after="160"/>
      </w:pPr>
      <w:r>
        <w:t xml:space="preserve">Whoever is logged in can approve at a given level only if their role matches that level of the chain, an Accountant can approve the accountant-level step of a mid-sized PO even though Accountants cannot approve things elsewhere in the app, this chain checks the role by name, not the general approval permission. An Admin can always approve at any level, regardless of the band. Each approval or rejection is timestamped and kept with an optional note, so the full sign-off history stays visible on the PO once it is open. A rejection stops the chain immediately, there is no partial approval past a rejection.</w:t>
      </w:r>
    </w:p>
    <w:p>
      <w:pPr>
        <w:spacing w:after="160"/>
      </w:pPr>
      <w:r>
        <w:t xml:space="preserve">Once a Client PO is Approved (or Partial, meaning some of it has already been delivered), two buttons appear on it: "+ Waybill" and "+ Invoice." These never appear on a SLOT-type PO.</w:t>
      </w:r>
    </w:p>
    <w:p>
      <w:pPr>
        <w:pStyle w:val="Heading1"/>
        <w:spacing w:after="160" w:before="360"/>
      </w:pPr>
      <w:r>
        <w:rPr>
          <w:b/>
          <w:bCs/>
          <w:color w:val="1A5C2A"/>
          <w:sz w:val="28"/>
          <w:szCs w:val="28"/>
        </w:rPr>
        <w:t xml:space="preserve">6. Waybills: Recording What Was Delivered</w:t>
      </w:r>
    </w:p>
    <w:p>
      <w:pPr>
        <w:spacing w:after="160"/>
      </w:pPr>
      <w:r>
        <w:t xml:space="preserve">A Waybill records one delivery against one Purchase Order. Deliveries against the same PO are often partial and spread across several trips, so a new Waybill only lists the PO's lines that still have quantity outstanding, anything already fully delivered on a previous waybill drops off the list entirely, and if every line has already landed, the form simply says so.</w:t>
      </w:r>
    </w:p>
    <w:p>
      <w:pPr>
        <w:spacing w:after="160"/>
      </w:pPr>
      <w:r>
        <w:t xml:space="preserve">Fields: Waybill Number (auto-generated), Date Delivered, Delivered By, Vehicle/Truck No., Driver Name, Delivery Address, Notes, and a Status of Pending Inspection, Accepted, Partially Accepted or Rejected, that is the complete list of statuses, there is no separate "Delivered" state. Each outstanding line shows Ordered Qty, Previous Delivered, and a "This Delivery" field for what actually came off the truck this trip.</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single" w:color="1A5C2A" w:sz="4"/>
              <w:left w:val="single" w:color="1A5C2A" w:sz="4"/>
              <w:bottom w:val="single" w:color="1A5C2A" w:sz="4"/>
              <w:right w:val="single" w:color="1A5C2A" w:sz="4"/>
            </w:tcBorders>
            <w:shd w:fill="F0F8F2" w:color="auto" w:val="clear"/>
            <w:tcMar>
              <w:top w:type="dxa" w:w="140"/>
              <w:left w:type="dxa" w:w="160"/>
              <w:bottom w:type="dxa" w:w="140"/>
              <w:right w:type="dxa" w:w="160"/>
            </w:tcMar>
          </w:tcPr>
          <w:p>
            <w:pPr>
              <w:spacing w:after="80"/>
            </w:pPr>
            <w:r>
              <w:rPr>
                <w:b/>
                <w:bCs/>
                <w:color w:val="1A5C2A"/>
                <w:sz w:val="20"/>
                <w:szCs w:val="20"/>
              </w:rPr>
              <w:t xml:space="preserve">Important: a Waybill locks the moment you record a decision</w:t>
            </w:r>
          </w:p>
          <w:p>
            <w:pPr>
              <w:spacing w:after="60"/>
            </w:pPr>
            <w:r>
              <w:rPr>
                <w:color w:val="182A1C"/>
                <w:sz w:val="20"/>
                <w:szCs w:val="20"/>
              </w:rPr>
              <w:t xml:space="preserve">A Waybill stays editable for as long as it is saved with Status = Pending Inspection, exactly the window where item quantities are still being confirmed against what physically arrived.</w:t>
            </w:r>
          </w:p>
          <w:p>
            <w:pPr>
              <w:spacing w:after="60"/>
            </w:pPr>
            <w:r>
              <w:rPr>
                <w:color w:val="182A1C"/>
                <w:sz w:val="20"/>
                <w:szCs w:val="20"/>
              </w:rPr>
              <w:t xml:space="preserve">The moment you save it with Status = Accepted, Partially Accepted or Rejected, every field locks permanently. There is no unlock-and-fix-it-later path.</w:t>
            </w:r>
          </w:p>
          <w:p>
            <w:pPr>
              <w:spacing w:after="60"/>
            </w:pPr>
            <w:r>
              <w:rPr>
                <w:color w:val="182A1C"/>
                <w:sz w:val="20"/>
                <w:szCs w:val="20"/>
              </w:rPr>
              <w:t xml:space="preserve">Practical rule: finish entering the correct "This Delivery" quantities first, and only change the Status dropdown once you are certain those numbers are final.</w:t>
            </w:r>
          </w:p>
        </w:tc>
      </w:tr>
    </w:tbl>
    <w:p>
      <w:pPr>
        <w:spacing w:after="160"/>
      </w:pPr>
      <w:r>
        <w:t xml:space="preserve">Printing a Waybill (the "Goods Received Note") only lists lines that actually had a quantity delivered on that trip, a partial delivery's printout does not pad itself out with rows of "0 units" for whatever stayed behind, a footnote instead states how many further items on the PO were not delivered this trip. The sheet carries three signature lines: Driver, Delivered By, and Store/Warehouse Officer.</w:t>
      </w:r>
    </w:p>
    <w:p>
      <w:pPr>
        <w:spacing w:after="160"/>
      </w:pPr>
      <w:r>
        <w:t xml:space="preserve">Once a Waybill is saved as "Accepted" (not Partially Accepted, not Rejected), a "Create Invoice" button appears on it, provided nothing has been invoiced against this specific waybill yet. Only one invoice is allowed per waybill, once an invoice exists, this button is replaced with a confirmation showing that invoice's number instead.</w:t>
      </w:r>
    </w:p>
    <w:p>
      <w:pPr>
        <w:pStyle w:val="Heading1"/>
        <w:spacing w:after="160" w:before="360"/>
      </w:pPr>
      <w:r>
        <w:rPr>
          <w:b/>
          <w:bCs/>
          <w:color w:val="1A5C2A"/>
          <w:sz w:val="28"/>
          <w:szCs w:val="28"/>
        </w:rPr>
        <w:t xml:space="preserve">7. Supplier Invoices: Billing What Was Delivered</w:t>
      </w:r>
    </w:p>
    <w:p>
      <w:pPr>
        <w:spacing w:after="160"/>
      </w:pPr>
      <w:r>
        <w:t xml:space="preserve">As covered in Rule 1, a Supplier Invoice always starts from either a Waybill's "Create Invoice" button or a Purchase Order's own "+ Invoice" button, never from a blank form. Either way, the line items that appear are calculated for you, only quantity that has genuinely been delivered (across every waybill recorded against that PO so far) and not already billed on some other invoice. Re-opening "+ Invoice" on a PO after part of it has already been billed correctly offers only the remaining, still-unbilled balance, not the whole order again.</w:t>
      </w:r>
    </w:p>
    <w:p>
      <w:pPr>
        <w:spacing w:after="160"/>
      </w:pPr>
      <w:r>
        <w:t xml:space="preserve">Fields: System Invoice No. (auto-generated), Supplier Invoice Ref. (the supplier's own reference number), GRN Number, Supplier, Invoice Date, Due Date, Currency (with an exchange rate field for anything other than NGN), and Status, Pending, Approved, Paid, Overdue, Disputed or Cancelled. Expense Category is not shown as an editable field here at all, it is inherited silently from the Purchase Order, because the category was already fixed at approval time. VAT is always calculated at 7.5% of the subtotal on this screen, regardless of whatever VAT rate was set on the originating PO.</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single" w:color="1A5C2A" w:sz="4"/>
              <w:left w:val="single" w:color="1A5C2A" w:sz="4"/>
              <w:bottom w:val="single" w:color="1A5C2A" w:sz="4"/>
              <w:right w:val="single" w:color="1A5C2A" w:sz="4"/>
            </w:tcBorders>
            <w:shd w:fill="F0F8F2" w:color="auto" w:val="clear"/>
            <w:tcMar>
              <w:top w:type="dxa" w:w="140"/>
              <w:left w:type="dxa" w:w="160"/>
              <w:bottom w:type="dxa" w:w="140"/>
              <w:right w:type="dxa" w:w="160"/>
            </w:tcMar>
          </w:tcPr>
          <w:p>
            <w:pPr>
              <w:spacing w:after="80"/>
            </w:pPr>
            <w:r>
              <w:rPr>
                <w:b/>
                <w:bCs/>
                <w:color w:val="1A5C2A"/>
                <w:sz w:val="20"/>
                <w:szCs w:val="20"/>
              </w:rPr>
              <w:t xml:space="preserve">Important: foreign-currency invoices need an exchange rate, or they will not post at all</w:t>
            </w:r>
          </w:p>
          <w:p>
            <w:pPr>
              <w:spacing w:after="60"/>
            </w:pPr>
            <w:r>
              <w:rPr>
                <w:color w:val="182A1C"/>
                <w:sz w:val="20"/>
                <w:szCs w:val="20"/>
              </w:rPr>
              <w:t xml:space="preserve">If a Supplier Invoice is raised in USD, GBP or EUR, the exchange rate field must be filled in before it is saved.</w:t>
            </w:r>
          </w:p>
          <w:p>
            <w:pPr>
              <w:spacing w:after="60"/>
            </w:pPr>
            <w:r>
              <w:rPr>
                <w:color w:val="182A1C"/>
                <w:sz w:val="20"/>
                <w:szCs w:val="20"/>
              </w:rPr>
              <w:t xml:space="preserve">Without a rate, the system deliberately refuses to guess one. Posting a foreign invoice to the ledger at a wrong assumed rate would understate it by a large factor while still looking perfectly balanced, which is worse than not posting it at all.</w:t>
            </w:r>
          </w:p>
          <w:p>
            <w:pPr>
              <w:spacing w:after="60"/>
            </w:pPr>
            <w:r>
              <w:rPr>
                <w:color w:val="182A1C"/>
                <w:sz w:val="20"/>
                <w:szCs w:val="20"/>
              </w:rPr>
              <w:t xml:space="preserve">The invoice will save and sit in the module normally, but it will not appear in the General Ledger, and therefore not in the Trial Balance or P&amp;L, until a rate is added and the record is saved again. There is no error banner on this screen to warn you, so it is worth checking that every foreign-currency invoice has a rate before moving on.</w:t>
            </w:r>
          </w:p>
        </w:tc>
      </w:tr>
    </w:tbl>
    <w:p>
      <w:pPr>
        <w:spacing w:after="160"/>
      </w:pPr>
      <w:r>
        <w:t xml:space="preserve">There is no separate "delete" or free edit on a saved invoice, every field locks the moment it is first saved, so a submitted invoice's numbers cannot be quietly changed after the fact. Two actions remain available from a saved invoice: "Mark as Paid" once payment has actually gone out, and the red "Void" button (see Rule 3) for cancelling one that should never have been billed. Void requires a short reason and sets the invoice's status to Cancelled, it stays on file for the audit trail, it simply stops counting toward what this PO has been billed for.</w:t>
      </w:r>
    </w:p>
    <w:p>
      <w:pPr>
        <w:pStyle w:val="Heading1"/>
        <w:spacing w:after="160" w:before="360"/>
      </w:pPr>
      <w:r>
        <w:rPr>
          <w:b/>
          <w:bCs/>
          <w:color w:val="1A5C2A"/>
          <w:sz w:val="28"/>
          <w:szCs w:val="28"/>
        </w:rPr>
        <w:t xml:space="preserve">8. Where This Lands in Accounting</w:t>
      </w:r>
    </w:p>
    <w:p>
      <w:pPr>
        <w:spacing w:after="160"/>
      </w:pPr>
      <w:r>
        <w:t xml:space="preserve">The moment a Supplier Invoice is saved, it posts its own journal entry automatically, tagged with source: procurement in the Accounting module's Journal Entries list. Nobody re-types this in Accounting, and nobody in Accounting needs to be told a purchase happened, the posting is immediate.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24"/>
        <w:gridCol w:w="6822"/>
      </w:tblGrid>
      <w:tr>
        <w:trPr>
          <w:tblHeader/>
        </w:trPr>
        <w:tc>
          <w:tcPr>
            <w:tcW w:type="dxa" w:w="2924"/>
            <w:shd w:fill="1A5C2A" w:color="auto" w:val="clear"/>
            <w:tcMar>
              <w:top w:type="dxa" w:w="80"/>
              <w:left w:type="dxa" w:w="100"/>
              <w:bottom w:type="dxa" w:w="80"/>
              <w:right w:type="dxa" w:w="100"/>
            </w:tcMar>
          </w:tcPr>
          <w:p>
            <w:pPr>
              <w:spacing w:after="0"/>
            </w:pPr>
            <w:r>
              <w:rPr>
                <w:b/>
                <w:bCs/>
                <w:color w:val="FFFFFF"/>
                <w:sz w:val="18"/>
                <w:szCs w:val="18"/>
              </w:rPr>
              <w:t xml:space="preserve">What posts</w:t>
            </w:r>
          </w:p>
        </w:tc>
        <w:tc>
          <w:tcPr>
            <w:tcW w:type="dxa" w:w="6822"/>
            <w:shd w:fill="1A5C2A" w:color="auto" w:val="clear"/>
            <w:tcMar>
              <w:top w:type="dxa" w:w="80"/>
              <w:left w:type="dxa" w:w="100"/>
              <w:bottom w:type="dxa" w:w="80"/>
              <w:right w:type="dxa" w:w="100"/>
            </w:tcMar>
          </w:tcPr>
          <w:p>
            <w:pPr>
              <w:spacing w:after="0"/>
            </w:pPr>
            <w:r>
              <w:rPr>
                <w:b/>
                <w:bCs/>
                <w:color w:val="FFFFFF"/>
                <w:sz w:val="18"/>
                <w:szCs w:val="18"/>
              </w:rPr>
              <w:t xml:space="preserve">Accounts</w:t>
            </w:r>
          </w:p>
        </w:tc>
      </w:tr>
      <w:tr>
        <w:tc>
          <w:tcPr>
            <w:tcW w:type="dxa" w:w="2924"/>
            <w:tcMar>
              <w:top w:type="dxa" w:w="80"/>
              <w:left w:type="dxa" w:w="100"/>
              <w:bottom w:type="dxa" w:w="80"/>
              <w:right w:type="dxa" w:w="100"/>
            </w:tcMar>
          </w:tcPr>
          <w:p>
            <w:pPr>
              <w:spacing w:after="0"/>
            </w:pPr>
            <w:r>
              <w:rPr>
                <w:b w:val="false"/>
                <w:bCs w:val="false"/>
                <w:color w:val="182A1C"/>
                <w:sz w:val="20"/>
                <w:szCs w:val="20"/>
              </w:rPr>
              <w:t xml:space="preserve">Invoice subtotal</w:t>
            </w:r>
          </w:p>
        </w:tc>
        <w:tc>
          <w:tcPr>
            <w:tcW w:type="dxa" w:w="6822"/>
            <w:tcMar>
              <w:top w:type="dxa" w:w="80"/>
              <w:left w:type="dxa" w:w="100"/>
              <w:bottom w:type="dxa" w:w="80"/>
              <w:right w:type="dxa" w:w="100"/>
            </w:tcMar>
          </w:tcPr>
          <w:p>
            <w:pPr>
              <w:spacing w:after="0"/>
            </w:pPr>
            <w:r>
              <w:rPr>
                <w:b w:val="false"/>
                <w:bCs w:val="false"/>
                <w:color w:val="182A1C"/>
                <w:sz w:val="20"/>
                <w:szCs w:val="20"/>
              </w:rPr>
              <w:t xml:space="preserve">Debit the expense account matched to the PO's category (see table below). Credit Trade Payables (7001).</w:t>
            </w:r>
          </w:p>
        </w:tc>
      </w:tr>
      <w:tr>
        <w:tc>
          <w:tcPr>
            <w:tcW w:type="dxa" w:w="2924"/>
            <w:shd w:fill="F0F8F2" w:color="auto" w:val="clear"/>
            <w:tcMar>
              <w:top w:type="dxa" w:w="80"/>
              <w:left w:type="dxa" w:w="100"/>
              <w:bottom w:type="dxa" w:w="80"/>
              <w:right w:type="dxa" w:w="100"/>
            </w:tcMar>
          </w:tcPr>
          <w:p>
            <w:pPr>
              <w:spacing w:after="0"/>
            </w:pPr>
            <w:r>
              <w:rPr>
                <w:b w:val="false"/>
                <w:bCs w:val="false"/>
                <w:color w:val="182A1C"/>
                <w:sz w:val="20"/>
                <w:szCs w:val="20"/>
              </w:rPr>
              <w:t xml:space="preserve">VAT amount, if any</w:t>
            </w:r>
          </w:p>
        </w:tc>
        <w:tc>
          <w:tcPr>
            <w:tcW w:type="dxa" w:w="6822"/>
            <w:shd w:fill="F0F8F2" w:color="auto" w:val="clear"/>
            <w:tcMar>
              <w:top w:type="dxa" w:w="80"/>
              <w:left w:type="dxa" w:w="100"/>
              <w:bottom w:type="dxa" w:w="80"/>
              <w:right w:type="dxa" w:w="100"/>
            </w:tcMar>
          </w:tcPr>
          <w:p>
            <w:pPr>
              <w:spacing w:after="0"/>
            </w:pPr>
            <w:r>
              <w:rPr>
                <w:b w:val="false"/>
                <w:bCs w:val="false"/>
                <w:color w:val="182A1C"/>
                <w:sz w:val="20"/>
                <w:szCs w:val="20"/>
              </w:rPr>
              <w:t xml:space="preserve">Debit Input VAT (6006). Credit Trade Payables (7001).</w:t>
            </w:r>
          </w:p>
        </w:tc>
      </w:tr>
    </w:tbl>
    <w:p>
      <w:pPr>
        <w:spacing w:after="160"/>
      </w:pPr>
    </w:p>
    <w:p>
      <w:pPr>
        <w:spacing w:after="160"/>
      </w:pPr>
      <w:r>
        <w:t xml:space="preserve">Unlike a manually entered Accounts Payable bill, a Procurement Supplier Invoice does not post a withholding tax (WHT) line, WHT was deliberately removed from this posting at SLOT's own request. If a purchase genuinely needs WHT retained, that is handled through a manual AP bill instead.</w:t>
      </w:r>
    </w:p>
    <w:p>
      <w:pPr>
        <w:pStyle w:val="Heading2"/>
        <w:spacing w:after="120" w:before="260"/>
      </w:pPr>
      <w:r>
        <w:rPr>
          <w:b/>
          <w:bCs/>
          <w:color w:val="182A1C"/>
          <w:sz w:val="24"/>
          <w:szCs w:val="24"/>
        </w:rPr>
        <w:t xml:space="preserve">Expense Category and its General Ledger account</w:t>
      </w:r>
    </w:p>
    <w:p>
      <w:pPr>
        <w:spacing w:after="160"/>
      </w:pPr>
      <w:r>
        <w:t xml:space="preserve">The Expense Category chosen on the Purchase Order (Section 5) decides which account the invoice's cost side lands in: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11"/>
        <w:gridCol w:w="6335"/>
      </w:tblGrid>
      <w:tr>
        <w:trPr>
          <w:tblHeader/>
        </w:trPr>
        <w:tc>
          <w:tcPr>
            <w:tcW w:type="dxa" w:w="3411"/>
            <w:shd w:fill="1A5C2A" w:color="auto" w:val="clear"/>
            <w:tcMar>
              <w:top w:type="dxa" w:w="80"/>
              <w:left w:type="dxa" w:w="100"/>
              <w:bottom w:type="dxa" w:w="80"/>
              <w:right w:type="dxa" w:w="100"/>
            </w:tcMar>
          </w:tcPr>
          <w:p>
            <w:pPr>
              <w:spacing w:after="0"/>
            </w:pPr>
            <w:r>
              <w:rPr>
                <w:b/>
                <w:bCs/>
                <w:color w:val="FFFFFF"/>
                <w:sz w:val="18"/>
                <w:szCs w:val="18"/>
              </w:rPr>
              <w:t xml:space="preserve">Category</w:t>
            </w:r>
          </w:p>
        </w:tc>
        <w:tc>
          <w:tcPr>
            <w:tcW w:type="dxa" w:w="6335"/>
            <w:shd w:fill="1A5C2A" w:color="auto" w:val="clear"/>
            <w:tcMar>
              <w:top w:type="dxa" w:w="80"/>
              <w:left w:type="dxa" w:w="100"/>
              <w:bottom w:type="dxa" w:w="80"/>
              <w:right w:type="dxa" w:w="100"/>
            </w:tcMar>
          </w:tcPr>
          <w:p>
            <w:pPr>
              <w:spacing w:after="0"/>
            </w:pPr>
            <w:r>
              <w:rPr>
                <w:b/>
                <w:bCs/>
                <w:color w:val="FFFFFF"/>
                <w:sz w:val="18"/>
                <w:szCs w:val="18"/>
              </w:rPr>
              <w:t xml:space="preserve">GL Account</w:t>
            </w:r>
          </w:p>
        </w:tc>
      </w:tr>
      <w:tr>
        <w:tc>
          <w:tcPr>
            <w:tcW w:type="dxa" w:w="3411"/>
            <w:tcMar>
              <w:top w:type="dxa" w:w="80"/>
              <w:left w:type="dxa" w:w="100"/>
              <w:bottom w:type="dxa" w:w="80"/>
              <w:right w:type="dxa" w:w="100"/>
            </w:tcMar>
          </w:tcPr>
          <w:p>
            <w:pPr>
              <w:spacing w:after="0"/>
            </w:pPr>
            <w:r>
              <w:rPr>
                <w:b w:val="false"/>
                <w:bCs w:val="false"/>
                <w:color w:val="182A1C"/>
                <w:sz w:val="20"/>
                <w:szCs w:val="20"/>
              </w:rPr>
              <w:t xml:space="preserve">Materials</w:t>
            </w:r>
          </w:p>
        </w:tc>
        <w:tc>
          <w:tcPr>
            <w:tcW w:type="dxa" w:w="6335"/>
            <w:tcMar>
              <w:top w:type="dxa" w:w="80"/>
              <w:left w:type="dxa" w:w="100"/>
              <w:bottom w:type="dxa" w:w="80"/>
              <w:right w:type="dxa" w:w="100"/>
            </w:tcMar>
          </w:tcPr>
          <w:p>
            <w:pPr>
              <w:spacing w:after="0"/>
            </w:pPr>
            <w:r>
              <w:rPr>
                <w:b w:val="false"/>
                <w:bCs w:val="false"/>
                <w:color w:val="182A1C"/>
                <w:sz w:val="20"/>
                <w:szCs w:val="20"/>
              </w:rPr>
              <w:t xml:space="preserve">8004, Direct Cost, Materials Purchases</w:t>
            </w:r>
          </w:p>
        </w:tc>
      </w:tr>
      <w:tr>
        <w:tc>
          <w:tcPr>
            <w:tcW w:type="dxa" w:w="3411"/>
            <w:shd w:fill="F0F8F2" w:color="auto" w:val="clear"/>
            <w:tcMar>
              <w:top w:type="dxa" w:w="80"/>
              <w:left w:type="dxa" w:w="100"/>
              <w:bottom w:type="dxa" w:w="80"/>
              <w:right w:type="dxa" w:w="100"/>
            </w:tcMar>
          </w:tcPr>
          <w:p>
            <w:pPr>
              <w:spacing w:after="0"/>
            </w:pPr>
            <w:r>
              <w:rPr>
                <w:b w:val="false"/>
                <w:bCs w:val="false"/>
                <w:color w:val="182A1C"/>
                <w:sz w:val="20"/>
                <w:szCs w:val="20"/>
              </w:rPr>
              <w:t xml:space="preserve">Services</w:t>
            </w:r>
          </w:p>
        </w:tc>
        <w:tc>
          <w:tcPr>
            <w:tcW w:type="dxa" w:w="6335"/>
            <w:shd w:fill="F0F8F2" w:color="auto" w:val="clear"/>
            <w:tcMar>
              <w:top w:type="dxa" w:w="80"/>
              <w:left w:type="dxa" w:w="100"/>
              <w:bottom w:type="dxa" w:w="80"/>
              <w:right w:type="dxa" w:w="100"/>
            </w:tcMar>
          </w:tcPr>
          <w:p>
            <w:pPr>
              <w:spacing w:after="0"/>
            </w:pPr>
            <w:r>
              <w:rPr>
                <w:b w:val="false"/>
                <w:bCs w:val="false"/>
                <w:color w:val="182A1C"/>
                <w:sz w:val="20"/>
                <w:szCs w:val="20"/>
              </w:rPr>
              <w:t xml:space="preserve">8003, Other Direct Cost</w:t>
            </w:r>
          </w:p>
        </w:tc>
      </w:tr>
      <w:tr>
        <w:tc>
          <w:tcPr>
            <w:tcW w:type="dxa" w:w="3411"/>
            <w:tcMar>
              <w:top w:type="dxa" w:w="80"/>
              <w:left w:type="dxa" w:w="100"/>
              <w:bottom w:type="dxa" w:w="80"/>
              <w:right w:type="dxa" w:w="100"/>
            </w:tcMar>
          </w:tcPr>
          <w:p>
            <w:pPr>
              <w:spacing w:after="0"/>
            </w:pPr>
            <w:r>
              <w:rPr>
                <w:b w:val="false"/>
                <w:bCs w:val="false"/>
                <w:color w:val="182A1C"/>
                <w:sz w:val="20"/>
                <w:szCs w:val="20"/>
              </w:rPr>
              <w:t xml:space="preserve">Logistics</w:t>
            </w:r>
          </w:p>
        </w:tc>
        <w:tc>
          <w:tcPr>
            <w:tcW w:type="dxa" w:w="6335"/>
            <w:tcMar>
              <w:top w:type="dxa" w:w="80"/>
              <w:left w:type="dxa" w:w="100"/>
              <w:bottom w:type="dxa" w:w="80"/>
              <w:right w:type="dxa" w:w="100"/>
            </w:tcMar>
          </w:tcPr>
          <w:p>
            <w:pPr>
              <w:spacing w:after="0"/>
            </w:pPr>
            <w:r>
              <w:rPr>
                <w:b w:val="false"/>
                <w:bCs w:val="false"/>
                <w:color w:val="182A1C"/>
                <w:sz w:val="20"/>
                <w:szCs w:val="20"/>
              </w:rPr>
              <w:t xml:space="preserve">8005, Carriage Inward / Transport Expenses</w:t>
            </w:r>
          </w:p>
        </w:tc>
      </w:tr>
      <w:tr>
        <w:tc>
          <w:tcPr>
            <w:tcW w:type="dxa" w:w="3411"/>
            <w:shd w:fill="F0F8F2" w:color="auto" w:val="clear"/>
            <w:tcMar>
              <w:top w:type="dxa" w:w="80"/>
              <w:left w:type="dxa" w:w="100"/>
              <w:bottom w:type="dxa" w:w="80"/>
              <w:right w:type="dxa" w:w="100"/>
            </w:tcMar>
          </w:tcPr>
          <w:p>
            <w:pPr>
              <w:spacing w:after="0"/>
            </w:pPr>
            <w:r>
              <w:rPr>
                <w:b w:val="false"/>
                <w:bCs w:val="false"/>
                <w:color w:val="182A1C"/>
                <w:sz w:val="20"/>
                <w:szCs w:val="20"/>
              </w:rPr>
              <w:t xml:space="preserve">Labour</w:t>
            </w:r>
          </w:p>
        </w:tc>
        <w:tc>
          <w:tcPr>
            <w:tcW w:type="dxa" w:w="6335"/>
            <w:shd w:fill="F0F8F2" w:color="auto" w:val="clear"/>
            <w:tcMar>
              <w:top w:type="dxa" w:w="80"/>
              <w:left w:type="dxa" w:w="100"/>
              <w:bottom w:type="dxa" w:w="80"/>
              <w:right w:type="dxa" w:w="100"/>
            </w:tcMar>
          </w:tcPr>
          <w:p>
            <w:pPr>
              <w:spacing w:after="0"/>
            </w:pPr>
            <w:r>
              <w:rPr>
                <w:b w:val="false"/>
                <w:bCs w:val="false"/>
                <w:color w:val="182A1C"/>
                <w:sz w:val="20"/>
                <w:szCs w:val="20"/>
              </w:rPr>
              <w:t xml:space="preserve">8001, Direct Cost, Salaries &amp; Wages</w:t>
            </w:r>
          </w:p>
        </w:tc>
      </w:tr>
      <w:tr>
        <w:tc>
          <w:tcPr>
            <w:tcW w:type="dxa" w:w="3411"/>
            <w:tcMar>
              <w:top w:type="dxa" w:w="80"/>
              <w:left w:type="dxa" w:w="100"/>
              <w:bottom w:type="dxa" w:w="80"/>
              <w:right w:type="dxa" w:w="100"/>
            </w:tcMar>
          </w:tcPr>
          <w:p>
            <w:pPr>
              <w:spacing w:after="0"/>
            </w:pPr>
            <w:r>
              <w:rPr>
                <w:b w:val="false"/>
                <w:bCs w:val="false"/>
                <w:color w:val="182A1C"/>
                <w:sz w:val="20"/>
                <w:szCs w:val="20"/>
              </w:rPr>
              <w:t xml:space="preserve">Maintenance</w:t>
            </w:r>
          </w:p>
        </w:tc>
        <w:tc>
          <w:tcPr>
            <w:tcW w:type="dxa" w:w="6335"/>
            <w:tcMar>
              <w:top w:type="dxa" w:w="80"/>
              <w:left w:type="dxa" w:w="100"/>
              <w:bottom w:type="dxa" w:w="80"/>
              <w:right w:type="dxa" w:w="100"/>
            </w:tcMar>
          </w:tcPr>
          <w:p>
            <w:pPr>
              <w:spacing w:after="0"/>
            </w:pPr>
            <w:r>
              <w:rPr>
                <w:b w:val="false"/>
                <w:bCs w:val="false"/>
                <w:color w:val="182A1C"/>
                <w:sz w:val="20"/>
                <w:szCs w:val="20"/>
              </w:rPr>
              <w:t xml:space="preserve">9014, General Repairs &amp; Maintenance</w:t>
            </w:r>
          </w:p>
        </w:tc>
      </w:tr>
      <w:tr>
        <w:tc>
          <w:tcPr>
            <w:tcW w:type="dxa" w:w="3411"/>
            <w:shd w:fill="F0F8F2" w:color="auto" w:val="clear"/>
            <w:tcMar>
              <w:top w:type="dxa" w:w="80"/>
              <w:left w:type="dxa" w:w="100"/>
              <w:bottom w:type="dxa" w:w="80"/>
              <w:right w:type="dxa" w:w="100"/>
            </w:tcMar>
          </w:tcPr>
          <w:p>
            <w:pPr>
              <w:spacing w:after="0"/>
            </w:pPr>
            <w:r>
              <w:rPr>
                <w:b w:val="false"/>
                <w:bCs w:val="false"/>
                <w:color w:val="182A1C"/>
                <w:sz w:val="20"/>
                <w:szCs w:val="20"/>
              </w:rPr>
              <w:t xml:space="preserve">Other (or left unset)</w:t>
            </w:r>
          </w:p>
        </w:tc>
        <w:tc>
          <w:tcPr>
            <w:tcW w:type="dxa" w:w="6335"/>
            <w:shd w:fill="F0F8F2" w:color="auto" w:val="clear"/>
            <w:tcMar>
              <w:top w:type="dxa" w:w="80"/>
              <w:left w:type="dxa" w:w="100"/>
              <w:bottom w:type="dxa" w:w="80"/>
              <w:right w:type="dxa" w:w="100"/>
            </w:tcMar>
          </w:tcPr>
          <w:p>
            <w:pPr>
              <w:spacing w:after="0"/>
            </w:pPr>
            <w:r>
              <w:rPr>
                <w:b w:val="false"/>
                <w:bCs w:val="false"/>
                <w:color w:val="182A1C"/>
                <w:sz w:val="20"/>
                <w:szCs w:val="20"/>
              </w:rPr>
              <w:t xml:space="preserve">8003, Other Direct Cost</w:t>
            </w:r>
          </w:p>
        </w:tc>
      </w:tr>
    </w:tbl>
    <w:p>
      <w:pPr>
        <w:spacing w:after="160"/>
      </w:pPr>
    </w:p>
    <w:p>
      <w:pPr>
        <w:spacing w:after="160"/>
      </w:pPr>
      <w:r>
        <w:t xml:space="preserve">This is why the category on a Purchase Order is worth getting right at approval time, it is inherited by the invoice with no chance to change it later, and it is the only thing separating a materials cost from a transport cost in the P&amp;L. A manually entered Accounts Payable bill uses this exact same table, which is deliberate, so a Procurement invoice and a manual AP bill for a similar cost land in the same place and reconcile against each other.</w:t>
      </w:r>
    </w:p>
    <w:p>
      <w:pPr>
        <w:pStyle w:val="Heading1"/>
        <w:spacing w:after="160" w:before="360"/>
      </w:pPr>
      <w:r>
        <w:rPr>
          <w:b/>
          <w:bCs/>
          <w:color w:val="1A5C2A"/>
          <w:sz w:val="28"/>
          <w:szCs w:val="28"/>
        </w:rPr>
        <w:t xml:space="preserve">9. Getting Paid: From Procurement to Accounts Payable</w:t>
      </w:r>
    </w:p>
    <w:p>
      <w:pPr>
        <w:spacing w:after="160"/>
      </w:pPr>
      <w:r>
        <w:t xml:space="preserve">This is the step that finishes the chain, and it happens outside this module, in Accounts Payable, so it is easy to lose track of. Here is exactly what happens and what to do.</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single" w:color="1A5C2A" w:sz="4"/>
              <w:left w:val="single" w:color="1A5C2A" w:sz="4"/>
              <w:bottom w:val="single" w:color="1A5C2A" w:sz="4"/>
              <w:right w:val="single" w:color="1A5C2A" w:sz="4"/>
            </w:tcBorders>
            <w:shd w:fill="F0F8F2" w:color="auto" w:val="clear"/>
            <w:tcMar>
              <w:top w:type="dxa" w:w="140"/>
              <w:left w:type="dxa" w:w="160"/>
              <w:bottom w:type="dxa" w:w="140"/>
              <w:right w:type="dxa" w:w="160"/>
            </w:tcMar>
          </w:tcPr>
          <w:p>
            <w:pPr>
              <w:spacing w:after="80"/>
            </w:pPr>
            <w:r>
              <w:rPr>
                <w:b/>
                <w:bCs/>
                <w:color w:val="1A5C2A"/>
                <w:sz w:val="20"/>
                <w:szCs w:val="20"/>
              </w:rPr>
              <w:t xml:space="preserve">A Supplier Invoice does not get copied into Accounts Payable, it already IS an Accounts Payable bill</w:t>
            </w:r>
          </w:p>
          <w:p>
            <w:pPr>
              <w:spacing w:after="60"/>
            </w:pPr>
            <w:r>
              <w:rPr>
                <w:color w:val="182A1C"/>
                <w:sz w:val="20"/>
                <w:szCs w:val="20"/>
              </w:rPr>
              <w:t xml:space="preserve">The moment a Procurement Supplier Invoice is saved, it appears automatically in Accounts Payable, Bills (and Overview, Aging, and the Supplier Ledger). There is no import step, no conversion, nothing to click to send it across.</w:t>
            </w:r>
          </w:p>
          <w:p>
            <w:pPr>
              <w:spacing w:after="60"/>
            </w:pPr>
            <w:r>
              <w:rPr>
                <w:color w:val="182A1C"/>
                <w:sz w:val="20"/>
                <w:szCs w:val="20"/>
              </w:rPr>
              <w:t xml:space="preserve">It is a live view of the same record, not a copy. Its status, Pending, Paid, Overdue and so on, is the same status shown here in Procurement. Change one and the other reflects it immediately.</w:t>
            </w:r>
          </w:p>
          <w:p>
            <w:pPr>
              <w:spacing w:after="60"/>
            </w:pPr>
            <w:r>
              <w:rPr>
                <w:color w:val="182A1C"/>
                <w:sz w:val="20"/>
                <w:szCs w:val="20"/>
              </w:rPr>
              <w:t xml:space="preserve">This is a strict one-to-one relationship: one Procurement invoice is always exactly one Accounts Payable bill, never more, never fewer.</w:t>
            </w:r>
          </w:p>
        </w:tc>
      </w:tr>
    </w:tbl>
    <w:p>
      <w:pPr>
        <w:spacing w:after="160"/>
      </w:pPr>
      <w:r>
        <w:t xml:space="preserve">To actually pay a supplier, go to Finance, then Accounts Payable, then Bills. Find the invoice by its number (it keeps its Procurement invoice number as its Bill No. in AP) and click Pay.</w:t>
      </w:r>
    </w:p>
    <w:p>
      <w:pPr>
        <w:pStyle w:val="ListParagraph"/>
        <w:numPr>
          <w:ilvl w:val="0"/>
          <w:numId w:val="1"/>
        </w:numPr>
        <w:spacing w:after="100"/>
      </w:pPr>
      <w:r>
        <w:t xml:space="preserve">Payment is full-amount only. A Procurement-sourced bill cannot be paid in instalments from this screen, the amount field is fixed to the outstanding balance. Partial payment on this type of bill is not supported yet.</w:t>
      </w:r>
    </w:p>
    <w:p>
      <w:pPr>
        <w:pStyle w:val="ListParagraph"/>
        <w:numPr>
          <w:ilvl w:val="0"/>
          <w:numId w:val="1"/>
        </w:numPr>
        <w:spacing w:after="100"/>
      </w:pPr>
      <w:r>
        <w:t xml:space="preserve">A three-way match check runs automatically before the payment can go through, comparing the invoice against its Purchase Order and the Waybills recorded against it. A serious mismatch, for example the invoice billing more than was ever ordered or received, blocks the payment outright with an explanation. A smaller variance prompts a confirm-to-proceed warning instead.</w:t>
      </w:r>
    </w:p>
    <w:p>
      <w:pPr>
        <w:pStyle w:val="ListParagraph"/>
        <w:numPr>
          <w:ilvl w:val="0"/>
          <w:numId w:val="1"/>
        </w:numPr>
        <w:spacing w:after="100"/>
      </w:pPr>
      <w:r>
        <w:t xml:space="preserve">There is no Delete or Void option for this type of bill inside Accounts Payable. If an invoice needs to be cancelled, that has to be done from Procurement, Supplier Invoices, using the Void button described in Section 7, not from the AP screen.</w:t>
      </w:r>
    </w:p>
    <w:p>
      <w:pPr>
        <w:spacing w:after="160"/>
      </w:pPr>
      <w:r>
        <w:t xml:space="preserve">Accounts Payable also supports bills created directly inside it, for costs that never went through an RFQ or PO at all. Those are a separate kind of record: they can be part-paid over time, and can be deleted outright as long as no payment has ever been made against them, unlike a Procurement-sourced invoice. If a bill you are looking at in AP allows partial payment or a delete option, it was created directly in AP, not from this module.</w:t>
      </w:r>
    </w:p>
    <w:p>
      <w:pPr>
        <w:pStyle w:val="Heading1"/>
        <w:spacing w:after="160" w:before="360"/>
      </w:pPr>
      <w:r>
        <w:rPr>
          <w:b/>
          <w:bCs/>
          <w:color w:val="1A5C2A"/>
          <w:sz w:val="28"/>
          <w:szCs w:val="28"/>
        </w:rPr>
        <w:t xml:space="preserve">10. Vendors and Suppliers: Where Names Come From</w:t>
      </w:r>
    </w:p>
    <w:p>
      <w:pPr>
        <w:spacing w:after="160"/>
      </w:pPr>
      <w:r>
        <w:t xml:space="preserve">Procurement does not have its own screen for adding or editing supplier records. The supplier and client names offered as suggestions on an RFQ or PO come from a shared list maintained in Finance, then Accounts Payable, then Suppliers, that is the correct place to add a new vendor properly, with its currency, category and contact details on file.</w:t>
      </w:r>
    </w:p>
    <w:p>
      <w:pPr>
        <w:spacing w:after="160"/>
      </w:pPr>
      <w:r>
        <w:t xml:space="preserve">That said, the Supplier/Client field on an RFQ or PO is free text, not a locked dropdown, you can type a name that is not on the list yet and save the document normally. The suggestion list exists to keep spelling consistent once a name is on file, "NLNG," "N.L.N.G." and "Nigeria LNG Limited" would otherwise be read as three different customers by every report that totals activity per client or supplier. Where possible, pick the suggested name rather than retyping it.</w:t>
      </w:r>
    </w:p>
    <w:p>
      <w:pPr>
        <w:spacing w:after="160"/>
      </w:pPr>
      <w:r>
        <w:t xml:space="preserve">One thing worth knowing if a supplier's name looks like it is listed more than once: some suppliers trade with SLOT in more than one currency, and each currency has its own line on the list (for example, a supplier billing in Naira, Pounds and Euros may show as three separate entries). These are the same real supplier grouped together behind the scenes, pick whichever currency entry matches the invoice in front of you.</w:t>
      </w:r>
    </w:p>
    <w:p>
      <w:pPr>
        <w:pStyle w:val="Heading1"/>
        <w:spacing w:after="160" w:before="360"/>
      </w:pPr>
      <w:r>
        <w:rPr>
          <w:b/>
          <w:bCs/>
          <w:color w:val="1A5C2A"/>
          <w:sz w:val="28"/>
          <w:szCs w:val="28"/>
        </w:rPr>
        <w:t xml:space="preserve">11. Permissions: Who Can Do What</w:t>
      </w:r>
    </w:p>
    <w:p>
      <w:pPr>
        <w:spacing w:after="160"/>
      </w:pPr>
      <w:r>
        <w:t xml:space="preserve">Two module-level permissions control what a logged-in user can do on the RFQ, PO and Waybill tabs: the ability to add a new record, and the ability to delete one. These follow the same role permissions used everywhere else in the app:</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4"/>
        <w:gridCol w:w="3216"/>
        <w:gridCol w:w="3216"/>
      </w:tblGrid>
      <w:tr>
        <w:trPr>
          <w:tblHeader/>
        </w:trPr>
        <w:tc>
          <w:tcPr>
            <w:tcW w:type="dxa" w:w="3314"/>
            <w:shd w:fill="1A5C2A" w:color="auto" w:val="clear"/>
            <w:tcMar>
              <w:top w:type="dxa" w:w="80"/>
              <w:left w:type="dxa" w:w="100"/>
              <w:bottom w:type="dxa" w:w="80"/>
              <w:right w:type="dxa" w:w="100"/>
            </w:tcMar>
          </w:tcPr>
          <w:p>
            <w:pPr>
              <w:spacing w:after="0"/>
            </w:pPr>
            <w:r>
              <w:rPr>
                <w:b/>
                <w:bCs/>
                <w:color w:val="FFFFFF"/>
                <w:sz w:val="18"/>
                <w:szCs w:val="18"/>
              </w:rPr>
              <w:t xml:space="preserve">Role</w:t>
            </w:r>
          </w:p>
        </w:tc>
        <w:tc>
          <w:tcPr>
            <w:tcW w:type="dxa" w:w="3216"/>
            <w:shd w:fill="1A5C2A" w:color="auto" w:val="clear"/>
            <w:tcMar>
              <w:top w:type="dxa" w:w="80"/>
              <w:left w:type="dxa" w:w="100"/>
              <w:bottom w:type="dxa" w:w="80"/>
              <w:right w:type="dxa" w:w="100"/>
            </w:tcMar>
          </w:tcPr>
          <w:p>
            <w:pPr>
              <w:spacing w:after="0"/>
            </w:pPr>
            <w:r>
              <w:rPr>
                <w:b/>
                <w:bCs/>
                <w:color w:val="FFFFFF"/>
                <w:sz w:val="18"/>
                <w:szCs w:val="18"/>
              </w:rPr>
              <w:t xml:space="preserve">Can Add</w:t>
            </w:r>
          </w:p>
        </w:tc>
        <w:tc>
          <w:tcPr>
            <w:tcW w:type="dxa" w:w="3216"/>
            <w:shd w:fill="1A5C2A" w:color="auto" w:val="clear"/>
            <w:tcMar>
              <w:top w:type="dxa" w:w="80"/>
              <w:left w:type="dxa" w:w="100"/>
              <w:bottom w:type="dxa" w:w="80"/>
              <w:right w:type="dxa" w:w="100"/>
            </w:tcMar>
          </w:tcPr>
          <w:p>
            <w:pPr>
              <w:spacing w:after="0"/>
            </w:pPr>
            <w:r>
              <w:rPr>
                <w:b/>
                <w:bCs/>
                <w:color w:val="FFFFFF"/>
                <w:sz w:val="18"/>
                <w:szCs w:val="18"/>
              </w:rPr>
              <w:t xml:space="preserve">Can Delete</w:t>
            </w:r>
          </w:p>
        </w:tc>
      </w:tr>
      <w:tr>
        <w:tc>
          <w:tcPr>
            <w:tcW w:type="dxa" w:w="3314"/>
            <w:tcMar>
              <w:top w:type="dxa" w:w="80"/>
              <w:left w:type="dxa" w:w="100"/>
              <w:bottom w:type="dxa" w:w="80"/>
              <w:right w:type="dxa" w:w="100"/>
            </w:tcMar>
          </w:tcPr>
          <w:p>
            <w:pPr>
              <w:spacing w:after="0"/>
            </w:pPr>
            <w:r>
              <w:rPr>
                <w:b w:val="false"/>
                <w:bCs w:val="false"/>
                <w:color w:val="182A1C"/>
                <w:sz w:val="20"/>
                <w:szCs w:val="20"/>
              </w:rPr>
              <w:t xml:space="preserve">Admin</w:t>
            </w:r>
          </w:p>
        </w:tc>
        <w:tc>
          <w:tcPr>
            <w:tcW w:type="dxa" w:w="3216"/>
            <w:tcMar>
              <w:top w:type="dxa" w:w="80"/>
              <w:left w:type="dxa" w:w="100"/>
              <w:bottom w:type="dxa" w:w="80"/>
              <w:right w:type="dxa" w:w="100"/>
            </w:tcMar>
          </w:tcPr>
          <w:p>
            <w:pPr>
              <w:spacing w:after="0"/>
            </w:pPr>
            <w:r>
              <w:rPr>
                <w:b w:val="false"/>
                <w:bCs w:val="false"/>
                <w:color w:val="182A1C"/>
                <w:sz w:val="20"/>
                <w:szCs w:val="20"/>
              </w:rPr>
              <w:t xml:space="preserve">Yes</w:t>
            </w:r>
          </w:p>
        </w:tc>
        <w:tc>
          <w:tcPr>
            <w:tcW w:type="dxa" w:w="3216"/>
            <w:tcMar>
              <w:top w:type="dxa" w:w="80"/>
              <w:left w:type="dxa" w:w="100"/>
              <w:bottom w:type="dxa" w:w="80"/>
              <w:right w:type="dxa" w:w="100"/>
            </w:tcMar>
          </w:tcPr>
          <w:p>
            <w:pPr>
              <w:spacing w:after="0"/>
            </w:pPr>
            <w:r>
              <w:rPr>
                <w:b w:val="false"/>
                <w:bCs w:val="false"/>
                <w:color w:val="182A1C"/>
                <w:sz w:val="20"/>
                <w:szCs w:val="20"/>
              </w:rPr>
              <w:t xml:space="preserve">Yes</w:t>
            </w:r>
          </w:p>
        </w:tc>
      </w:tr>
      <w:tr>
        <w:tc>
          <w:tcPr>
            <w:tcW w:type="dxa" w:w="3314"/>
            <w:shd w:fill="F0F8F2" w:color="auto" w:val="clear"/>
            <w:tcMar>
              <w:top w:type="dxa" w:w="80"/>
              <w:left w:type="dxa" w:w="100"/>
              <w:bottom w:type="dxa" w:w="80"/>
              <w:right w:type="dxa" w:w="100"/>
            </w:tcMar>
          </w:tcPr>
          <w:p>
            <w:pPr>
              <w:spacing w:after="0"/>
            </w:pPr>
            <w:r>
              <w:rPr>
                <w:b w:val="false"/>
                <w:bCs w:val="false"/>
                <w:color w:val="182A1C"/>
                <w:sz w:val="20"/>
                <w:szCs w:val="20"/>
              </w:rPr>
              <w:t xml:space="preserve">Manager</w:t>
            </w:r>
          </w:p>
        </w:tc>
        <w:tc>
          <w:tcPr>
            <w:tcW w:type="dxa" w:w="3216"/>
            <w:shd w:fill="F0F8F2" w:color="auto" w:val="clear"/>
            <w:tcMar>
              <w:top w:type="dxa" w:w="80"/>
              <w:left w:type="dxa" w:w="100"/>
              <w:bottom w:type="dxa" w:w="80"/>
              <w:right w:type="dxa" w:w="100"/>
            </w:tcMar>
          </w:tcPr>
          <w:p>
            <w:pPr>
              <w:spacing w:after="0"/>
            </w:pPr>
            <w:r>
              <w:rPr>
                <w:b w:val="false"/>
                <w:bCs w:val="false"/>
                <w:color w:val="182A1C"/>
                <w:sz w:val="20"/>
                <w:szCs w:val="20"/>
              </w:rPr>
              <w:t xml:space="preserve">Yes</w:t>
            </w:r>
          </w:p>
        </w:tc>
        <w:tc>
          <w:tcPr>
            <w:tcW w:type="dxa" w:w="3216"/>
            <w:shd w:fill="F0F8F2" w:color="auto" w:val="clear"/>
            <w:tcMar>
              <w:top w:type="dxa" w:w="80"/>
              <w:left w:type="dxa" w:w="100"/>
              <w:bottom w:type="dxa" w:w="80"/>
              <w:right w:type="dxa" w:w="100"/>
            </w:tcMar>
          </w:tcPr>
          <w:p>
            <w:pPr>
              <w:spacing w:after="0"/>
            </w:pPr>
            <w:r>
              <w:rPr>
                <w:b w:val="false"/>
                <w:bCs w:val="false"/>
                <w:color w:val="182A1C"/>
                <w:sz w:val="20"/>
                <w:szCs w:val="20"/>
              </w:rPr>
              <w:t xml:space="preserve">No</w:t>
            </w:r>
          </w:p>
        </w:tc>
      </w:tr>
      <w:tr>
        <w:tc>
          <w:tcPr>
            <w:tcW w:type="dxa" w:w="3314"/>
            <w:tcMar>
              <w:top w:type="dxa" w:w="80"/>
              <w:left w:type="dxa" w:w="100"/>
              <w:bottom w:type="dxa" w:w="80"/>
              <w:right w:type="dxa" w:w="100"/>
            </w:tcMar>
          </w:tcPr>
          <w:p>
            <w:pPr>
              <w:spacing w:after="0"/>
            </w:pPr>
            <w:r>
              <w:rPr>
                <w:b w:val="false"/>
                <w:bCs w:val="false"/>
                <w:color w:val="182A1C"/>
                <w:sz w:val="20"/>
                <w:szCs w:val="20"/>
              </w:rPr>
              <w:t xml:space="preserve">Accountant</w:t>
            </w:r>
          </w:p>
        </w:tc>
        <w:tc>
          <w:tcPr>
            <w:tcW w:type="dxa" w:w="3216"/>
            <w:tcMar>
              <w:top w:type="dxa" w:w="80"/>
              <w:left w:type="dxa" w:w="100"/>
              <w:bottom w:type="dxa" w:w="80"/>
              <w:right w:type="dxa" w:w="100"/>
            </w:tcMar>
          </w:tcPr>
          <w:p>
            <w:pPr>
              <w:spacing w:after="0"/>
            </w:pPr>
            <w:r>
              <w:rPr>
                <w:b w:val="false"/>
                <w:bCs w:val="false"/>
                <w:color w:val="182A1C"/>
                <w:sz w:val="20"/>
                <w:szCs w:val="20"/>
              </w:rPr>
              <w:t xml:space="preserve">Yes</w:t>
            </w:r>
          </w:p>
        </w:tc>
        <w:tc>
          <w:tcPr>
            <w:tcW w:type="dxa" w:w="3216"/>
            <w:tcMar>
              <w:top w:type="dxa" w:w="80"/>
              <w:left w:type="dxa" w:w="100"/>
              <w:bottom w:type="dxa" w:w="80"/>
              <w:right w:type="dxa" w:w="100"/>
            </w:tcMar>
          </w:tcPr>
          <w:p>
            <w:pPr>
              <w:spacing w:after="0"/>
            </w:pPr>
            <w:r>
              <w:rPr>
                <w:b w:val="false"/>
                <w:bCs w:val="false"/>
                <w:color w:val="182A1C"/>
                <w:sz w:val="20"/>
                <w:szCs w:val="20"/>
              </w:rPr>
              <w:t xml:space="preserve">No</w:t>
            </w:r>
          </w:p>
        </w:tc>
      </w:tr>
      <w:tr>
        <w:tc>
          <w:tcPr>
            <w:tcW w:type="dxa" w:w="3314"/>
            <w:shd w:fill="F0F8F2" w:color="auto" w:val="clear"/>
            <w:tcMar>
              <w:top w:type="dxa" w:w="80"/>
              <w:left w:type="dxa" w:w="100"/>
              <w:bottom w:type="dxa" w:w="80"/>
              <w:right w:type="dxa" w:w="100"/>
            </w:tcMar>
          </w:tcPr>
          <w:p>
            <w:pPr>
              <w:spacing w:after="0"/>
            </w:pPr>
            <w:r>
              <w:rPr>
                <w:b w:val="false"/>
                <w:bCs w:val="false"/>
                <w:color w:val="182A1C"/>
                <w:sz w:val="20"/>
                <w:szCs w:val="20"/>
              </w:rPr>
              <w:t xml:space="preserve">Cashier</w:t>
            </w:r>
          </w:p>
        </w:tc>
        <w:tc>
          <w:tcPr>
            <w:tcW w:type="dxa" w:w="3216"/>
            <w:shd w:fill="F0F8F2" w:color="auto" w:val="clear"/>
            <w:tcMar>
              <w:top w:type="dxa" w:w="80"/>
              <w:left w:type="dxa" w:w="100"/>
              <w:bottom w:type="dxa" w:w="80"/>
              <w:right w:type="dxa" w:w="100"/>
            </w:tcMar>
          </w:tcPr>
          <w:p>
            <w:pPr>
              <w:spacing w:after="0"/>
            </w:pPr>
            <w:r>
              <w:rPr>
                <w:b w:val="false"/>
                <w:bCs w:val="false"/>
                <w:color w:val="182A1C"/>
                <w:sz w:val="20"/>
                <w:szCs w:val="20"/>
              </w:rPr>
              <w:t xml:space="preserve">Yes</w:t>
            </w:r>
          </w:p>
        </w:tc>
        <w:tc>
          <w:tcPr>
            <w:tcW w:type="dxa" w:w="3216"/>
            <w:shd w:fill="F0F8F2" w:color="auto" w:val="clear"/>
            <w:tcMar>
              <w:top w:type="dxa" w:w="80"/>
              <w:left w:type="dxa" w:w="100"/>
              <w:bottom w:type="dxa" w:w="80"/>
              <w:right w:type="dxa" w:w="100"/>
            </w:tcMar>
          </w:tcPr>
          <w:p>
            <w:pPr>
              <w:spacing w:after="0"/>
            </w:pPr>
            <w:r>
              <w:rPr>
                <w:b w:val="false"/>
                <w:bCs w:val="false"/>
                <w:color w:val="182A1C"/>
                <w:sz w:val="20"/>
                <w:szCs w:val="20"/>
              </w:rPr>
              <w:t xml:space="preserve">No</w:t>
            </w:r>
          </w:p>
        </w:tc>
      </w:tr>
      <w:tr>
        <w:tc>
          <w:tcPr>
            <w:tcW w:type="dxa" w:w="3314"/>
            <w:tcMar>
              <w:top w:type="dxa" w:w="80"/>
              <w:left w:type="dxa" w:w="100"/>
              <w:bottom w:type="dxa" w:w="80"/>
              <w:right w:type="dxa" w:w="100"/>
            </w:tcMar>
          </w:tcPr>
          <w:p>
            <w:pPr>
              <w:spacing w:after="0"/>
            </w:pPr>
            <w:r>
              <w:rPr>
                <w:b w:val="false"/>
                <w:bCs w:val="false"/>
                <w:color w:val="182A1C"/>
                <w:sz w:val="20"/>
                <w:szCs w:val="20"/>
              </w:rPr>
              <w:t xml:space="preserve">Viewer</w:t>
            </w:r>
          </w:p>
        </w:tc>
        <w:tc>
          <w:tcPr>
            <w:tcW w:type="dxa" w:w="3216"/>
            <w:tcMar>
              <w:top w:type="dxa" w:w="80"/>
              <w:left w:type="dxa" w:w="100"/>
              <w:bottom w:type="dxa" w:w="80"/>
              <w:right w:type="dxa" w:w="100"/>
            </w:tcMar>
          </w:tcPr>
          <w:p>
            <w:pPr>
              <w:spacing w:after="0"/>
            </w:pPr>
            <w:r>
              <w:rPr>
                <w:b w:val="false"/>
                <w:bCs w:val="false"/>
                <w:color w:val="182A1C"/>
                <w:sz w:val="20"/>
                <w:szCs w:val="20"/>
              </w:rPr>
              <w:t xml:space="preserve">No</w:t>
            </w:r>
          </w:p>
        </w:tc>
        <w:tc>
          <w:tcPr>
            <w:tcW w:type="dxa" w:w="3216"/>
            <w:tcMar>
              <w:top w:type="dxa" w:w="80"/>
              <w:left w:type="dxa" w:w="100"/>
              <w:bottom w:type="dxa" w:w="80"/>
              <w:right w:type="dxa" w:w="100"/>
            </w:tcMar>
          </w:tcPr>
          <w:p>
            <w:pPr>
              <w:spacing w:after="0"/>
            </w:pPr>
            <w:r>
              <w:rPr>
                <w:b w:val="false"/>
                <w:bCs w:val="false"/>
                <w:color w:val="182A1C"/>
                <w:sz w:val="20"/>
                <w:szCs w:val="20"/>
              </w:rPr>
              <w:t xml:space="preserve">No</w:t>
            </w:r>
          </w:p>
        </w:tc>
      </w:tr>
    </w:tbl>
    <w:p>
      <w:pPr>
        <w:spacing w:after="160"/>
      </w:pPr>
    </w:p>
    <w:p>
      <w:pPr>
        <w:spacing w:after="160"/>
      </w:pPr>
      <w:r>
        <w:t xml:space="preserve">In practice this means only an Admin can delete an RFQ, PO, Waybill or Invoice record outright, everyone else with add access can create new documents but not remove existing ones, which is by design, see Rule 3. There is no separate "edit" permission gating these forms, whether a document can still be edited comes entirely from its own status and lock rules described in Sections 4 through 7, not from who is logged in.</w:t>
      </w:r>
    </w:p>
    <w:p>
      <w:pPr>
        <w:spacing w:after="160"/>
      </w:pPr>
      <w:r>
        <w:t xml:space="preserve">The Purchase Order approval chain (Section 5) is a separate system from this table. It checks the specific role required at each level of the chain (Manager, then Accountant, then Admin, depending on the PO's value), rather than the general approval flag used elsewhere in the app. An Admin can always approve at any level regardless of the PO's value.</w:t>
      </w:r>
    </w:p>
    <w:p>
      <w:pPr>
        <w:pStyle w:val="Heading1"/>
        <w:spacing w:after="160" w:before="360"/>
      </w:pPr>
      <w:r>
        <w:rPr>
          <w:b/>
          <w:bCs/>
          <w:color w:val="1A5C2A"/>
          <w:sz w:val="28"/>
          <w:szCs w:val="28"/>
        </w:rPr>
        <w:t xml:space="preserve">12. Troubleshooting and Frequently Asked Questions</w:t>
      </w:r>
    </w:p>
    <w:p>
      <w:pPr>
        <w:pStyle w:val="Heading2"/>
        <w:spacing w:after="120" w:before="260"/>
      </w:pPr>
      <w:r>
        <w:rPr>
          <w:b/>
          <w:bCs/>
          <w:color w:val="182A1C"/>
          <w:sz w:val="24"/>
          <w:szCs w:val="24"/>
        </w:rPr>
        <w:t xml:space="preserve">"I cannot find a way to create a new invoice."</w:t>
      </w:r>
    </w:p>
    <w:p>
      <w:pPr>
        <w:spacing w:after="160"/>
      </w:pPr>
      <w:r>
        <w:t xml:space="preserve">That is expected, see Rule 1. There is no blank "New Invoice" button anywhere in this module. Open the Waybill that was delivered and use "Create Invoice" on it (only available once the waybill is Accepted), or open the Purchase Order itself and use its "+ Invoice" button.</w:t>
      </w:r>
    </w:p>
    <w:p>
      <w:pPr>
        <w:pStyle w:val="Heading2"/>
        <w:spacing w:after="120" w:before="260"/>
      </w:pPr>
      <w:r>
        <w:rPr>
          <w:b/>
          <w:bCs/>
          <w:color w:val="182A1C"/>
          <w:sz w:val="24"/>
          <w:szCs w:val="24"/>
        </w:rPr>
        <w:t xml:space="preserve">"I made a mistake on a Waybill and now I can't fix it."</w:t>
      </w:r>
    </w:p>
    <w:p>
      <w:pPr>
        <w:spacing w:after="160"/>
      </w:pPr>
      <w:r>
        <w:t xml:space="preserve">If its status is still "Pending Inspection," it is still editable, open it and correct it. If you already saved it as Accepted, Partially Accepted or Rejected, it is locked permanently, per Rule 2, there is no unlock path. Contact an Admin about the correct way to reverse its effect, generally by voiding or correcting whatever it produced downstream (an invoice, or a PO's delivered quantity) rather than editing the waybill itself.</w:t>
      </w:r>
    </w:p>
    <w:p>
      <w:pPr>
        <w:pStyle w:val="Heading2"/>
        <w:spacing w:after="120" w:before="260"/>
      </w:pPr>
      <w:r>
        <w:rPr>
          <w:b/>
          <w:bCs/>
          <w:color w:val="182A1C"/>
          <w:sz w:val="24"/>
          <w:szCs w:val="24"/>
        </w:rPr>
        <w:t xml:space="preserve">"My foreign-currency invoice isn't showing up in the accounts."</w:t>
      </w:r>
    </w:p>
    <w:p>
      <w:pPr>
        <w:spacing w:after="160"/>
      </w:pPr>
      <w:r>
        <w:t xml:space="preserve">Check that it has an exchange rate filled in. A USD, GBP or EUR invoice with no rate saves normally in this module but deliberately does not post to the General Ledger until a rate is supplied, see the callout in Section 8. There is no error message on this screen when that happens, so this is the first thing to check.</w:t>
      </w:r>
    </w:p>
    <w:p>
      <w:pPr>
        <w:pStyle w:val="Heading2"/>
        <w:spacing w:after="120" w:before="260"/>
      </w:pPr>
      <w:r>
        <w:rPr>
          <w:b/>
          <w:bCs/>
          <w:color w:val="182A1C"/>
          <w:sz w:val="24"/>
          <w:szCs w:val="24"/>
        </w:rPr>
        <w:t xml:space="preserve">"A Purchase Order is stuck and won't let me edit it."</w:t>
      </w:r>
    </w:p>
    <w:p>
      <w:pPr>
        <w:spacing w:after="160"/>
      </w:pPr>
      <w:r>
        <w:t xml:space="preserve">Once a PO is Approved, Partial, Complete, Rejected or Cancelled, it locks by design, see Rule 2, because deliveries and invoices already reference its exact lines and pricing. If it genuinely needs to change after that point, that is a correction to raise with an Admin, not something to work around by editing the locked form.</w:t>
      </w:r>
    </w:p>
    <w:p>
      <w:pPr>
        <w:pStyle w:val="Heading2"/>
        <w:spacing w:after="120" w:before="260"/>
      </w:pPr>
      <w:r>
        <w:rPr>
          <w:b/>
          <w:bCs/>
          <w:color w:val="182A1C"/>
          <w:sz w:val="24"/>
          <w:szCs w:val="24"/>
        </w:rPr>
        <w:t xml:space="preserve">"I need to cancel a Supplier Invoice that was billed by mistake."</w:t>
      </w:r>
    </w:p>
    <w:p>
      <w:pPr>
        <w:spacing w:after="160"/>
      </w:pPr>
      <w:r>
        <w:t xml:space="preserve">Open the invoice and use the red "Void" button, it will ask for a short reason. This sets the invoice to Cancelled, frees up the quantity it billed so it can be correctly re-invoiced if needed, and keeps the original on file. Do not use Delete for an invoice that has already been saved, once it exists it is already visible in Accounts Payable and on its way into the General Ledger, and Delete does not clean up either of those the way Void does.</w:t>
      </w:r>
    </w:p>
    <w:p>
      <w:pPr>
        <w:pStyle w:val="Heading2"/>
        <w:spacing w:after="120" w:before="260"/>
      </w:pPr>
      <w:r>
        <w:rPr>
          <w:b/>
          <w:bCs/>
          <w:color w:val="182A1C"/>
          <w:sz w:val="24"/>
          <w:szCs w:val="24"/>
        </w:rPr>
        <w:t xml:space="preserve">"The supplier I need isn't in the suggestion list."</w:t>
      </w:r>
    </w:p>
    <w:p>
      <w:pPr>
        <w:spacing w:after="160"/>
      </w:pPr>
      <w:r>
        <w:t xml:space="preserve">You can still type the name directly into the Supplier or Client field and save normally, it does not have to be on the list first. For a supplier that will be used repeatedly, it is worth asking for it to be added properly in Accounts Payable, Suppliers, so the name stays spelled consistently across every future PO and invoice, see Section 10.</w:t>
      </w:r>
    </w:p>
    <w:p>
      <w:pPr>
        <w:spacing w:after="300"/>
      </w:pPr>
    </w:p>
    <w:p>
      <w:pPr>
        <w:pBdr>
          <w:top w:val="single" w:color="D4E0D6" w:sz="6"/>
        </w:pBdr>
        <w:spacing w:before="200"/>
      </w:pPr>
      <w:r>
        <w:rPr>
          <w:i/>
          <w:iCs/>
          <w:color w:val="6B7280"/>
          <w:sz w:val="18"/>
          <w:szCs w:val="18"/>
        </w:rPr>
        <w:t xml:space="preserve">This manual reflects the SLOT ERP Procurement module as deployed on 21 August 2026. If a screen you see does not match a description here, the app may have changed since then. Flag it so this manual can be kept current.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2026-08-21T06:46:59.787Z</dcterms:created>
  <dcterms:modified xsi:type="dcterms:W3CDTF">2026-08-21T06:46:59.787Z</dcterms:modified>
</cp:coreProperties>
</file>

<file path=docProps/custom.xml><?xml version="1.0" encoding="utf-8"?>
<Properties xmlns="http://schemas.openxmlformats.org/officeDocument/2006/custom-properties" xmlns:vt="http://schemas.openxmlformats.org/officeDocument/2006/docPropsVTypes"/>
</file>