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2-1: Yeosu → Busan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case_2_yeosu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2025-11-20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2-1: Yeosu → Busan.</w:t>
        <w:br/>
        <w:t>The analysis evaluates 66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5000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450.53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30,000,000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Route Information</w:t>
      </w:r>
    </w:p>
    <w:p>
      <w:r>
        <w:t>Source: Yeosu</w:t>
      </w:r>
    </w:p>
    <w:p>
      <w:r>
        <w:t>Destination: Busan</w:t>
      </w:r>
    </w:p>
    <w:p>
      <w:r>
        <w:t>Distance: 86.0 nautical miles</w:t>
      </w:r>
    </w:p>
    <w:p>
      <w:r>
        <w:t>Travel Time: 5.73 hours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5000, 10000, 15000, 20000, 25000...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Disabled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5000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450.53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194.70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15.40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86.76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6.86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135.71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11.10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운항 시간 분석 (Time Structure Analysis)</w:t>
      </w:r>
    </w:p>
    <w:p>
      <w:pPr>
        <w:pStyle w:val="Heading2"/>
      </w:pPr>
      <w:r>
        <w:t>최적 시나리오의 운항 시간 구성</w:t>
      </w:r>
    </w:p>
    <w:p>
      <w:r>
        <w:t>최적 시나리오 (Shuttle 5000 m³, Pump 2000 m³/h)의 1회 왕복 운항 시간을 상세히 분석합니다. 총 사이클 시간은 22.29시간이며, 이는 연간 최대 359회의 운항을 가능하게 합니다.</w:t>
      </w:r>
    </w:p>
    <w:p>
      <w:pPr>
        <w:pStyle w:val="Heading3"/>
      </w:pPr>
      <w:r>
        <w:t>시간 구성 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 구성 요소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 (h)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비율 (%)</w:t>
            </w:r>
          </w:p>
        </w:tc>
      </w:tr>
      <w:tr>
        <w:tc>
          <w:tcPr>
            <w:tcW w:type="dxa" w:w="2880"/>
          </w:tcPr>
          <w:p>
            <w:r>
              <w:t>육상 연료 적재</w:t>
            </w:r>
          </w:p>
        </w:tc>
        <w:tc>
          <w:tcPr>
            <w:tcW w:type="dxa" w:w="2880"/>
          </w:tcPr>
          <w:p>
            <w:r>
              <w:t>3.33</w:t>
            </w:r>
          </w:p>
        </w:tc>
        <w:tc>
          <w:tcPr>
            <w:tcW w:type="dxa" w:w="2880"/>
          </w:tcPr>
          <w:p>
            <w:r>
              <w:t>17.6%</w:t>
            </w:r>
          </w:p>
        </w:tc>
      </w:tr>
      <w:tr>
        <w:tc>
          <w:tcPr>
            <w:tcW w:type="dxa" w:w="2880"/>
          </w:tcPr>
          <w:p>
            <w:r>
              <w:t>편도 항해</w:t>
            </w:r>
          </w:p>
        </w:tc>
        <w:tc>
          <w:tcPr>
            <w:tcW w:type="dxa" w:w="2880"/>
          </w:tcPr>
          <w:p>
            <w:r>
              <w:t>5.73</w:t>
            </w:r>
          </w:p>
        </w:tc>
        <w:tc>
          <w:tcPr>
            <w:tcW w:type="dxa" w:w="2880"/>
          </w:tcPr>
          <w:p>
            <w:r>
              <w:t>30.2%</w:t>
            </w:r>
          </w:p>
        </w:tc>
      </w:tr>
      <w:tr>
        <w:tc>
          <w:tcPr>
            <w:tcW w:type="dxa" w:w="2880"/>
          </w:tcPr>
          <w:p>
            <w:r>
              <w:t>호스 연결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5.3%</w:t>
            </w:r>
          </w:p>
        </w:tc>
      </w:tr>
      <w:tr>
        <w:tc>
          <w:tcPr>
            <w:tcW w:type="dxa" w:w="2880"/>
          </w:tcPr>
          <w:p>
            <w:r>
              <w:t>벙커링 펌핑</w:t>
            </w:r>
          </w:p>
        </w:tc>
        <w:tc>
          <w:tcPr>
            <w:tcW w:type="dxa" w:w="2880"/>
          </w:tcPr>
          <w:p>
            <w:r>
              <w:t>2.50</w:t>
            </w:r>
          </w:p>
        </w:tc>
        <w:tc>
          <w:tcPr>
            <w:tcW w:type="dxa" w:w="2880"/>
          </w:tcPr>
          <w:p>
            <w:r>
              <w:t>13.2%</w:t>
            </w:r>
          </w:p>
        </w:tc>
      </w:tr>
      <w:tr>
        <w:tc>
          <w:tcPr>
            <w:tcW w:type="dxa" w:w="2880"/>
          </w:tcPr>
          <w:p>
            <w:r>
              <w:t>호스 분리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5.3%</w:t>
            </w:r>
          </w:p>
        </w:tc>
      </w:tr>
      <w:tr>
        <w:tc>
          <w:tcPr>
            <w:tcW w:type="dxa" w:w="2880"/>
          </w:tcPr>
          <w:p>
            <w:r>
              <w:t>복귀 항해</w:t>
            </w:r>
          </w:p>
        </w:tc>
        <w:tc>
          <w:tcPr>
            <w:tcW w:type="dxa" w:w="2880"/>
          </w:tcPr>
          <w:p>
            <w:r>
              <w:t>5.73</w:t>
            </w:r>
          </w:p>
        </w:tc>
        <w:tc>
          <w:tcPr>
            <w:tcW w:type="dxa" w:w="2880"/>
          </w:tcPr>
          <w:p>
            <w:r>
              <w:t>30.2%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【총 사이클 시간】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22.29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>
      <w:pPr>
        <w:pStyle w:val="Heading3"/>
      </w:pPr>
      <w:r>
        <w:t>연간 운영 지표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연간 최대 항차</w:t>
            </w:r>
          </w:p>
        </w:tc>
        <w:tc>
          <w:tcPr>
            <w:tcW w:type="dxa" w:w="4320"/>
          </w:tcPr>
          <w:p>
            <w:r>
              <w:t>359 회</w:t>
            </w:r>
          </w:p>
        </w:tc>
      </w:tr>
      <w:tr>
        <w:tc>
          <w:tcPr>
            <w:tcW w:type="dxa" w:w="4320"/>
          </w:tcPr>
          <w:p>
            <w:r>
              <w:t>연간 공급 용량</w:t>
            </w:r>
          </w:p>
        </w:tc>
        <w:tc>
          <w:tcPr>
            <w:tcW w:type="dxa" w:w="4320"/>
          </w:tcPr>
          <w:p>
            <w:r>
              <w:t>1794258 m³</w:t>
            </w:r>
          </w:p>
        </w:tc>
      </w:tr>
      <w:tr>
        <w:tc>
          <w:tcPr>
            <w:tcW w:type="dxa" w:w="4320"/>
          </w:tcPr>
          <w:p>
            <w:r>
              <w:t>시간 활용도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셔틀당 평균 일정</w:t>
            </w:r>
          </w:p>
        </w:tc>
        <w:tc>
          <w:tcPr>
            <w:tcW w:type="dxa" w:w="4320"/>
          </w:tcPr>
          <w:p>
            <w:r>
              <w:t>1.0 일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3"/>
      </w:pPr>
      <w:r>
        <w:t>시간 분석</w:t>
      </w:r>
    </w:p>
    <w:p>
      <w:r>
        <w:t>벙커링 펌핑이 전체 사이클의 30.2%를 차지하여, 펌프 크기 선택이 가장 중요한 최적화 포인트입니다. 기본 사이클 시간(육상 제외)은 18.96시간이며, 육상 연료 적재에 추가로 3.33시간이 소요됩니다. 이 시간 구조는 연간 359회의 운항을 가능하게 하며, 총 20년간 약 35.9백만 m³의 암모니아 연료를 공급할 수 있습니다.</w:t>
      </w:r>
    </w:p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450.53</w:t>
            </w:r>
          </w:p>
        </w:tc>
        <w:tc>
          <w:tcPr>
            <w:tcW w:type="dxa" w:w="1440"/>
          </w:tcPr>
          <w:p>
            <w:r>
              <w:t>210.10</w:t>
            </w:r>
          </w:p>
        </w:tc>
        <w:tc>
          <w:tcPr>
            <w:tcW w:type="dxa" w:w="1440"/>
          </w:tcPr>
          <w:p>
            <w:r>
              <w:t>240.43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450.81</w:t>
            </w:r>
          </w:p>
        </w:tc>
        <w:tc>
          <w:tcPr>
            <w:tcW w:type="dxa" w:w="1440"/>
          </w:tcPr>
          <w:p>
            <w:r>
              <w:t>243.58</w:t>
            </w:r>
          </w:p>
        </w:tc>
        <w:tc>
          <w:tcPr>
            <w:tcW w:type="dxa" w:w="1440"/>
          </w:tcPr>
          <w:p>
            <w:r>
              <w:t>207.23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450.83</w:t>
            </w:r>
          </w:p>
        </w:tc>
        <w:tc>
          <w:tcPr>
            <w:tcW w:type="dxa" w:w="1440"/>
          </w:tcPr>
          <w:p>
            <w:r>
              <w:t>210.09</w:t>
            </w:r>
          </w:p>
        </w:tc>
        <w:tc>
          <w:tcPr>
            <w:tcW w:type="dxa" w:w="1440"/>
          </w:tcPr>
          <w:p>
            <w:r>
              <w:t>240.73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453.18</w:t>
            </w:r>
          </w:p>
        </w:tc>
        <w:tc>
          <w:tcPr>
            <w:tcW w:type="dxa" w:w="1440"/>
          </w:tcPr>
          <w:p>
            <w:r>
              <w:t>211.26</w:t>
            </w:r>
          </w:p>
        </w:tc>
        <w:tc>
          <w:tcPr>
            <w:tcW w:type="dxa" w:w="1440"/>
          </w:tcPr>
          <w:p>
            <w:r>
              <w:t>241.92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453.48</w:t>
            </w:r>
          </w:p>
        </w:tc>
        <w:tc>
          <w:tcPr>
            <w:tcW w:type="dxa" w:w="1440"/>
          </w:tcPr>
          <w:p>
            <w:r>
              <w:t>244.97</w:t>
            </w:r>
          </w:p>
        </w:tc>
        <w:tc>
          <w:tcPr>
            <w:tcW w:type="dxa" w:w="1440"/>
          </w:tcPr>
          <w:p>
            <w:r>
              <w:t>208.50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458.35</w:t>
            </w:r>
          </w:p>
        </w:tc>
        <w:tc>
          <w:tcPr>
            <w:tcW w:type="dxa" w:w="1440"/>
          </w:tcPr>
          <w:p>
            <w:r>
              <w:t>215.45</w:t>
            </w:r>
          </w:p>
        </w:tc>
        <w:tc>
          <w:tcPr>
            <w:tcW w:type="dxa" w:w="1440"/>
          </w:tcPr>
          <w:p>
            <w:r>
              <w:t>242.89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462.89</w:t>
            </w:r>
          </w:p>
        </w:tc>
        <w:tc>
          <w:tcPr>
            <w:tcW w:type="dxa" w:w="1440"/>
          </w:tcPr>
          <w:p>
            <w:r>
              <w:t>217.85</w:t>
            </w:r>
          </w:p>
        </w:tc>
        <w:tc>
          <w:tcPr>
            <w:tcW w:type="dxa" w:w="1440"/>
          </w:tcPr>
          <w:p>
            <w:r>
              <w:t>245.04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464.47</w:t>
            </w:r>
          </w:p>
        </w:tc>
        <w:tc>
          <w:tcPr>
            <w:tcW w:type="dxa" w:w="1440"/>
          </w:tcPr>
          <w:p>
            <w:r>
              <w:t>253.48</w:t>
            </w:r>
          </w:p>
        </w:tc>
        <w:tc>
          <w:tcPr>
            <w:tcW w:type="dxa" w:w="1440"/>
          </w:tcPr>
          <w:p>
            <w:r>
              <w:t>210.98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10000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469.09</w:t>
            </w:r>
          </w:p>
        </w:tc>
        <w:tc>
          <w:tcPr>
            <w:tcW w:type="dxa" w:w="1440"/>
          </w:tcPr>
          <w:p>
            <w:r>
              <w:t>255.97</w:t>
            </w:r>
          </w:p>
        </w:tc>
        <w:tc>
          <w:tcPr>
            <w:tcW w:type="dxa" w:w="1440"/>
          </w:tcPr>
          <w:p>
            <w:r>
              <w:t>213.12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473.65</w:t>
            </w:r>
          </w:p>
        </w:tc>
        <w:tc>
          <w:tcPr>
            <w:tcW w:type="dxa" w:w="1440"/>
          </w:tcPr>
          <w:p>
            <w:r>
              <w:t>225.20</w:t>
            </w:r>
          </w:p>
        </w:tc>
        <w:tc>
          <w:tcPr>
            <w:tcW w:type="dxa" w:w="1440"/>
          </w:tcPr>
          <w:p>
            <w:r>
              <w:t>248.46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(46.6%) and OPEX (53.4%).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46.6%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53.4%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210.10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240.43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66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450.53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838.59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624.74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624.36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122.30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