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7장. 최적화 결과</w:t>
      </w:r>
    </w:p>
    <w:p>
      <w:pPr>
        <w:spacing w:after="240"/>
      </w:pPr>
      <w:r>
        <w:t xml:space="preserve">본 장에서는 MILP 모델의 최적화 결과를 제시한다. 각 Case별로 최적해를 분석하고, 경제적 특성을 비교한다. 결과는 현재 모델 실행 후 생성되는 CSV/Excel 파일에서 확인할 수 있다.</w:t>
      </w:r>
    </w:p>
    <w:p>
      <w:pPr>
        <w:pStyle w:val="Heading2"/>
      </w:pPr>
      <w:r>
        <w:t xml:space="preserve">7.1 최적화 결과 개요</w:t>
      </w:r>
    </w:p>
    <w:p>
      <w:pPr>
        <w:spacing w:after="240"/>
      </w:pPr>
      <w:r>
        <w:t xml:space="preserve">최적화는 각 Case에 대해 90개의 셔틀-펌프 조합을 평가하며, 각 조합에 대해 20년 계획 기간의 순현재가(NPC)를 계산한다. 결과는 NPC 기준으로 정렬되며, Top 10 시나리오가 제시된다.</w:t>
      </w:r>
    </w:p>
    <w:p>
      <w:pPr>
        <w:pStyle w:val="Heading2"/>
      </w:pPr>
      <w:r>
        <w:t xml:space="preserve">7.2 결과 파일 구성</w:t>
      </w:r>
    </w:p>
    <w:p>
      <w:pPr>
        <w:spacing w:after="240"/>
      </w:pPr>
      <w:r>
        <w:t xml:space="preserve">최적화 완료 후 다음 파일들이 생성된다:
MILP_scenario_summary_case_X.csv: 90개 조합 모두의 NPC 요약
MILP_per_year_results_case_X.csv: 최적해에 대한 연도별 상세 결과 (2030-2050)
MILP_results_case_X.xlsx: Excel 형식의 다중 시트 (요약, 상세, 그래프)
MILP_Report_case_X.docx: 전문 형식의 Word 보고서</w:t>
      </w:r>
    </w:p>
    <w:p>
      <w:pPr>
        <w:pStyle w:val="Heading2"/>
      </w:pPr>
      <w:r>
        <w:t xml:space="preserve">7.3 최적해의 해석</w:t>
      </w:r>
    </w:p>
    <w:p>
      <w:pPr>
        <w:spacing w:after="240"/>
      </w:pPr>
      <w:r>
        <w:t xml:space="preserve">최적해는 다음을 의미한다:
셔틀 선택: 선택된 크기의 셔틀 선박이 가장 경제적
펌프 선택: 선택된 유량의 펌프가 최적의 비용-성능 트레이드오프 제공
NPC: 20년 누적 순현재가 (할인율 7% 적용)
NPC 값이 낮을수록 더 경제적인 시나리오이다.</w:t>
      </w:r>
    </w:p>
    <w:p>
      <w:pPr>
        <w:pStyle w:val="Heading2"/>
      </w:pPr>
      <w:r>
        <w:t xml:space="preserve">7.4 Case별 특성</w:t>
      </w:r>
    </w:p>
    <w:p>
      <w:pPr>
        <w:spacing w:after="240"/>
      </w:pPr>
      <w:r>
        <w:t xml:space="preserve">Case 1 (부산 저장소):
- 초기 투자: 가장 높음 (저장탱크 때문)
- 유연성: 가장 높음 (탱크가 수요 변동 흡수)
- 연간 운영 횟수: 가장 많음 (사이클 타임 짧음)
Case 2-1 (여수):
- 초기 투자: 가장 낮음
- 유연성: 중간 (사전 예약 필요)
- 연간 운영 횟수: 적음 (사이클 타임 길음)
Case 2-2 (울산):
- 초기 투자: Case 2-1과 동일
- 유연성: Case 2-1과 동일
- 연간 운영 횟수: 가장 적음 (거리 때문)
- 경제성: 일반적으로 가장 우수</w:t>
      </w:r>
    </w:p>
    <w:p>
      <w:pPr>
        <w:pStyle w:val="Heading1"/>
      </w:pPr>
      <w:r>
        <w:t xml:space="preserve">8장. 민감도 분석 (Placeholder)</w:t>
      </w:r>
    </w:p>
    <w:p>
      <w:pPr>
        <w:spacing w:after="240"/>
      </w:pPr>
      <w:r>
        <w:t xml:space="preserve">본 장에서는 최적해가 주요 파라미터의 변화에 얼마나 민감한지 분석한다. 이를 통해 리스크 요인을 파악하고 강건한(robust) 전략을 수립할 수 있다.</w:t>
      </w:r>
    </w:p>
    <w:p>
      <w:pPr>
        <w:pStyle w:val="Heading2"/>
      </w:pPr>
      <w:r>
        <w:t xml:space="preserve">8.1 할인율 변화</w:t>
      </w:r>
    </w:p>
    <w:p>
      <w:pPr>
        <w:spacing w:after="240"/>
      </w:pPr>
      <w:r>
        <w:t xml:space="preserve">[분석 공간 예약]
분석 항목:
- 할인율 3%, 5%, 7%(기본), 10%, 12% 적용
- 각 할인율에서 최적해 변화 추적
- NPC 민감도 측정 (할인율 1% 증가당 NPC 변화율)
예상 결과:
- 할인율 증가 → 초기 투자 부담 감소 → Case 1 상대적으로 개선 가능
- 하지만 변동비(연료)의 중요도는 상대적으로 감소</w:t>
      </w:r>
    </w:p>
    <w:p>
      <w:pPr>
        <w:pStyle w:val="Heading2"/>
      </w:pPr>
      <w:r>
        <w:t xml:space="preserve">8.2 연료 가격 변화</w:t>
      </w:r>
    </w:p>
    <w:p>
      <w:pPr>
        <w:spacing w:after="240"/>
      </w:pPr>
      <w:r>
        <w:t xml:space="preserve">[분석 공간 예약]
분석 항목:
- 암모니아 가격 USD 400, 500, 600(기본), 800, 1000/ton
- 각 가격에서 최적해 변화
- NPC 민감도 측정
예상 결과:
- 연료 가격이 높을수록 효율적 운영 중요
- 펌프 크기 증가 (빠른 벙커링 → 연료비 절감)
- Case 2의 경제성 상대적 개선 (운송 효율 때문)</w:t>
      </w:r>
    </w:p>
    <w:p>
      <w:pPr>
        <w:pStyle w:val="Heading2"/>
      </w:pPr>
      <w:r>
        <w:t xml:space="preserve">8.3 수요 시나리오</w:t>
      </w:r>
    </w:p>
    <w:p>
      <w:pPr>
        <w:spacing w:after="240"/>
      </w:pPr>
      <w:r>
        <w:t xml:space="preserve">[분석 공간 예약]
분석 항목:
- 낙관적: 2050년 600척 (기본 500척 대비 20% 증가)
- 중립적: 기본 시나리오 (2030년 50척 → 2050년 500척)
- 보수적: 2050년 400척 (기본 대비 20% 감소)
예상 결과:
- 수요 증가 → 더 큰 셔틀/펌프 선호
- 수요 감소 → 더 작은 시스템 선호
- 초기 과잉 투자 vs 후기 부족 투자의 트레이드오프</w:t>
      </w:r>
    </w:p>
    <w:p>
      <w:pPr>
        <w:pStyle w:val="Heading2"/>
      </w:pPr>
      <w:r>
        <w:t xml:space="preserve">8.4 종합 민감도</w:t>
      </w:r>
    </w:p>
    <w:p>
      <w:pPr>
        <w:spacing w:after="240"/>
      </w:pPr>
      <w:r>
        <w:t xml:space="preserve">[분석 공간 예약]
Tornado Diagram 형식:
- 각 파라미터의 NPC 영향도를 시각화
- 가장 영향력 있는 파라미터 파악
- Worst-case와 Best-case 시나리오 분석
예상 영향도 순위:
1. 연료 가격 (변동비의 63% 차지)
2. 수요 예측 (규모 결정)
3. 할인율 (자본비와 초기 투자에 영향)
4. 펌프 효율 (연료비 직결)
5. 셔틀 건조 비용 (CAPEX)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Malgun Gothic" w:cs="Malgun Gothic" w:eastAsia="Malgun Gothic" w:hAnsi="Malgun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Malgun Gothic" w:cs="Malgun Gothic" w:eastAsia="Malgun Gothic" w:hAnsi="Malgun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algun Gothic" w:cs="Malgun Gothic" w:eastAsia="Malgun Gothic" w:hAnsi="Malgun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2025-11-19T11:07:02.731Z</dcterms:created>
  <dcterms:modified xsi:type="dcterms:W3CDTF">2025-11-19T11:07:02.732Z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