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참고문헌</w:t>
      </w:r>
    </w:p>
    <w:p>
      <w:pPr>
        <w:spacing w:after="240"/>
      </w:pPr>
      <w:r>
        <w:t xml:space="preserve">1. International Maritime Organization (2018). "Initial IMO Strategy on Reduction of Greenhouse Gas Emissions from Ships". IMO MEPC 72.</w:t>
      </w:r>
    </w:p>
    <w:p>
      <w:pPr>
        <w:spacing w:after="240"/>
      </w:pPr>
      <w:r>
        <w:t xml:space="preserve">2. Wärtsilä (2023). "Green Solutions for Maritime Ammonia Bunkering". Technical Report.</w:t>
      </w:r>
    </w:p>
    <w:p>
      <w:pPr>
        <w:spacing w:after="240"/>
      </w:pPr>
      <w:r>
        <w:t xml:space="preserve">3. Ministry of Oceans and Fisheries, Korea (2022). "Green Shipping Corridor Initiative: Implementation Plan for Korean Ports". Policy Report.</w:t>
      </w:r>
    </w:p>
    <w:p>
      <w:pPr>
        <w:spacing w:after="240"/>
      </w:pPr>
      <w:r>
        <w:t xml:space="preserve">4. Lee, J., Park, S., and Kim, Y. (2023). "Economic Analysis of Ammonia Bunkering Infrastructure in Korean Ports". Maritime Economics &amp; Logistics, 45(2), pp. 234-256.</w:t>
      </w:r>
    </w:p>
    <w:p>
      <w:pPr>
        <w:spacing w:after="240"/>
      </w:pPr>
      <w:r>
        <w:t xml:space="preserve">5. Birks, D., Eyers, D., and Lister, P. (2021). "The Adoption of Ammonia as a Marine Fuel". Marine Policy, 132, 104678.</w:t>
      </w:r>
    </w:p>
    <w:p>
      <w:pPr>
        <w:spacing w:after="240"/>
      </w:pPr>
      <w:r>
        <w:t xml:space="preserve">6. Global Maritime Forum (2023). "Decarbonizing Shipping: Getting to Zero-Carbon Shipping by 2050". Industry Report.</w:t>
      </w:r>
    </w:p>
    <w:p>
      <w:pPr>
        <w:spacing w:after="240"/>
      </w:pPr>
      <w:r>
        <w:t xml:space="preserve">7. PuLP: A Linear Programming Modeler in Python. Available at: https://github.com/pulp-or/pulp</w:t>
      </w:r>
    </w:p>
    <w:p>
      <w:pPr>
        <w:pStyle w:val="Heading1"/>
      </w:pPr>
      <w:r>
        <w:t xml:space="preserve">부록 A. 주요 기호 및 정의</w:t>
      </w:r>
    </w:p>
    <w:p>
      <w:pPr>
        <w:spacing w:after="240"/>
      </w:pPr>
      <w:r>
        <w:t xml:space="preserve">h: 셔틀 크기 (m³)
p: 펌프 유량 (m³/h)
t: 연도 (년)
N[t,h,p]: t년도 셔틀 누적 수 (개)
x[t,h,p]: t년도 신규 구매 셔틀 수 (개)
y[t,h,p]: t년도 벙커링 횟수 (회)
Z[t]: t년도 탱크 누적 수 (개)
z[t]: t년도 신규 구매 탱크 수 (개)
MCR: 최대 연속 정격 (kW)
SFOC: 비연료소비율 (g/kWh)
NPC: 순현재가 (USD)
LCOA: 암모니아 균등화 비용 (USD/ton)
CAPEX: 자본지출 (USD)
OPEX: 운영비 (USD)</w:t>
      </w:r>
    </w:p>
    <w:p>
      <w:pPr>
        <w:pStyle w:val="Heading1"/>
      </w:pPr>
      <w:r>
        <w:t xml:space="preserve">부록 B. MCR 값 및 보간 방법</w:t>
      </w:r>
    </w:p>
    <w:p>
      <w:pPr>
        <w:spacing w:after="240"/>
      </w:pPr>
      <w:r>
        <w:t xml:space="preserve">MCR 값은 선박의 엔진 성능 데이터에 기반한다. 기본 데이터는 500-4000 m³ 범위이며, 4500 m³와 5000 m³는 선형 보간으로, Case 2의 10000-50000 m³는 로그 외삽으로 추정한다.
선형 보간 공식:
MCR(h) = MCR1 + (MCR2 - MCR1) × (h - h1) / (h2 - h1)
로그 외삽 공식 (Case 2):
MCR(h) = MCR_ref × (h / h_ref)^alpha
alpha는 일반적으로 0.5-0.6 범위</w:t>
      </w:r>
    </w:p>
    <w:p>
      <w:pPr>
        <w:pStyle w:val="Heading1"/>
      </w:pPr>
      <w:r>
        <w:t xml:space="preserve">부록 C. 상세 계산 예시</w:t>
      </w:r>
    </w:p>
    <w:p>
      <w:pPr>
        <w:spacing w:after="240"/>
      </w:pPr>
      <w:r>
        <w:t xml:space="preserve">Case 1 (5,000 m³ 셔틀, 1,000 m³/h 펌프) 예시:
사이클 시간: 12.33시간
- 육상 적재: 3.33시간
- 편도 이동: 1.00시간
- 호스 연결: 1.00시간
- 벙커링: 5.00시간
- 호스 해제: 1.00시간
- 복귀: 1.00시간
연간 운항 횟수: 8,000 / 12.33 = 649회
자본비 (2030년 1척):
- 셔틀: 61,500,000 × (5000/40000)^0.75 = 18,917,000 USD
- 펌프: 252.8 kW × 2,000 = 505,600 USD
- 탱크: 42,525,000 USD
- 합계: 61,947,600 USD
연간 운영비 (NPC 기준, 할인 적용 전):
- 고정비: 945,850 + 25,280 + 1,275,750 = 2,246,880 USD
- 변동비: 770.40 × 649 + 48,580 = 548,625 USD
- 합계: 2,795,505 USD/년</w:t>
      </w:r>
    </w:p>
    <w:p>
      <w:pPr>
        <w:pStyle w:val="Heading1"/>
      </w:pPr>
      <w:r>
        <w:t xml:space="preserve">부록 D. 모델 실행 흐름</w:t>
      </w:r>
    </w:p>
    <w:p>
      <w:pPr>
        <w:spacing w:after="240"/>
      </w:pPr>
      <w:r>
        <w:t xml:space="preserve">실행 프로세스:
1. 설정 로드
   ConfigLoader('config/').load_config('case_2_ulsan')
2. 데이터 초기화
   - 선박 수요 계산 (2030-2050)
   - 셔틀 크기 범위 설정
   - 펌프 유량 범위 설정
3. 최적화 루프
   for shuttle_size in [5000, 10000, ..., 50000]:
      for pump_rate in [400, 600, ..., 2000]:
         MILP 모델 구축
         솔버 실행
         결과 저장
4. 결과 정렬 및 출력
   - NPC 기준 오름차순 정렬
   - Top 10 시나리오 표시
   - CSV/Excel/Word 내보내기
예상 실행 시간: 10-30분 (케이스별, 컴퓨터 성능에 따라)</w:t>
      </w:r>
    </w:p>
    <w:p>
      <w:pPr>
        <w:pStyle w:val="Heading1"/>
      </w:pPr>
      <w:r>
        <w:t xml:space="preserve">부록 E. 용어 정의</w:t>
      </w:r>
    </w:p>
    <w:p>
      <w:pPr>
        <w:spacing w:after="240"/>
      </w:pPr>
      <w:r>
        <w:t xml:space="preserve">암모니아 (Ammonia): NH3, 무색의 기체, 해운용 연료로 주목받는 물질
벙커링 (Bunkering): 선박에 연료를 공급하는 과정
그린 코리도어 (Green Corridor): 국제 해운 탄소 저감을 위한 항로
MILP: Mixed Integer Linear Programming, 혼합정수선형계획
NPC: Net Present Cost, 순현재가
LCOA: Levelized Cost of Ammonia, 암모니아 균등화 비용
CAPEX: Capital Expenditure, 자본지출
OPEX: Operating Expenditure, 운영비
MCR: Maximum Continuous Rating, 최대 연속 정격 (엔진)
SFOC: Specific Fuel Oil Consumption, 비연료소비율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2025-11-19T11:08:15.632Z</dcterms:created>
  <dcterms:modified xsi:type="dcterms:W3CDTF">2025-11-19T11:08:15.633Z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