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9장. 토의</w:t>
      </w:r>
    </w:p>
    <w:p>
      <w:pPr>
        <w:spacing w:after="240"/>
      </w:pPr>
      <w:r>
        <w:t xml:space="preserve">본 장에서는 최적화 결과의 의미를 해석하고, 정책적 함의를 도출한다. 또한 모델의 한계점과 향후 연구 방향을 제시한다.</w:t>
      </w:r>
    </w:p>
    <w:p>
      <w:pPr>
        <w:pStyle w:val="Heading2"/>
      </w:pPr>
      <w:r>
        <w:t xml:space="preserve">9.1 주요 발견사항</w:t>
      </w:r>
    </w:p>
    <w:p>
      <w:pPr>
        <w:spacing w:after="240"/>
      </w:pPr>
      <w:r>
        <w:t xml:space="preserve">1) Case 선택의 중요성
경제성 측면에서 Case 2-2 (울산)가 일반적으로 가장 우수하다. 이는 다음 이유 때문이다:
- 가장 짧은 항해 거리 (25해리)
- 가장 빠른 회전율 (28.34시간 사이클)
- 가장 낮은 장비 투자 (저장탱크 불필요)
NPC 관점에서 Case 2-2는 Case 1 대비 약 30-40% 절감이 가능하다.</w:t>
      </w:r>
    </w:p>
    <w:p>
      <w:pPr>
        <w:spacing w:after="240"/>
      </w:pPr>
      <w:r>
        <w:t xml:space="preserve">2) 연료 가격의 지배적 영향
20년 누적 NPC에서 연료 및 에너지 비용이 63%를 차지한다. 따라서:
- 암모니아 가격의 10% 변동 → NPC 약 6-7% 변동
- 연료 가격 안정화가 중요
- 수소/암모니아 가격이 하락하면 더 우호적</w:t>
      </w:r>
    </w:p>
    <w:p>
      <w:pPr>
        <w:spacing w:after="240"/>
      </w:pPr>
      <w:r>
        <w:t xml:space="preserve">3) 장기 계획의 필요성
선박 수요가 2030년 50척에서 2050년 500척으로 10배 증가한다. 이는:
- 초기부터 확장 가능한 인프라 필요
- 과도한 초기 투자 금지 (비용 낭비)
- 정기적인 재평가와 업그레이드 필요</w:t>
      </w:r>
    </w:p>
    <w:p>
      <w:pPr>
        <w:pStyle w:val="Heading2"/>
      </w:pPr>
      <w:r>
        <w:t xml:space="preserve">9.2 실무 적용 가이드라인</w:t>
      </w:r>
    </w:p>
    <w:p>
      <w:pPr>
        <w:spacing w:after="240"/>
      </w:pPr>
      <w:r>
        <w:t xml:space="preserve">부산항 관리 주체가 이 모델을 활용하기 위해서는:
1단계: Case 선택
- 초기 투자 제약 → Case 2-2 선호
- 운영 유연성 중시 → Case 1 검토
- 기업 재정 상황 따라 결정
2단계: 연도별 설비 투자 계획
- 최적해의 연도별 신규 셔틀 구매 시기 반영
- 조선소 건조 기간 고려 (일반적으로 2-3년)
- 조기 구매로 할인 가능성 검토
3단계: 운영 관리
- 연료 가격 변화 모니터링
- 수요 예측 정기 갱신
- 매년 모델 업데이트 및 재평가</w:t>
      </w:r>
    </w:p>
    <w:p>
      <w:pPr>
        <w:pStyle w:val="Heading2"/>
      </w:pPr>
      <w:r>
        <w:t xml:space="preserve">9.3 모델의 한계점</w:t>
      </w:r>
    </w:p>
    <w:p>
      <w:pPr>
        <w:spacing w:after="240"/>
      </w:pPr>
      <w:r>
        <w:t xml:space="preserve">1) 기술 발전 미반영
- 현재: 2030-2050년 동안 기술 고정
- 현실: 펌프, 엔진, 배터리 기술 진화 가능
- 개선: 기술 개선 로드맵 추가 필요
2) 외부 요인 미고려
- 정책 변화 (탄소세, 규제)
- 경쟁사 진입
- 암모니아 수급 불안정성
3) 리스크 분석 부재
- 기술 리스크 (장비 고장)
- 시장 리스크 (수요 급감)
- 정치 리스크 (정책 변화)
4) 운영 유연성 제한
- 선박 임차 옵션 미포함
- 타 포트와의 협력 미포함</w:t>
      </w:r>
    </w:p>
    <w:p>
      <w:pPr>
        <w:pStyle w:val="Heading2"/>
      </w:pPr>
      <w:r>
        <w:t xml:space="preserve">9.4 향후 연구 방향</w:t>
      </w:r>
    </w:p>
    <w:p>
      <w:pPr>
        <w:spacing w:after="240"/>
      </w:pPr>
      <w:r>
        <w:t xml:space="preserve">1) 확장된 모델
- 다중 포트 네트워크 최적화
- 다양한 연료 (암모니아, 메탄올, 수소) 동시 고려
- 육상 공급 시설 통합 계획
2) 불확실성 분석
- 확률론적 수요 모델
- 시나리오 분석 (낙관/중립/보수)
- 옵션 가치 분석 (투자 지연 옵션 등)
3) 실제 운영 데이터
- 파일럿 운영 결과 반영
- 실제 벙커링 시간 측정
- 비용 실績 데이터 수집
4) 정책 분석
- 탄소세 시나리오
- 보조금 정책 효과
- 규제 변화 영향</w:t>
      </w:r>
    </w:p>
    <w:p>
      <w:pPr>
        <w:pStyle w:val="Heading1"/>
      </w:pPr>
      <w:r>
        <w:t xml:space="preserve">10장. 결론</w:t>
      </w:r>
    </w:p>
    <w:p>
      <w:pPr>
        <w:spacing w:after="240"/>
      </w:pPr>
      <w:r>
        <w:t xml:space="preserve">본 연구는 부산항의 암모니아 벙커링 인프라를 최적화하기 위한 MILP 모델을 개발하고, 3가지 Case에 대한 경제성 분석을 수행했다.</w:t>
      </w:r>
    </w:p>
    <w:p>
      <w:pPr>
        <w:pStyle w:val="Heading2"/>
      </w:pPr>
      <w:r>
        <w:t xml:space="preserve">10.1 주요 결론</w:t>
      </w:r>
    </w:p>
    <w:p>
      <w:pPr>
        <w:spacing w:after="240"/>
      </w:pPr>
      <w:r>
        <w:t xml:space="preserve">첫째, Case 선택이 경제성에 결정적 영향을 미친다. Case 2-2 (울산 근거리)는 Case 1 (부산 저장소) 대비 30-40% 낮은 NPC를 달성할 수 있다.
둘째, 연료 가격이 20년 누적 비용의 60% 이상을 차지하므로, 암모니아 가격 안정화가 프로젝트 성공의 핵심이다.
셋째, 선박 수요의 10배 증가(50척→500척)를 감당하기 위해서는 2030년부터 장기 계획을 수립해야 하며, 연도별 설비 투자 시기가 경제성을 좌우한다.
넷째, 3가지 Case는 상황에 따라 각각의 장점이 있으므로, 부산항의 여건(초기 자본 가용성, 운영 유연성 요구)에 따라 선택해야 한다.</w:t>
      </w:r>
    </w:p>
    <w:p>
      <w:pPr>
        <w:pStyle w:val="Heading2"/>
      </w:pPr>
      <w:r>
        <w:t xml:space="preserve">10.2 정책 권고사항</w:t>
      </w:r>
    </w:p>
    <w:p>
      <w:pPr>
        <w:spacing w:after="240"/>
      </w:pPr>
      <w:r>
        <w:t xml:space="preserve">1) 단기 (2025-2030)
- Case 2-2 선호도 분석 및 기본 계획 수립
- 울산 생산시설과의 협력 논의
- 파일럿 운영을 통한 실제 데이터 수집
2) 중기 (2030-2040)
- 선택된 Case에 따른 설비 투자 실행
- 연료 가격 변화에 대한 민감도 관리
- 모델 검증 및 개선
3) 장기 (2040-2050)
- 추가 설비 확충
- 기술 개선 사항 반영
- 다중 포트 네트워크 확장 검토</w:t>
      </w:r>
    </w:p>
    <w:p>
      <w:pPr>
        <w:pStyle w:val="Heading2"/>
      </w:pPr>
      <w:r>
        <w:t xml:space="preserve">10.3 최종 평가</w:t>
      </w:r>
    </w:p>
    <w:p>
      <w:pPr>
        <w:spacing w:after="240"/>
      </w:pPr>
      <w:r>
        <w:t xml:space="preserve">부산항의 암모니아 벙커링 인프라는 기술적으로 실현 가능하며, 경제적으로도 타당한 프로젝트이다. 특히 Case 2-2 시나리오는 매우 경쟁력 있는 선택지이다.
다만, 암모니아 연료의 시장 성숙도, 국제 규제 환경의 변화, 그리고 기술 혁신의 속도에 따라 최적해가 달라질 수 있으므로, 정기적인 재평가와 계획의 유연성 확보가 필수적이다.
부산항이 한국의 대표 국제 무역항으로서 글로벌 해운 탈탄소화를 주도할 수 있는 인프라를 구축하기 위해서는, 이 모델이 제시하는 최적화 원칙과 경제성 분석을 적극 참고하되, 정책 여건과 시장 상황의 변화에 맞춰 지속적으로 개선해나가야 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Malgun Gothic" w:cs="Malgun Gothic" w:eastAsia="Malgun Gothic" w:hAnsi="Malgun Gothic"/>
      <w:b/>
      <w:bCs/>
      <w:color w:val="000000"/>
      <w:sz w:val="32"/>
      <w:szCs w:val="32"/>
    </w:rPr>
  </w:style>
  <w:style w:type="paragraph" w:styleId="Heading2">
    <w:name w:val="Heading 2"/>
    <w:basedOn w:val="Normal"/>
    <w:next w:val="Normal"/>
    <w:qFormat/>
    <w:pPr>
      <w:spacing w:before="360" w:after="180"/>
      <w:outlineLvl w:val="1"/>
    </w:pPr>
    <w:rPr>
      <w:rFonts w:ascii="Malgun Gothic" w:cs="Malgun Gothic" w:eastAsia="Malgun Gothic" w:hAnsi="Malgun Gothic"/>
      <w:b/>
      <w:bCs/>
      <w:color w:val="000000"/>
      <w:sz w:val="28"/>
      <w:szCs w:val="28"/>
    </w:rPr>
  </w:style>
  <w:style w:type="paragraph" w:styleId="Heading3">
    <w:name w:val="Heading 3"/>
    <w:basedOn w:val="Normal"/>
    <w:next w:val="Normal"/>
    <w:qFormat/>
    <w:pPr>
      <w:spacing w:before="240" w:after="120"/>
      <w:outlineLvl w:val="2"/>
    </w:pPr>
    <w:rPr>
      <w:rFonts w:ascii="Malgun Gothic" w:cs="Malgun Gothic" w:eastAsia="Malgun Gothic" w:hAnsi="Malgun Gothic"/>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2025-11-19T11:07:43.061Z</dcterms:created>
  <dcterms:modified xsi:type="dcterms:W3CDTF">2025-11-19T11:07:43.062Z</dcterms:modified>
</cp:coreProperties>
</file>

<file path=docProps/custom.xml><?xml version="1.0" encoding="utf-8"?>
<Properties xmlns="http://schemas.openxmlformats.org/officeDocument/2006/custom-properties" xmlns:vt="http://schemas.openxmlformats.org/officeDocument/2006/docPropsVTypes"/>
</file>