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Green Corridor Ammonia Bunkering</w:t>
      </w:r>
    </w:p>
    <w:p>
      <w:pPr>
        <w:pStyle w:val="Title"/>
      </w:pPr>
      <w:r>
        <w:t xml:space="preserve">Infrastructure Optimization Report</w:t>
      </w:r>
    </w:p>
    <w:p>
      <w:pPr>
        <w:spacing w:after="100"/>
        <w:jc w:val="center"/>
      </w:pPr>
      <w:r>
        <w:rPr>
          <w:i/>
          <w:iCs/>
          <w:sz w:val="26"/>
          <w:szCs w:val="26"/>
        </w:rPr>
        <w:t xml:space="preserve">MILP Model Analysis &amp; Results (2030-2050)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November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presents a comprehensive MILP optimization analysis for ammonia bunkering infrastructure at Busan Port over a 20-year planning horizon (2030-2050). The analysis evaluates 270 system configurations across three scenarios to minimize Net Present Cost (NPC).</w:t>
      </w:r>
    </w:p>
    <w:p>
      <w:pPr>
        <w:pStyle w:val="Heading2"/>
        <w:spacing w:after="120"/>
      </w:pPr>
      <w:r>
        <w:t xml:space="preserve">Key Findings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1560"/>
        <w:gridCol w:w="156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Shuttle (m3)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Pump (m3/h)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NPC ($M)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Case 1: Busan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153.5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Case 2-1: Yeosu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158.2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Case 2-2: Ulsan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94.9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Strategic Recommendation: </w:t>
      </w:r>
      <w:r>
        <w:t xml:space="preserve">Case 2-2 (Ulsan) offers 38% cost advantage over Case 1, representing the most cost-effective bunkering solution.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  <w:spacing w:after="120"/>
      </w:pPr>
      <w:r>
        <w:t xml:space="preserve">Background</w:t>
      </w:r>
    </w:p>
    <w:p>
      <w:pPr>
        <w:spacing w:after="120"/>
      </w:pPr>
      <w:r>
        <w:t xml:space="preserve">The maritime industry is transforming towards decarbonization. Ammonia has emerged as a viable zero-carbon fuel for deep-sea shipping. This study optimizes ammonia bunkering infrastructure at Busan Port, a critical hub in the Green Shipping Corridor.</w:t>
      </w:r>
    </w:p>
    <w:p>
      <w:pPr>
        <w:pStyle w:val="Heading2"/>
        <w:spacing w:after="120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Determine optimal fleet composition and port infrastructure</w:t>
      </w:r>
    </w:p>
    <w:p>
      <w:pPr>
        <w:pStyle w:val="ListParagraph"/>
        <w:numPr>
          <w:ilvl w:val="0"/>
          <w:numId w:val="2"/>
        </w:numPr>
      </w:pPr>
      <w:r>
        <w:t xml:space="preserve">Minimize Net Present Cost over 20-year horizon</w:t>
      </w:r>
    </w:p>
    <w:p>
      <w:pPr>
        <w:pStyle w:val="ListParagraph"/>
        <w:numPr>
          <w:ilvl w:val="0"/>
          <w:numId w:val="2"/>
        </w:numPr>
      </w:pPr>
      <w:r>
        <w:t xml:space="preserve">Compare three operational scenarios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Provide actionable infrastructure investment recommendations</w:t>
      </w:r>
    </w:p>
    <w:p>
      <w:r>
        <w:br w:type="page"/>
      </w:r>
    </w:p>
    <w:p>
      <w:pPr>
        <w:pStyle w:val="Heading1"/>
      </w:pPr>
      <w:r>
        <w:t xml:space="preserve">2. Methodology</w:t>
      </w:r>
    </w:p>
    <w:p>
      <w:pPr>
        <w:pStyle w:val="Heading2"/>
        <w:spacing w:after="120"/>
      </w:pPr>
      <w:r>
        <w:t xml:space="preserve">MILP Model Framework</w:t>
      </w:r>
    </w:p>
    <w:p>
      <w:pPr>
        <w:spacing w:after="120"/>
      </w:pPr>
      <w:r>
        <w:t xml:space="preserve">Mixed Integer Linear Programming (MILP) solves: Minimize NPV = Sum[DISC(t) x (CAPEX(t) + OPEX(t))]</w:t>
      </w:r>
    </w:p>
    <w:p>
      <w:pPr>
        <w:spacing w:after="120"/>
      </w:pPr>
      <w:r>
        <w:t xml:space="preserve">Subject to demand satisfaction, operational capacity, and infrastructure constraints.</w:t>
      </w:r>
    </w:p>
    <w:p>
      <w:pPr>
        <w:pStyle w:val="Heading2"/>
        <w:spacing w:after="120"/>
      </w:pPr>
      <w:r>
        <w:t xml:space="preserve">Key Parameters</w:t>
      </w:r>
    </w:p>
    <w:p>
      <w:pPr>
        <w:spacing w:after="80"/>
      </w:pPr>
      <w:r>
        <w:rPr>
          <w:b/>
          <w:bCs/>
        </w:rPr>
        <w:t xml:space="preserve">Time Period: </w:t>
      </w:r>
      <w:r>
        <w:t xml:space="preserve">2030-2050 (20 years)</w:t>
      </w:r>
    </w:p>
    <w:p>
      <w:pPr>
        <w:spacing w:after="80"/>
      </w:pPr>
      <w:r>
        <w:rPr>
          <w:b/>
          <w:bCs/>
        </w:rPr>
        <w:t xml:space="preserve">Discount Rate: </w:t>
      </w:r>
      <w:r>
        <w:t xml:space="preserve">7%</w:t>
      </w:r>
    </w:p>
    <w:p>
      <w:pPr>
        <w:spacing w:after="80"/>
      </w:pPr>
      <w:r>
        <w:rPr>
          <w:b/>
          <w:bCs/>
        </w:rPr>
        <w:t xml:space="preserve">Fleet Growth: </w:t>
      </w:r>
      <w:r>
        <w:t xml:space="preserve">50 vessels (2030) to 500 vessels (2050)</w:t>
      </w:r>
    </w:p>
    <w:p>
      <w:pPr>
        <w:spacing w:after="240"/>
      </w:pPr>
      <w:r>
        <w:rPr>
          <w:b/>
          <w:bCs/>
        </w:rPr>
        <w:t xml:space="preserve">Ammonia Price: </w:t>
      </w:r>
      <w:r>
        <w:t xml:space="preserve">$600/ton baseline</w:t>
      </w:r>
    </w:p>
    <w:p>
      <w:r>
        <w:br w:type="page"/>
      </w:r>
    </w:p>
    <w:p>
      <w:pPr>
        <w:pStyle w:val="Heading1"/>
      </w:pPr>
      <w:r>
        <w:t xml:space="preserve">3. System Scenarios</w:t>
      </w:r>
    </w:p>
    <w:p>
      <w:pPr>
        <w:pStyle w:val="Heading2"/>
        <w:spacing w:after="120"/>
      </w:pPr>
      <w:r>
        <w:t xml:space="preserve">Case 1: Busan Port Storage</w:t>
      </w:r>
    </w:p>
    <w:p>
      <w:pPr>
        <w:spacing w:after="240"/>
      </w:pPr>
      <w:r>
        <w:t xml:space="preserve">Port-side 35,000-ton storage tank with shuttle-to-ship bunkering. Absorbs demand variability and enables economies of scale.</w:t>
      </w:r>
    </w:p>
    <w:p>
      <w:pPr>
        <w:pStyle w:val="Heading2"/>
        <w:spacing w:after="120"/>
      </w:pPr>
      <w:r>
        <w:t xml:space="preserve">Case 2-1: Yeosu Production</w:t>
      </w:r>
    </w:p>
    <w:p>
      <w:pPr>
        <w:spacing w:after="240"/>
      </w:pPr>
      <w:r>
        <w:t xml:space="preserve">Long-distance (86 nm, 5.73 hours) shuttle transport from Yeosu ammonia facility. Requires larger vessels.</w:t>
      </w:r>
    </w:p>
    <w:p>
      <w:pPr>
        <w:pStyle w:val="Heading2"/>
        <w:spacing w:after="120"/>
      </w:pPr>
      <w:r>
        <w:t xml:space="preserve">Case 2-2: Ulsan Production</w:t>
      </w:r>
    </w:p>
    <w:p>
      <w:pPr>
        <w:spacing w:after="240"/>
      </w:pPr>
      <w:r>
        <w:t xml:space="preserve">Short-distance (25 nm, 1.67 hours) shuttle transport from Ulsan. Minimizes operational costs.</w:t>
      </w:r>
    </w:p>
    <w:p>
      <w:r>
        <w:br w:type="page"/>
      </w:r>
    </w:p>
    <w:p>
      <w:pPr>
        <w:pStyle w:val="Heading1"/>
      </w:pPr>
      <w:r>
        <w:t xml:space="preserve">4. Optimization Results</w:t>
      </w:r>
    </w:p>
    <w:p>
      <w:pPr>
        <w:pStyle w:val="Heading2"/>
        <w:spacing w:after="120"/>
      </w:pPr>
      <w:r>
        <w:t xml:space="preserve">Figure 1: NPC Landscape</w:t>
      </w:r>
    </w:p>
    <w:p>
      <w:pPr>
        <w:spacing w:after="240"/>
        <w:jc w:val="center"/>
      </w:pPr>
      <w:r>
        <w:drawing>
          <wp:inline distT="0" distB="0" distL="0" distR="0">
            <wp:extent cx="4953000" cy="1524000"/>
            <wp:effectExtent t="0" r="0" b="0" l="0"/>
            <wp:docPr id="1" name="fig1" descr="NPC heatmaps" title="N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t xml:space="preserve">Figure 2: Cost Breakdown</w:t>
      </w:r>
    </w:p>
    <w:p>
      <w:pPr>
        <w:spacing w:after="240"/>
        <w:jc w:val="center"/>
      </w:pPr>
      <w:r>
        <w:drawing>
          <wp:inline distT="0" distB="0" distL="0" distR="0">
            <wp:extent cx="4953000" cy="1714500"/>
            <wp:effectExtent t="0" r="0" b="0" l="0"/>
            <wp:docPr id="1" name="fig2" descr="Cost breakdown" title="C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t xml:space="preserve">Figure 3: Case Comparison</w:t>
      </w:r>
    </w:p>
    <w:p>
      <w:pPr>
        <w:spacing w:after="24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fig3" descr="Case comparison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/>
      </w:pPr>
      <w:r>
        <w:t xml:space="preserve">Figure 4: NPC Distribution</w:t>
      </w:r>
    </w:p>
    <w:p>
      <w:pPr>
        <w:spacing w:after="240"/>
        <w:jc w:val="center"/>
      </w:pPr>
      <w:r>
        <w:drawing>
          <wp:inline distT="0" distB="0" distL="0" distR="0">
            <wp:extent cx="4953000" cy="1524000"/>
            <wp:effectExtent t="0" r="0" b="0" l="0"/>
            <wp:docPr id="1" name="fig4" descr="Distribution" title="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t xml:space="preserve">Figure 5: Sensitivity Analysis</w:t>
      </w:r>
    </w:p>
    <w:p>
      <w:pPr>
        <w:spacing w:after="240"/>
        <w:jc w:val="center"/>
      </w:pPr>
      <w:r>
        <w:drawing>
          <wp:inline distT="0" distB="0" distL="0" distR="0">
            <wp:extent cx="4953000" cy="1524000"/>
            <wp:effectExtent t="0" r="0" b="0" l="0"/>
            <wp:docPr id="1" name="fig5" descr="Sensitivity" title="Sensi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Detailed Analysis</w:t>
      </w:r>
    </w:p>
    <w:p>
      <w:pPr>
        <w:pStyle w:val="Heading2"/>
        <w:spacing w:after="120"/>
      </w:pPr>
      <w:r>
        <w:t xml:space="preserve">Case 1: Busan Storage</w:t>
      </w:r>
    </w:p>
    <w:p>
      <w:pPr>
        <w:spacing w:after="80"/>
      </w:pPr>
      <w:r>
        <w:rPr>
          <w:b/>
          <w:bCs/>
        </w:rPr>
        <w:t xml:space="preserve">Configuration: </w:t>
      </w:r>
      <w:r>
        <w:t xml:space="preserve">2,500 m3 shuttle, 2,000 m3/h pump</w:t>
      </w:r>
    </w:p>
    <w:p>
      <w:pPr>
        <w:spacing w:after="120"/>
      </w:pPr>
      <w:r>
        <w:rPr>
          <w:b/>
          <w:bCs/>
        </w:rPr>
        <w:t xml:space="preserve">Total NPC: $153.5M USD</w:t>
      </w:r>
    </w:p>
    <w:p>
      <w:pPr>
        <w:pStyle w:val="ListParagraph"/>
        <w:numPr>
          <w:ilvl w:val="0"/>
          <w:numId w:val="2"/>
        </w:numPr>
      </w:pPr>
      <w:r>
        <w:t xml:space="preserve">Shuttle CAPEX: $37.91M (24.7%)</w:t>
      </w:r>
    </w:p>
    <w:p>
      <w:pPr>
        <w:pStyle w:val="ListParagraph"/>
        <w:numPr>
          <w:ilvl w:val="0"/>
          <w:numId w:val="2"/>
        </w:numPr>
      </w:pPr>
      <w:r>
        <w:t xml:space="preserve">Bunkering CAPEX: $4.27M (2.8%)</w:t>
      </w:r>
    </w:p>
    <w:p>
      <w:pPr>
        <w:pStyle w:val="ListParagraph"/>
        <w:numPr>
          <w:ilvl w:val="0"/>
          <w:numId w:val="2"/>
        </w:numPr>
      </w:pPr>
      <w:r>
        <w:t xml:space="preserve">Tank CAPEX: $42.53M (27.7%)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Total OPEX: $68.67M (44.8%)</w:t>
      </w:r>
    </w:p>
    <w:p>
      <w:pPr>
        <w:pStyle w:val="Heading2"/>
        <w:spacing w:after="120"/>
      </w:pPr>
      <w:r>
        <w:t xml:space="preserve">Case 2-1: Yeosu</w:t>
      </w:r>
    </w:p>
    <w:p>
      <w:pPr>
        <w:spacing w:after="80"/>
      </w:pPr>
      <w:r>
        <w:rPr>
          <w:b/>
          <w:bCs/>
        </w:rPr>
        <w:t xml:space="preserve">Configuration: </w:t>
      </w:r>
      <w:r>
        <w:t xml:space="preserve">5,000 m3 shuttle, 2,000 m3/h pump</w:t>
      </w:r>
    </w:p>
    <w:p>
      <w:pPr>
        <w:spacing w:after="120"/>
      </w:pPr>
      <w:r>
        <w:rPr>
          <w:b/>
          <w:bCs/>
        </w:rPr>
        <w:t xml:space="preserve">Total NPC: $158.2M USD </w:t>
      </w:r>
      <w:r>
        <w:t xml:space="preserve">(+3.0% vs Case 1)</w:t>
      </w:r>
    </w:p>
    <w:p>
      <w:pPr>
        <w:pStyle w:val="ListParagraph"/>
        <w:numPr>
          <w:ilvl w:val="0"/>
          <w:numId w:val="2"/>
        </w:numPr>
      </w:pPr>
      <w:r>
        <w:t xml:space="preserve">Shuttle CAPEX: $68.94M (43.6%)</w:t>
      </w:r>
    </w:p>
    <w:p>
      <w:pPr>
        <w:pStyle w:val="ListParagraph"/>
        <w:numPr>
          <w:ilvl w:val="0"/>
          <w:numId w:val="2"/>
        </w:numPr>
      </w:pPr>
      <w:r>
        <w:t xml:space="preserve">Bunkering CAPEX: $5.45M (3.4%)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Total OPEX: $83.81M (53.0%)</w:t>
      </w:r>
    </w:p>
    <w:p>
      <w:pPr>
        <w:pStyle w:val="Heading2"/>
        <w:spacing w:after="120"/>
      </w:pPr>
      <w:r>
        <w:t xml:space="preserve">Case 2-2: Ulsan (OPTIMAL)</w:t>
      </w:r>
    </w:p>
    <w:p>
      <w:pPr>
        <w:spacing w:after="80"/>
      </w:pPr>
      <w:r>
        <w:rPr>
          <w:b/>
          <w:bCs/>
        </w:rPr>
        <w:t xml:space="preserve">Configuration: </w:t>
      </w:r>
      <w:r>
        <w:t xml:space="preserve">5,000 m3 shuttle, 2,000 m3/h pump</w:t>
      </w:r>
    </w:p>
    <w:p>
      <w:pPr>
        <w:spacing w:after="120"/>
      </w:pPr>
      <w:r>
        <w:rPr>
          <w:b/>
          <w:bCs/>
          <w:color w:val="008000"/>
        </w:rPr>
        <w:t xml:space="preserve">Total NPC: $94.9M USD </w:t>
      </w:r>
      <w:r>
        <w:rPr>
          <w:b/>
          <w:bCs/>
          <w:color w:val="008000"/>
        </w:rPr>
        <w:t xml:space="preserve">(-38.2% vs Case 1)</w:t>
      </w:r>
    </w:p>
    <w:p>
      <w:pPr>
        <w:pStyle w:val="ListParagraph"/>
        <w:numPr>
          <w:ilvl w:val="0"/>
          <w:numId w:val="2"/>
        </w:numPr>
      </w:pPr>
      <w:r>
        <w:t xml:space="preserve">Shuttle CAPEX: $47.67M (50.2%)</w:t>
      </w:r>
    </w:p>
    <w:p>
      <w:pPr>
        <w:pStyle w:val="ListParagraph"/>
        <w:numPr>
          <w:ilvl w:val="0"/>
          <w:numId w:val="2"/>
        </w:numPr>
      </w:pPr>
      <w:r>
        <w:t xml:space="preserve">Bunkering CAPEX: $3.77M (4.0%)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Total OPEX: $43.46M (45.8%)</w:t>
      </w:r>
    </w:p>
    <w:p>
      <w:r>
        <w:br w:type="page"/>
      </w:r>
    </w:p>
    <w:p>
      <w:pPr>
        <w:pStyle w:val="Heading1"/>
      </w:pPr>
      <w:r>
        <w:t xml:space="preserve">6. Key Insights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Distance Critical: </w:t>
      </w:r>
      <w:r>
        <w:t xml:space="preserve">Short-distance operations reduce NPC by 38%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Shuttle Sizing: </w:t>
      </w:r>
      <w:r>
        <w:t xml:space="preserve">Larger shuttles (5,000 m3) optimal for inter-facility transport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CAPEX Dominance: </w:t>
      </w:r>
      <w:r>
        <w:t xml:space="preserve">Infrastructure costs drive 70-80% of NPC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Operational Efficiency: </w:t>
      </w:r>
      <w:r>
        <w:t xml:space="preserve">Optimized pump sizing (2,000 m3/h) balances costs</w:t>
      </w:r>
    </w:p>
    <w:p>
      <w:pPr>
        <w:pStyle w:val="Heading1"/>
      </w:pPr>
      <w:r>
        <w:t xml:space="preserve">7. Recommendations</w:t>
      </w:r>
    </w:p>
    <w:p>
      <w:pPr>
        <w:pStyle w:val="ListParagraph"/>
        <w:numPr>
          <w:ilvl w:val="0"/>
          <w:numId w:val="2"/>
        </w:numPr>
      </w:pPr>
      <w:r>
        <w:t xml:space="preserve">Prioritize Ulsan corridor as primary supply route</w:t>
      </w:r>
    </w:p>
    <w:p>
      <w:pPr>
        <w:pStyle w:val="ListParagraph"/>
        <w:numPr>
          <w:ilvl w:val="0"/>
          <w:numId w:val="2"/>
        </w:numPr>
      </w:pPr>
      <w:r>
        <w:t xml:space="preserve">Invest in 5,000 m3 shuttle vessels</w:t>
      </w:r>
    </w:p>
    <w:p>
      <w:pPr>
        <w:pStyle w:val="ListParagraph"/>
        <w:numPr>
          <w:ilvl w:val="0"/>
          <w:numId w:val="2"/>
        </w:numPr>
      </w:pPr>
      <w:r>
        <w:t xml:space="preserve">Coordinate with ammonia producers for integrated logistics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demand-responsive infrastructure sizing</w:t>
      </w:r>
    </w:p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240"/>
      </w:pPr>
      <w:r>
        <w:t xml:space="preserve">This MILP optimization study demonstrates that short-distance ammonia supply chains significantly outperform port-based infrastructure models. The 38% cost advantage of Case 2-2 indicates that integrated logistics coordination with production facilities offers superior economic returns.</w:t>
      </w:r>
    </w:p>
    <w:p>
      <w:pPr>
        <w:spacing w:after="240"/>
      </w:pPr>
      <w:r>
        <w:t xml:space="preserve">Infrastructure planners should prioritize the Ulsan route, standardize on 5,000 m3 shuttle vessels, and implement flexible pump systems to accommodate demand growth through 2050.</w:t>
      </w:r>
    </w:p>
    <w:p>
      <w:pPr>
        <w:spacing w:before="240"/>
      </w:pPr>
      <w:r>
        <w:rPr>
          <w:b/>
          <w:bCs/>
        </w:rPr>
        <w:t xml:space="preserve">---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Report Generated: November 2025</w:t>
      </w:r>
    </w:p>
    <w:p>
      <w:r>
        <w:rPr>
          <w:i/>
          <w:iCs/>
          <w:color w:val="666666"/>
          <w:sz w:val="20"/>
          <w:szCs w:val="20"/>
        </w:rPr>
        <w:t xml:space="preserve">Green Corridor MILP Optimization Model v2.0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788" w:sz="6" w:space="1"/>
      </w:pBdr>
      <w:spacing w:after="100"/>
      <w:jc w:val="right"/>
    </w:pPr>
    <w:r>
      <w:rPr>
        <w:color w:val="666666"/>
        <w:sz w:val="20"/>
        <w:szCs w:val="20"/>
      </w:rPr>
      <w:t xml:space="preserve">Green Corridor Ammonia Bunkering Optimization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cf8db093c1c6be3f482d6e55f820529bb9f0e63.png"/><Relationship Id="rId9" Type="http://schemas.openxmlformats.org/officeDocument/2006/relationships/image" Target="media/218a858621cf7f1bac2b4a07b84ec23ca498c0fe.png"/><Relationship Id="rId10" Type="http://schemas.openxmlformats.org/officeDocument/2006/relationships/image" Target="media/57ae694a5caf5a25d5e2e369591310ffb33195de.png"/><Relationship Id="rId11" Type="http://schemas.openxmlformats.org/officeDocument/2006/relationships/image" Target="media/c8886a600045e2c630ae660af2449cc602b3f7e6.png"/><Relationship Id="rId12" Type="http://schemas.openxmlformats.org/officeDocument/2006/relationships/image" Target="media/4d09c11935d620500ea13bf600859e6045d31b94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2025-11-17T09:46:00.382Z</dcterms:created>
  <dcterms:modified xsi:type="dcterms:W3CDTF">2025-11-17T09:46:00.383Z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