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Ammonia Bunkering Infrastructure Optimization</w:t>
      </w:r>
    </w:p>
    <w:p>
      <w:pPr>
        <w:pStyle w:val="Heading2"/>
        <w:jc w:val="center"/>
      </w:pPr>
      <w:r>
        <w:t>Case 1: Busan Port with Storage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Case ID</w:t>
            </w:r>
          </w:p>
        </w:tc>
        <w:tc>
          <w:tcPr>
            <w:tcW w:type="dxa" w:w="4320"/>
          </w:tcPr>
          <w:p>
            <w:r>
              <w:t>case_1</w:t>
            </w:r>
          </w:p>
        </w:tc>
      </w:tr>
      <w:tr>
        <w:tc>
          <w:tcPr>
            <w:tcW w:type="dxa" w:w="4320"/>
          </w:tcPr>
          <w:p>
            <w:r>
              <w:t>Report Date</w:t>
            </w:r>
          </w:p>
        </w:tc>
        <w:tc>
          <w:tcPr>
            <w:tcW w:type="dxa" w:w="4320"/>
          </w:tcPr>
          <w:p>
            <w:r>
              <w:t>2025-11-17</w:t>
            </w:r>
          </w:p>
        </w:tc>
      </w:tr>
      <w:tr>
        <w:tc>
          <w:tcPr>
            <w:tcW w:type="dxa" w:w="4320"/>
          </w:tcPr>
          <w:p>
            <w:r>
              <w:t>Time Period</w:t>
            </w:r>
          </w:p>
        </w:tc>
        <w:tc>
          <w:tcPr>
            <w:tcW w:type="dxa" w:w="4320"/>
          </w:tcPr>
          <w:p>
            <w:r>
              <w:t>2030-2050</w:t>
            </w:r>
          </w:p>
        </w:tc>
      </w:tr>
      <w:tr>
        <w:tc>
          <w:tcPr>
            <w:tcW w:type="dxa" w:w="4320"/>
          </w:tcPr>
          <w:p>
            <w:r>
              <w:t>Analysis Tool</w:t>
            </w:r>
          </w:p>
        </w:tc>
        <w:tc>
          <w:tcPr>
            <w:tcW w:type="dxa" w:w="4320"/>
          </w:tcPr>
          <w:p>
            <w:r>
              <w:t>Green Corridor MILP Optimizer v2.0</w:t>
            </w:r>
          </w:p>
        </w:tc>
      </w:tr>
    </w:tbl>
    <w:p>
      <w:r>
        <w:br w:type="page"/>
      </w:r>
    </w:p>
    <w:p>
      <w:pPr>
        <w:pStyle w:val="Heading1"/>
      </w:pPr>
      <w:r>
        <w:t>Executive Summary</w:t>
      </w:r>
    </w:p>
    <w:p>
      <w:r>
        <w:br/>
        <w:t>This report presents the optimization results for Case 1: Busan Port with Storage.</w:t>
        <w:br/>
        <w:t>The analysis evaluates 90 different configurations of shuttle vessels and pump systems</w:t>
        <w:br/>
        <w:t>over a 20-year period</w:t>
        <w:br/>
        <w:t>(2030-2050) to minimize the Net Present Cost (NPC).</w:t>
        <w:br/>
      </w:r>
    </w:p>
    <w:p>
      <w:pPr>
        <w:pStyle w:val="Heading2"/>
      </w:pPr>
      <w:r>
        <w:t>Key Metrics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Feasible Scenarios</w:t>
            </w:r>
          </w:p>
        </w:tc>
        <w:tc>
          <w:tcPr>
            <w:tcW w:type="dxa" w:w="4320"/>
          </w:tcPr>
          <w:p>
            <w:r>
              <w:t>90</w:t>
            </w:r>
          </w:p>
        </w:tc>
      </w:tr>
      <w:tr>
        <w:tc>
          <w:tcPr>
            <w:tcW w:type="dxa" w:w="4320"/>
          </w:tcPr>
          <w:p>
            <w:r>
              <w:t>Optimal Shuttle Size (m³)</w:t>
            </w:r>
          </w:p>
        </w:tc>
        <w:tc>
          <w:tcPr>
            <w:tcW w:type="dxa" w:w="4320"/>
          </w:tcPr>
          <w:p>
            <w:r>
              <w:t>2500</w:t>
            </w:r>
          </w:p>
        </w:tc>
      </w:tr>
      <w:tr>
        <w:tc>
          <w:tcPr>
            <w:tcW w:type="dxa" w:w="4320"/>
          </w:tcPr>
          <w:p>
            <w:r>
              <w:t>Optimal Pump Flow (m³/h)</w:t>
            </w:r>
          </w:p>
        </w:tc>
        <w:tc>
          <w:tcPr>
            <w:tcW w:type="dxa" w:w="4320"/>
          </w:tcPr>
          <w:p>
            <w:r>
              <w:t>2000</w:t>
            </w:r>
          </w:p>
        </w:tc>
      </w:tr>
      <w:tr>
        <w:tc>
          <w:tcPr>
            <w:tcW w:type="dxa" w:w="4320"/>
          </w:tcPr>
          <w:p>
            <w:r>
              <w:t>Minimum NPC (M USD)</w:t>
            </w:r>
          </w:p>
        </w:tc>
        <w:tc>
          <w:tcPr>
            <w:tcW w:type="dxa" w:w="4320"/>
          </w:tcPr>
          <w:p>
            <w:r>
              <w:t>153.47</w:t>
            </w:r>
          </w:p>
        </w:tc>
      </w:tr>
      <w:tr>
        <w:tc>
          <w:tcPr>
            <w:tcW w:type="dxa" w:w="4320"/>
          </w:tcPr>
          <w:p>
            <w:r>
              <w:t>Annual Demand (2050, m³)</w:t>
            </w:r>
          </w:p>
        </w:tc>
        <w:tc>
          <w:tcPr>
            <w:tcW w:type="dxa" w:w="4320"/>
          </w:tcPr>
          <w:p>
            <w:r>
              <w:t>19,049,956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>
      <w:r>
        <w:br w:type="page"/>
      </w:r>
    </w:p>
    <w:p>
      <w:pPr>
        <w:pStyle w:val="Heading1"/>
      </w:pPr>
      <w:r>
        <w:t>Case Description</w:t>
      </w:r>
    </w:p>
    <w:p>
      <w:pPr>
        <w:pStyle w:val="Heading2"/>
      </w:pPr>
      <w:r>
        <w:t>Operational Parameters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Shuttle Sizes Available (m³)</w:t>
            </w:r>
          </w:p>
        </w:tc>
        <w:tc>
          <w:tcPr>
            <w:tcW w:type="dxa" w:w="4320"/>
          </w:tcPr>
          <w:p>
            <w:r>
              <w:t>500, 1000, 1500, 2000, 2500...</w:t>
            </w:r>
          </w:p>
        </w:tc>
      </w:tr>
      <w:tr>
        <w:tc>
          <w:tcPr>
            <w:tcW w:type="dxa" w:w="4320"/>
          </w:tcPr>
          <w:p>
            <w:r>
              <w:t>Pump Flow Rates (m³/h)</w:t>
            </w:r>
          </w:p>
        </w:tc>
        <w:tc>
          <w:tcPr>
            <w:tcW w:type="dxa" w:w="4320"/>
          </w:tcPr>
          <w:p>
            <w:r>
              <w:t>400, 600, 800, 1000, 1200...</w:t>
            </w:r>
          </w:p>
        </w:tc>
      </w:tr>
      <w:tr>
        <w:tc>
          <w:tcPr>
            <w:tcW w:type="dxa" w:w="4320"/>
          </w:tcPr>
          <w:p>
            <w:r>
              <w:t>Tank Storage</w:t>
            </w:r>
          </w:p>
        </w:tc>
        <w:tc>
          <w:tcPr>
            <w:tcW w:type="dxa" w:w="4320"/>
          </w:tcPr>
          <w:p>
            <w:r>
              <w:t>Enabled</w:t>
            </w:r>
          </w:p>
        </w:tc>
      </w:tr>
      <w:tr>
        <w:tc>
          <w:tcPr>
            <w:tcW w:type="dxa" w:w="4320"/>
          </w:tcPr>
          <w:p>
            <w:r>
              <w:t>Tank Size (tons)</w:t>
            </w:r>
          </w:p>
        </w:tc>
        <w:tc>
          <w:tcPr>
            <w:tcW w:type="dxa" w:w="4320"/>
          </w:tcPr>
          <w:p>
            <w:r>
              <w:t>35000.0</w:t>
            </w:r>
          </w:p>
        </w:tc>
      </w:tr>
      <w:tr>
        <w:tc>
          <w:tcPr>
            <w:tcW w:type="dxa" w:w="4320"/>
          </w:tcPr>
          <w:p>
            <w:r>
              <w:t>Setup Time (hours)</w:t>
            </w:r>
          </w:p>
        </w:tc>
        <w:tc>
          <w:tcPr>
            <w:tcW w:type="dxa" w:w="4320"/>
          </w:tcPr>
          <w:p>
            <w:r>
              <w:t>0.5</w:t>
            </w:r>
          </w:p>
        </w:tc>
      </w:tr>
      <w:tr>
        <w:tc>
          <w:tcPr>
            <w:tcW w:type="dxa" w:w="4320"/>
          </w:tcPr>
          <w:p>
            <w:r>
              <w:t>Max Annual Hours</w:t>
            </w:r>
          </w:p>
        </w:tc>
        <w:tc>
          <w:tcPr>
            <w:tcW w:type="dxa" w:w="4320"/>
          </w:tcPr>
          <w:p>
            <w:r>
              <w:t>8000.0</w:t>
            </w:r>
          </w:p>
        </w:tc>
      </w:tr>
    </w:tbl>
    <w:p>
      <w:r>
        <w:br w:type="page"/>
      </w:r>
    </w:p>
    <w:p>
      <w:pPr>
        <w:pStyle w:val="Heading1"/>
      </w:pPr>
      <w:r>
        <w:t>Optimal Solution</w:t>
      </w:r>
    </w:p>
    <w:p>
      <w:r>
        <w:t>The optimization identifies Shuttle Size 2500 m³ with Pump Flow 2000 m³/h as the optimal configuration.</w:t>
      </w:r>
    </w:p>
    <w:p>
      <w:pPr>
        <w:pStyle w:val="Heading2"/>
      </w:pPr>
      <w:r>
        <w:t>Cost Breakdown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NPC (M USD)</w:t>
            </w:r>
          </w:p>
        </w:tc>
        <w:tc>
          <w:tcPr>
            <w:tcW w:type="dxa" w:w="4320"/>
          </w:tcPr>
          <w:p>
            <w:r>
              <w:t>153.47</w:t>
            </w:r>
          </w:p>
        </w:tc>
      </w:tr>
      <w:tr>
        <w:tc>
          <w:tcPr>
            <w:tcW w:type="dxa" w:w="4320"/>
          </w:tcPr>
          <w:p>
            <w:r>
              <w:t>Shuttle CAPEX (M USD)</w:t>
            </w:r>
          </w:p>
        </w:tc>
        <w:tc>
          <w:tcPr>
            <w:tcW w:type="dxa" w:w="4320"/>
          </w:tcPr>
          <w:p>
            <w:r>
              <w:t>37.91</w:t>
            </w:r>
          </w:p>
        </w:tc>
      </w:tr>
      <w:tr>
        <w:tc>
          <w:tcPr>
            <w:tcW w:type="dxa" w:w="4320"/>
          </w:tcPr>
          <w:p>
            <w:r>
              <w:t>Bunkering CAPEX (M USD)</w:t>
            </w:r>
          </w:p>
        </w:tc>
        <w:tc>
          <w:tcPr>
            <w:tcW w:type="dxa" w:w="4320"/>
          </w:tcPr>
          <w:p>
            <w:r>
              <w:t>4.27</w:t>
            </w:r>
          </w:p>
        </w:tc>
      </w:tr>
      <w:tr>
        <w:tc>
          <w:tcPr>
            <w:tcW w:type="dxa" w:w="4320"/>
          </w:tcPr>
          <w:p>
            <w:r>
              <w:t>Terminal CAPEX (M USD)</w:t>
            </w:r>
          </w:p>
        </w:tc>
        <w:tc>
          <w:tcPr>
            <w:tcW w:type="dxa" w:w="4320"/>
          </w:tcPr>
          <w:p>
            <w:r>
              <w:t>42.52</w:t>
            </w:r>
          </w:p>
        </w:tc>
      </w:tr>
      <w:tr>
        <w:tc>
          <w:tcPr>
            <w:tcW w:type="dxa" w:w="4320"/>
          </w:tcPr>
          <w:p>
            <w:r>
              <w:t>Shuttle fOPEX (M USD)</w:t>
            </w:r>
          </w:p>
        </w:tc>
        <w:tc>
          <w:tcPr>
            <w:tcW w:type="dxa" w:w="4320"/>
          </w:tcPr>
          <w:p>
            <w:r>
              <w:t>17.62</w:t>
            </w:r>
          </w:p>
        </w:tc>
      </w:tr>
      <w:tr>
        <w:tc>
          <w:tcPr>
            <w:tcW w:type="dxa" w:w="4320"/>
          </w:tcPr>
          <w:p>
            <w:r>
              <w:t>Bunkering fOPEX (M USD)</w:t>
            </w:r>
          </w:p>
        </w:tc>
        <w:tc>
          <w:tcPr>
            <w:tcW w:type="dxa" w:w="4320"/>
          </w:tcPr>
          <w:p>
            <w:r>
              <w:t>1.98</w:t>
            </w:r>
          </w:p>
        </w:tc>
      </w:tr>
      <w:tr>
        <w:tc>
          <w:tcPr>
            <w:tcW w:type="dxa" w:w="4320"/>
          </w:tcPr>
          <w:p>
            <w:r>
              <w:t>Shuttle vOPEX (M USD)</w:t>
            </w:r>
          </w:p>
        </w:tc>
        <w:tc>
          <w:tcPr>
            <w:tcW w:type="dxa" w:w="4320"/>
          </w:tcPr>
          <w:p>
            <w:r>
              <w:t>26.16</w:t>
            </w:r>
          </w:p>
        </w:tc>
      </w:tr>
      <w:tr>
        <w:tc>
          <w:tcPr>
            <w:tcW w:type="dxa" w:w="4320"/>
          </w:tcPr>
          <w:p>
            <w:r>
              <w:t>Bunkering vOPEX (M USD)</w:t>
            </w:r>
          </w:p>
        </w:tc>
        <w:tc>
          <w:tcPr>
            <w:tcW w:type="dxa" w:w="4320"/>
          </w:tcPr>
          <w:p>
            <w:r>
              <w:t>7.05</w:t>
            </w:r>
          </w:p>
        </w:tc>
      </w:tr>
      <w:tr>
        <w:tc>
          <w:tcPr>
            <w:tcW w:type="dxa" w:w="4320"/>
          </w:tcPr>
          <w:p>
            <w:r>
              <w:t>Terminal vOPEX (M USD)</w:t>
            </w:r>
          </w:p>
        </w:tc>
        <w:tc>
          <w:tcPr>
            <w:tcW w:type="dxa" w:w="4320"/>
          </w:tcPr>
          <w:p>
            <w:r>
              <w:t>1.18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>
      <w:r>
        <w:br w:type="page"/>
      </w:r>
    </w:p>
    <w:p>
      <w:pPr>
        <w:pStyle w:val="Heading1"/>
      </w:pPr>
      <w:r>
        <w:t>Scenario Analysis</w:t>
      </w:r>
    </w:p>
    <w:p>
      <w:r>
        <w:t>This section presents the top scenarios ranked by Net Present Cost (NPC).</w:t>
      </w:r>
    </w:p>
    <w:p>
      <w:pPr>
        <w:pStyle w:val="Heading2"/>
      </w:pPr>
      <w:r>
        <w:t>Top 10 Scenarios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Rank</w:t>
            </w:r>
          </w:p>
        </w:tc>
        <w:tc>
          <w:tcPr>
            <w:tcW w:type="dxa" w:w="1440"/>
          </w:tcPr>
          <w:p>
            <w:r>
              <w:t>Shuttle (m³)</w:t>
            </w:r>
          </w:p>
        </w:tc>
        <w:tc>
          <w:tcPr>
            <w:tcW w:type="dxa" w:w="1440"/>
          </w:tcPr>
          <w:p>
            <w:r>
              <w:t>Pump (m³/h)</w:t>
            </w:r>
          </w:p>
        </w:tc>
        <w:tc>
          <w:tcPr>
            <w:tcW w:type="dxa" w:w="1440"/>
          </w:tcPr>
          <w:p>
            <w:r>
              <w:t>NPC (M USD)</w:t>
            </w:r>
          </w:p>
        </w:tc>
        <w:tc>
          <w:tcPr>
            <w:tcW w:type="dxa" w:w="1440"/>
          </w:tcPr>
          <w:p>
            <w:r>
              <w:t>CAPEX (M USD)</w:t>
            </w:r>
          </w:p>
        </w:tc>
        <w:tc>
          <w:tcPr>
            <w:tcW w:type="dxa" w:w="1440"/>
          </w:tcPr>
          <w:p>
            <w:r>
              <w:t>OPEX (M USD)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2500</w:t>
            </w:r>
          </w:p>
        </w:tc>
        <w:tc>
          <w:tcPr>
            <w:tcW w:type="dxa" w:w="1440"/>
          </w:tcPr>
          <w:p>
            <w:r>
              <w:t>2000</w:t>
            </w:r>
          </w:p>
        </w:tc>
        <w:tc>
          <w:tcPr>
            <w:tcW w:type="dxa" w:w="1440"/>
          </w:tcPr>
          <w:p>
            <w:r>
              <w:t>153.47</w:t>
            </w:r>
          </w:p>
        </w:tc>
        <w:tc>
          <w:tcPr>
            <w:tcW w:type="dxa" w:w="1440"/>
          </w:tcPr>
          <w:p>
            <w:r>
              <w:t>84.70</w:t>
            </w:r>
          </w:p>
        </w:tc>
        <w:tc>
          <w:tcPr>
            <w:tcW w:type="dxa" w:w="1440"/>
          </w:tcPr>
          <w:p>
            <w:r>
              <w:t>68.78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2500</w:t>
            </w:r>
          </w:p>
        </w:tc>
        <w:tc>
          <w:tcPr>
            <w:tcW w:type="dxa" w:w="1440"/>
          </w:tcPr>
          <w:p>
            <w:r>
              <w:t>1800</w:t>
            </w:r>
          </w:p>
        </w:tc>
        <w:tc>
          <w:tcPr>
            <w:tcW w:type="dxa" w:w="1440"/>
          </w:tcPr>
          <w:p>
            <w:r>
              <w:t>157.20</w:t>
            </w:r>
          </w:p>
        </w:tc>
        <w:tc>
          <w:tcPr>
            <w:tcW w:type="dxa" w:w="1440"/>
          </w:tcPr>
          <w:p>
            <w:r>
              <w:t>87.64</w:t>
            </w:r>
          </w:p>
        </w:tc>
        <w:tc>
          <w:tcPr>
            <w:tcW w:type="dxa" w:w="1440"/>
          </w:tcPr>
          <w:p>
            <w:r>
              <w:t>69.55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3000</w:t>
            </w:r>
          </w:p>
        </w:tc>
        <w:tc>
          <w:tcPr>
            <w:tcW w:type="dxa" w:w="1440"/>
          </w:tcPr>
          <w:p>
            <w:r>
              <w:t>2000</w:t>
            </w:r>
          </w:p>
        </w:tc>
        <w:tc>
          <w:tcPr>
            <w:tcW w:type="dxa" w:w="1440"/>
          </w:tcPr>
          <w:p>
            <w:r>
              <w:t>158.98</w:t>
            </w:r>
          </w:p>
        </w:tc>
        <w:tc>
          <w:tcPr>
            <w:tcW w:type="dxa" w:w="1440"/>
          </w:tcPr>
          <w:p>
            <w:r>
              <w:t>88.35</w:t>
            </w:r>
          </w:p>
        </w:tc>
        <w:tc>
          <w:tcPr>
            <w:tcW w:type="dxa" w:w="1440"/>
          </w:tcPr>
          <w:p>
            <w:r>
              <w:t>70.63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2500</w:t>
            </w:r>
          </w:p>
        </w:tc>
        <w:tc>
          <w:tcPr>
            <w:tcW w:type="dxa" w:w="1440"/>
          </w:tcPr>
          <w:p>
            <w:r>
              <w:t>1600</w:t>
            </w:r>
          </w:p>
        </w:tc>
        <w:tc>
          <w:tcPr>
            <w:tcW w:type="dxa" w:w="1440"/>
          </w:tcPr>
          <w:p>
            <w:r>
              <w:t>159.13</w:t>
            </w:r>
          </w:p>
        </w:tc>
        <w:tc>
          <w:tcPr>
            <w:tcW w:type="dxa" w:w="1440"/>
          </w:tcPr>
          <w:p>
            <w:r>
              <w:t>88.68</w:t>
            </w:r>
          </w:p>
        </w:tc>
        <w:tc>
          <w:tcPr>
            <w:tcW w:type="dxa" w:w="1440"/>
          </w:tcPr>
          <w:p>
            <w:r>
              <w:t>70.45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3500</w:t>
            </w:r>
          </w:p>
        </w:tc>
        <w:tc>
          <w:tcPr>
            <w:tcW w:type="dxa" w:w="1440"/>
          </w:tcPr>
          <w:p>
            <w:r>
              <w:t>2000</w:t>
            </w:r>
          </w:p>
        </w:tc>
        <w:tc>
          <w:tcPr>
            <w:tcW w:type="dxa" w:w="1440"/>
          </w:tcPr>
          <w:p>
            <w:r>
              <w:t>160.86</w:t>
            </w:r>
          </w:p>
        </w:tc>
        <w:tc>
          <w:tcPr>
            <w:tcW w:type="dxa" w:w="1440"/>
          </w:tcPr>
          <w:p>
            <w:r>
              <w:t>88.76</w:t>
            </w:r>
          </w:p>
        </w:tc>
        <w:tc>
          <w:tcPr>
            <w:tcW w:type="dxa" w:w="1440"/>
          </w:tcPr>
          <w:p>
            <w:r>
              <w:t>72.10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3000</w:t>
            </w:r>
          </w:p>
        </w:tc>
        <w:tc>
          <w:tcPr>
            <w:tcW w:type="dxa" w:w="1440"/>
          </w:tcPr>
          <w:p>
            <w:r>
              <w:t>1800</w:t>
            </w:r>
          </w:p>
        </w:tc>
        <w:tc>
          <w:tcPr>
            <w:tcW w:type="dxa" w:w="1440"/>
          </w:tcPr>
          <w:p>
            <w:r>
              <w:t>160.95</w:t>
            </w:r>
          </w:p>
        </w:tc>
        <w:tc>
          <w:tcPr>
            <w:tcW w:type="dxa" w:w="1440"/>
          </w:tcPr>
          <w:p>
            <w:r>
              <w:t>89.41</w:t>
            </w:r>
          </w:p>
        </w:tc>
        <w:tc>
          <w:tcPr>
            <w:tcW w:type="dxa" w:w="1440"/>
          </w:tcPr>
          <w:p>
            <w:r>
              <w:t>71.54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2000</w:t>
            </w:r>
          </w:p>
        </w:tc>
        <w:tc>
          <w:tcPr>
            <w:tcW w:type="dxa" w:w="1440"/>
          </w:tcPr>
          <w:p>
            <w:r>
              <w:t>2000</w:t>
            </w:r>
          </w:p>
        </w:tc>
        <w:tc>
          <w:tcPr>
            <w:tcW w:type="dxa" w:w="1440"/>
          </w:tcPr>
          <w:p>
            <w:r>
              <w:t>162.88</w:t>
            </w:r>
          </w:p>
        </w:tc>
        <w:tc>
          <w:tcPr>
            <w:tcW w:type="dxa" w:w="1440"/>
          </w:tcPr>
          <w:p>
            <w:r>
              <w:t>83.03</w:t>
            </w:r>
          </w:p>
        </w:tc>
        <w:tc>
          <w:tcPr>
            <w:tcW w:type="dxa" w:w="1440"/>
          </w:tcPr>
          <w:p>
            <w:r>
              <w:t>79.85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2500</w:t>
            </w:r>
          </w:p>
        </w:tc>
        <w:tc>
          <w:tcPr>
            <w:tcW w:type="dxa" w:w="1440"/>
          </w:tcPr>
          <w:p>
            <w:r>
              <w:t>1400</w:t>
            </w:r>
          </w:p>
        </w:tc>
        <w:tc>
          <w:tcPr>
            <w:tcW w:type="dxa" w:w="1440"/>
          </w:tcPr>
          <w:p>
            <w:r>
              <w:t>163.84</w:t>
            </w:r>
          </w:p>
        </w:tc>
        <w:tc>
          <w:tcPr>
            <w:tcW w:type="dxa" w:w="1440"/>
          </w:tcPr>
          <w:p>
            <w:r>
              <w:t>92.16</w:t>
            </w:r>
          </w:p>
        </w:tc>
        <w:tc>
          <w:tcPr>
            <w:tcW w:type="dxa" w:w="1440"/>
          </w:tcPr>
          <w:p>
            <w:r>
              <w:t>71.67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2000</w:t>
            </w:r>
          </w:p>
        </w:tc>
        <w:tc>
          <w:tcPr>
            <w:tcW w:type="dxa" w:w="1440"/>
          </w:tcPr>
          <w:p>
            <w:r>
              <w:t>1800</w:t>
            </w:r>
          </w:p>
        </w:tc>
        <w:tc>
          <w:tcPr>
            <w:tcW w:type="dxa" w:w="1440"/>
          </w:tcPr>
          <w:p>
            <w:r>
              <w:t>165.94</w:t>
            </w:r>
          </w:p>
        </w:tc>
        <w:tc>
          <w:tcPr>
            <w:tcW w:type="dxa" w:w="1440"/>
          </w:tcPr>
          <w:p>
            <w:r>
              <w:t>85.46</w:t>
            </w:r>
          </w:p>
        </w:tc>
        <w:tc>
          <w:tcPr>
            <w:tcW w:type="dxa" w:w="1440"/>
          </w:tcPr>
          <w:p>
            <w:r>
              <w:t>80.48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2000</w:t>
            </w:r>
          </w:p>
        </w:tc>
        <w:tc>
          <w:tcPr>
            <w:tcW w:type="dxa" w:w="1440"/>
          </w:tcPr>
          <w:p>
            <w:r>
              <w:t>1600</w:t>
            </w:r>
          </w:p>
        </w:tc>
        <w:tc>
          <w:tcPr>
            <w:tcW w:type="dxa" w:w="1440"/>
          </w:tcPr>
          <w:p>
            <w:r>
              <w:t>167.12</w:t>
            </w:r>
          </w:p>
        </w:tc>
        <w:tc>
          <w:tcPr>
            <w:tcW w:type="dxa" w:w="1440"/>
          </w:tcPr>
          <w:p>
            <w:r>
              <w:t>86.06</w:t>
            </w:r>
          </w:p>
        </w:tc>
        <w:tc>
          <w:tcPr>
            <w:tcW w:type="dxa" w:w="1440"/>
          </w:tcPr>
          <w:p>
            <w:r>
              <w:t>81.05</w:t>
            </w:r>
          </w:p>
        </w:tc>
      </w:tr>
    </w:tbl>
    <w:p>
      <w:r>
        <w:br w:type="page"/>
      </w:r>
    </w:p>
    <w:p>
      <w:pPr>
        <w:pStyle w:val="Heading1"/>
      </w:pPr>
      <w:r>
        <w:t>Cost Component Analysis</w:t>
      </w:r>
    </w:p>
    <w:p>
      <w:r>
        <w:t>For the optimal solution, the total cost is dominated by CAPEX (55.2%) and OPEX (44.8%).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Capital Expenditure (CAPEX)</w:t>
            </w:r>
          </w:p>
        </w:tc>
        <w:tc>
          <w:tcPr>
            <w:tcW w:type="dxa" w:w="4320"/>
          </w:tcPr>
          <w:p>
            <w:r>
              <w:t>55.2%</w:t>
            </w:r>
          </w:p>
        </w:tc>
      </w:tr>
      <w:tr>
        <w:tc>
          <w:tcPr>
            <w:tcW w:type="dxa" w:w="4320"/>
          </w:tcPr>
          <w:p>
            <w:r>
              <w:t>Operating Expenditure (OPEX)</w:t>
            </w:r>
          </w:p>
        </w:tc>
        <w:tc>
          <w:tcPr>
            <w:tcW w:type="dxa" w:w="4320"/>
          </w:tcPr>
          <w:p>
            <w:r>
              <w:t>44.8%</w:t>
            </w:r>
          </w:p>
        </w:tc>
      </w:tr>
      <w:tr>
        <w:tc>
          <w:tcPr>
            <w:tcW w:type="dxa" w:w="4320"/>
          </w:tcPr>
          <w:p>
            <w:r>
              <w:t>CAPEX Amount (M USD)</w:t>
            </w:r>
          </w:p>
        </w:tc>
        <w:tc>
          <w:tcPr>
            <w:tcW w:type="dxa" w:w="4320"/>
          </w:tcPr>
          <w:p>
            <w:r>
              <w:t>84.70</w:t>
            </w:r>
          </w:p>
        </w:tc>
      </w:tr>
      <w:tr>
        <w:tc>
          <w:tcPr>
            <w:tcW w:type="dxa" w:w="4320"/>
          </w:tcPr>
          <w:p>
            <w:r>
              <w:t>OPEX Amount (M USD)</w:t>
            </w:r>
          </w:p>
        </w:tc>
        <w:tc>
          <w:tcPr>
            <w:tcW w:type="dxa" w:w="4320"/>
          </w:tcPr>
          <w:p>
            <w:r>
              <w:t>68.78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>
      <w:r>
        <w:br w:type="page"/>
      </w:r>
    </w:p>
    <w:p>
      <w:pPr>
        <w:pStyle w:val="Heading1"/>
      </w:pPr>
      <w:r>
        <w:t>Appendix: Raw Data Summary</w:t>
      </w:r>
    </w:p>
    <w:p>
      <w:r>
        <w:t>Total scenarios evaluated: 90</w:t>
      </w:r>
    </w:p>
    <w:p>
      <w:r>
        <w:t>Time period: 2030 - 2050</w:t>
      </w:r>
    </w:p>
    <w:p>
      <w:pPr>
        <w:pStyle w:val="Heading2"/>
      </w:pPr>
      <w:r>
        <w:t>Summary Statistics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Minimum NPC (M USD)</w:t>
            </w:r>
          </w:p>
        </w:tc>
        <w:tc>
          <w:tcPr>
            <w:tcW w:type="dxa" w:w="4320"/>
          </w:tcPr>
          <w:p>
            <w:r>
              <w:t>153.47</w:t>
            </w:r>
          </w:p>
        </w:tc>
      </w:tr>
      <w:tr>
        <w:tc>
          <w:tcPr>
            <w:tcW w:type="dxa" w:w="4320"/>
          </w:tcPr>
          <w:p>
            <w:r>
              <w:t>Maximum NPC (M USD)</w:t>
            </w:r>
          </w:p>
        </w:tc>
        <w:tc>
          <w:tcPr>
            <w:tcW w:type="dxa" w:w="4320"/>
          </w:tcPr>
          <w:p>
            <w:r>
              <w:t>467.82</w:t>
            </w:r>
          </w:p>
        </w:tc>
      </w:tr>
      <w:tr>
        <w:tc>
          <w:tcPr>
            <w:tcW w:type="dxa" w:w="4320"/>
          </w:tcPr>
          <w:p>
            <w:r>
              <w:t>Average NPC (M USD)</w:t>
            </w:r>
          </w:p>
        </w:tc>
        <w:tc>
          <w:tcPr>
            <w:tcW w:type="dxa" w:w="4320"/>
          </w:tcPr>
          <w:p>
            <w:r>
              <w:t>220.74</w:t>
            </w:r>
          </w:p>
        </w:tc>
      </w:tr>
      <w:tr>
        <w:tc>
          <w:tcPr>
            <w:tcW w:type="dxa" w:w="4320"/>
          </w:tcPr>
          <w:p>
            <w:r>
              <w:t>Median NPC (M USD)</w:t>
            </w:r>
          </w:p>
        </w:tc>
        <w:tc>
          <w:tcPr>
            <w:tcW w:type="dxa" w:w="4320"/>
          </w:tcPr>
          <w:p>
            <w:r>
              <w:t>203.48</w:t>
            </w:r>
          </w:p>
        </w:tc>
      </w:tr>
      <w:tr>
        <w:tc>
          <w:tcPr>
            <w:tcW w:type="dxa" w:w="4320"/>
          </w:tcPr>
          <w:p>
            <w:r>
              <w:t>Std Dev NPC (M USD)</w:t>
            </w:r>
          </w:p>
        </w:tc>
        <w:tc>
          <w:tcPr>
            <w:tcW w:type="dxa" w:w="4320"/>
          </w:tcPr>
          <w:p>
            <w:r>
              <w:t>58.46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/>
    <w:p>
      <w:r>
        <w:t>For complete data including yearly breakdowns, refer to the accompanying Excel file.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