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Ammonia Bunkering Infrastructure Optimization</w:t>
      </w:r>
    </w:p>
    <w:p>
      <w:pPr>
        <w:pStyle w:val="Heading2"/>
        <w:jc w:val="center"/>
      </w:pPr>
      <w:r>
        <w:t>Case 2-2: Ulsan → Busan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ID</w:t>
            </w:r>
          </w:p>
        </w:tc>
        <w:tc>
          <w:tcPr>
            <w:tcW w:type="dxa" w:w="4320"/>
          </w:tcPr>
          <w:p>
            <w:r>
              <w:t>case_2_ulsan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2025-11-17</w:t>
            </w:r>
          </w:p>
        </w:tc>
      </w:tr>
      <w:tr>
        <w:tc>
          <w:tcPr>
            <w:tcW w:type="dxa" w:w="4320"/>
          </w:tcPr>
          <w:p>
            <w:r>
              <w:t>Time Period</w:t>
            </w:r>
          </w:p>
        </w:tc>
        <w:tc>
          <w:tcPr>
            <w:tcW w:type="dxa" w:w="4320"/>
          </w:tcPr>
          <w:p>
            <w:r>
              <w:t>2030-2050</w:t>
            </w:r>
          </w:p>
        </w:tc>
      </w:tr>
      <w:tr>
        <w:tc>
          <w:tcPr>
            <w:tcW w:type="dxa" w:w="4320"/>
          </w:tcPr>
          <w:p>
            <w:r>
              <w:t>Analysis Tool</w:t>
            </w:r>
          </w:p>
        </w:tc>
        <w:tc>
          <w:tcPr>
            <w:tcW w:type="dxa" w:w="4320"/>
          </w:tcPr>
          <w:p>
            <w:r>
              <w:t>Green Corridor MILP Optimizer v2.0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br/>
        <w:t>This report presents the optimization results for Case 2-2: Ulsan → Busan.</w:t>
        <w:br/>
        <w:t>The analysis evaluates 64 different configurations of shuttle vessels and pump systems</w:t>
        <w:br/>
        <w:t>over a 20-year period</w:t>
        <w:br/>
        <w:t>(2030-2050) to minimize the Net Present Cost (NPC).</w:t>
        <w:br/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Feasible Scenarios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Optimal Shuttle Size (m³)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Optimal Pump Flow (m³/h)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Minimum NPC (M USD)</w:t>
            </w:r>
          </w:p>
        </w:tc>
        <w:tc>
          <w:tcPr>
            <w:tcW w:type="dxa" w:w="4320"/>
          </w:tcPr>
          <w:p>
            <w:r>
              <w:t>119.26</w:t>
            </w:r>
          </w:p>
        </w:tc>
      </w:tr>
      <w:tr>
        <w:tc>
          <w:tcPr>
            <w:tcW w:type="dxa" w:w="4320"/>
          </w:tcPr>
          <w:p>
            <w:r>
              <w:t>Annual Demand (2050, m³)</w:t>
            </w:r>
          </w:p>
        </w:tc>
        <w:tc>
          <w:tcPr>
            <w:tcW w:type="dxa" w:w="4320"/>
          </w:tcPr>
          <w:p>
            <w:r>
              <w:t>19,049,956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Case Description</w:t>
      </w:r>
    </w:p>
    <w:p>
      <w:pPr>
        <w:pStyle w:val="Heading2"/>
      </w:pPr>
      <w:r>
        <w:t>Route Information</w:t>
      </w:r>
    </w:p>
    <w:p>
      <w:r>
        <w:t>Source: Ulsan</w:t>
      </w:r>
    </w:p>
    <w:p>
      <w:r>
        <w:t>Destination: Busan</w:t>
      </w:r>
    </w:p>
    <w:p>
      <w:r>
        <w:t>Distance: 25.0 nautical miles</w:t>
      </w:r>
    </w:p>
    <w:p>
      <w:r>
        <w:t>Travel Time: 1.67 hours</w:t>
      </w:r>
    </w:p>
    <w:p>
      <w:pPr>
        <w:pStyle w:val="Heading2"/>
      </w:pPr>
      <w:r>
        <w:t>Operational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Shuttle Sizes Available (m³)</w:t>
            </w:r>
          </w:p>
        </w:tc>
        <w:tc>
          <w:tcPr>
            <w:tcW w:type="dxa" w:w="4320"/>
          </w:tcPr>
          <w:p>
            <w:r>
              <w:t>5000, 10000, 15000, 20000, 25000...</w:t>
            </w:r>
          </w:p>
        </w:tc>
      </w:tr>
      <w:tr>
        <w:tc>
          <w:tcPr>
            <w:tcW w:type="dxa" w:w="4320"/>
          </w:tcPr>
          <w:p>
            <w:r>
              <w:t>Pump Flow Rates (m³/h)</w:t>
            </w:r>
          </w:p>
        </w:tc>
        <w:tc>
          <w:tcPr>
            <w:tcW w:type="dxa" w:w="4320"/>
          </w:tcPr>
          <w:p>
            <w:r>
              <w:t>400, 600, 800, 1000, 1200...</w:t>
            </w:r>
          </w:p>
        </w:tc>
      </w:tr>
      <w:tr>
        <w:tc>
          <w:tcPr>
            <w:tcW w:type="dxa" w:w="4320"/>
          </w:tcPr>
          <w:p>
            <w:r>
              <w:t>Tank Storage</w:t>
            </w:r>
          </w:p>
        </w:tc>
        <w:tc>
          <w:tcPr>
            <w:tcW w:type="dxa" w:w="4320"/>
          </w:tcPr>
          <w:p>
            <w:r>
              <w:t>Disabled</w:t>
            </w:r>
          </w:p>
        </w:tc>
      </w:tr>
      <w:tr>
        <w:tc>
          <w:tcPr>
            <w:tcW w:type="dxa" w:w="4320"/>
          </w:tcPr>
          <w:p>
            <w:r>
              <w:t>Tank Size (tons)</w:t>
            </w:r>
          </w:p>
        </w:tc>
        <w:tc>
          <w:tcPr>
            <w:tcW w:type="dxa" w:w="4320"/>
          </w:tcPr>
          <w:p>
            <w:r>
              <w:t>35000.0</w:t>
            </w:r>
          </w:p>
        </w:tc>
      </w:tr>
      <w:tr>
        <w:tc>
          <w:tcPr>
            <w:tcW w:type="dxa" w:w="4320"/>
          </w:tcPr>
          <w:p>
            <w:r>
              <w:t>Setup Time (hours)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Max Annual Hours</w:t>
            </w:r>
          </w:p>
        </w:tc>
        <w:tc>
          <w:tcPr>
            <w:tcW w:type="dxa" w:w="4320"/>
          </w:tcPr>
          <w:p>
            <w:r>
              <w:t>8000.0</w:t>
            </w:r>
          </w:p>
        </w:tc>
      </w:tr>
    </w:tbl>
    <w:p>
      <w:r>
        <w:br w:type="page"/>
      </w:r>
    </w:p>
    <w:p>
      <w:pPr>
        <w:pStyle w:val="Heading1"/>
      </w:pPr>
      <w:r>
        <w:t>Optimal Solution</w:t>
      </w:r>
    </w:p>
    <w:p>
      <w:r>
        <w:t>The optimization identifies Shuttle Size 5000 m³ with Pump Flow 2000 m³/h as the optimal configuration.</w:t>
      </w:r>
    </w:p>
    <w:p>
      <w:pPr>
        <w:pStyle w:val="Heading2"/>
      </w:pPr>
      <w:r>
        <w:t>Cost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NPC (M USD)</w:t>
            </w:r>
          </w:p>
        </w:tc>
        <w:tc>
          <w:tcPr>
            <w:tcW w:type="dxa" w:w="4320"/>
          </w:tcPr>
          <w:p>
            <w:r>
              <w:t>119.26</w:t>
            </w:r>
          </w:p>
        </w:tc>
      </w:tr>
      <w:tr>
        <w:tc>
          <w:tcPr>
            <w:tcW w:type="dxa" w:w="4320"/>
          </w:tcPr>
          <w:p>
            <w:r>
              <w:t>Shuttle CAPEX (M USD)</w:t>
            </w:r>
          </w:p>
        </w:tc>
        <w:tc>
          <w:tcPr>
            <w:tcW w:type="dxa" w:w="4320"/>
          </w:tcPr>
          <w:p>
            <w:r>
              <w:t>55.22</w:t>
            </w:r>
          </w:p>
        </w:tc>
      </w:tr>
      <w:tr>
        <w:tc>
          <w:tcPr>
            <w:tcW w:type="dxa" w:w="4320"/>
          </w:tcPr>
          <w:p>
            <w:r>
              <w:t>Bunkering CAPEX (M USD)</w:t>
            </w:r>
          </w:p>
        </w:tc>
        <w:tc>
          <w:tcPr>
            <w:tcW w:type="dxa" w:w="4320"/>
          </w:tcPr>
          <w:p>
            <w:r>
              <w:t>4.37</w:t>
            </w:r>
          </w:p>
        </w:tc>
      </w:tr>
      <w:tr>
        <w:tc>
          <w:tcPr>
            <w:tcW w:type="dxa" w:w="4320"/>
          </w:tcPr>
          <w:p>
            <w:r>
              <w:t>Terminal CAPEX (M USD)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Shuttle fOPEX (M USD)</w:t>
            </w:r>
          </w:p>
        </w:tc>
        <w:tc>
          <w:tcPr>
            <w:tcW w:type="dxa" w:w="4320"/>
          </w:tcPr>
          <w:p>
            <w:r>
              <w:t>25.50</w:t>
            </w:r>
          </w:p>
        </w:tc>
      </w:tr>
      <w:tr>
        <w:tc>
          <w:tcPr>
            <w:tcW w:type="dxa" w:w="4320"/>
          </w:tcPr>
          <w:p>
            <w:r>
              <w:t>Bunkering fOPEX (M USD)</w:t>
            </w:r>
          </w:p>
        </w:tc>
        <w:tc>
          <w:tcPr>
            <w:tcW w:type="dxa" w:w="4320"/>
          </w:tcPr>
          <w:p>
            <w:r>
              <w:t>2.02</w:t>
            </w:r>
          </w:p>
        </w:tc>
      </w:tr>
      <w:tr>
        <w:tc>
          <w:tcPr>
            <w:tcW w:type="dxa" w:w="4320"/>
          </w:tcPr>
          <w:p>
            <w:r>
              <w:t>Shuttle vOPEX (M USD)</w:t>
            </w:r>
          </w:p>
        </w:tc>
        <w:tc>
          <w:tcPr>
            <w:tcW w:type="dxa" w:w="4320"/>
          </w:tcPr>
          <w:p>
            <w:r>
              <w:t>25.12</w:t>
            </w:r>
          </w:p>
        </w:tc>
      </w:tr>
      <w:tr>
        <w:tc>
          <w:tcPr>
            <w:tcW w:type="dxa" w:w="4320"/>
          </w:tcPr>
          <w:p>
            <w:r>
              <w:t>Bunkering vOPEX (M USD)</w:t>
            </w:r>
          </w:p>
        </w:tc>
        <w:tc>
          <w:tcPr>
            <w:tcW w:type="dxa" w:w="4320"/>
          </w:tcPr>
          <w:p>
            <w:r>
              <w:t>7.05</w:t>
            </w:r>
          </w:p>
        </w:tc>
      </w:tr>
      <w:tr>
        <w:tc>
          <w:tcPr>
            <w:tcW w:type="dxa" w:w="4320"/>
          </w:tcPr>
          <w:p>
            <w:r>
              <w:t>Terminal vOPEX (M USD)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Scenario Analysis</w:t>
      </w:r>
    </w:p>
    <w:p>
      <w:r>
        <w:t>This section presents the top scenarios ranked by Net Present Cost (NPC).</w:t>
      </w:r>
    </w:p>
    <w:p>
      <w:pPr>
        <w:pStyle w:val="Heading2"/>
      </w:pPr>
      <w:r>
        <w:t>Top 10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Shuttle (m³)</w:t>
            </w:r>
          </w:p>
        </w:tc>
        <w:tc>
          <w:tcPr>
            <w:tcW w:type="dxa" w:w="1440"/>
          </w:tcPr>
          <w:p>
            <w:r>
              <w:t>Pump (m³/h)</w:t>
            </w:r>
          </w:p>
        </w:tc>
        <w:tc>
          <w:tcPr>
            <w:tcW w:type="dxa" w:w="1440"/>
          </w:tcPr>
          <w:p>
            <w:r>
              <w:t>NPC (M USD)</w:t>
            </w:r>
          </w:p>
        </w:tc>
        <w:tc>
          <w:tcPr>
            <w:tcW w:type="dxa" w:w="1440"/>
          </w:tcPr>
          <w:p>
            <w:r>
              <w:t>CAPEX (M USD)</w:t>
            </w:r>
          </w:p>
        </w:tc>
        <w:tc>
          <w:tcPr>
            <w:tcW w:type="dxa" w:w="1440"/>
          </w:tcPr>
          <w:p>
            <w:r>
              <w:t>OPEX (M USD)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119.26</w:t>
            </w:r>
          </w:p>
        </w:tc>
        <w:tc>
          <w:tcPr>
            <w:tcW w:type="dxa" w:w="1440"/>
          </w:tcPr>
          <w:p>
            <w:r>
              <w:t>59.58</w:t>
            </w:r>
          </w:p>
        </w:tc>
        <w:tc>
          <w:tcPr>
            <w:tcW w:type="dxa" w:w="1440"/>
          </w:tcPr>
          <w:p>
            <w:r>
              <w:t>59.67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126.02</w:t>
            </w:r>
          </w:p>
        </w:tc>
        <w:tc>
          <w:tcPr>
            <w:tcW w:type="dxa" w:w="1440"/>
          </w:tcPr>
          <w:p>
            <w:r>
              <w:t>64.82</w:t>
            </w:r>
          </w:p>
        </w:tc>
        <w:tc>
          <w:tcPr>
            <w:tcW w:type="dxa" w:w="1440"/>
          </w:tcPr>
          <w:p>
            <w:r>
              <w:t>61.20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1600</w:t>
            </w:r>
          </w:p>
        </w:tc>
        <w:tc>
          <w:tcPr>
            <w:tcW w:type="dxa" w:w="1440"/>
          </w:tcPr>
          <w:p>
            <w:r>
              <w:t>130.26</w:t>
            </w:r>
          </w:p>
        </w:tc>
        <w:tc>
          <w:tcPr>
            <w:tcW w:type="dxa" w:w="1440"/>
          </w:tcPr>
          <w:p>
            <w:r>
              <w:t>67.17</w:t>
            </w:r>
          </w:p>
        </w:tc>
        <w:tc>
          <w:tcPr>
            <w:tcW w:type="dxa" w:w="1440"/>
          </w:tcPr>
          <w:p>
            <w:r>
              <w:t>63.09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137.72</w:t>
            </w:r>
          </w:p>
        </w:tc>
        <w:tc>
          <w:tcPr>
            <w:tcW w:type="dxa" w:w="1440"/>
          </w:tcPr>
          <w:p>
            <w:r>
              <w:t>72.79</w:t>
            </w:r>
          </w:p>
        </w:tc>
        <w:tc>
          <w:tcPr>
            <w:tcW w:type="dxa" w:w="1440"/>
          </w:tcPr>
          <w:p>
            <w:r>
              <w:t>64.93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140.22</w:t>
            </w:r>
          </w:p>
        </w:tc>
        <w:tc>
          <w:tcPr>
            <w:tcW w:type="dxa" w:w="1440"/>
          </w:tcPr>
          <w:p>
            <w:r>
              <w:t>80.87</w:t>
            </w:r>
          </w:p>
        </w:tc>
        <w:tc>
          <w:tcPr>
            <w:tcW w:type="dxa" w:w="1440"/>
          </w:tcPr>
          <w:p>
            <w:r>
              <w:t>59.35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1200</w:t>
            </w:r>
          </w:p>
        </w:tc>
        <w:tc>
          <w:tcPr>
            <w:tcW w:type="dxa" w:w="1440"/>
          </w:tcPr>
          <w:p>
            <w:r>
              <w:t>147.19</w:t>
            </w:r>
          </w:p>
        </w:tc>
        <w:tc>
          <w:tcPr>
            <w:tcW w:type="dxa" w:w="1440"/>
          </w:tcPr>
          <w:p>
            <w:r>
              <w:t>79.53</w:t>
            </w:r>
          </w:p>
        </w:tc>
        <w:tc>
          <w:tcPr>
            <w:tcW w:type="dxa" w:w="1440"/>
          </w:tcPr>
          <w:p>
            <w:r>
              <w:t>67.66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148.83</w:t>
            </w:r>
          </w:p>
        </w:tc>
        <w:tc>
          <w:tcPr>
            <w:tcW w:type="dxa" w:w="1440"/>
          </w:tcPr>
          <w:p>
            <w:r>
              <w:t>85.71</w:t>
            </w:r>
          </w:p>
        </w:tc>
        <w:tc>
          <w:tcPr>
            <w:tcW w:type="dxa" w:w="1440"/>
          </w:tcPr>
          <w:p>
            <w:r>
              <w:t>63.12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1600</w:t>
            </w:r>
          </w:p>
        </w:tc>
        <w:tc>
          <w:tcPr>
            <w:tcW w:type="dxa" w:w="1440"/>
          </w:tcPr>
          <w:p>
            <w:r>
              <w:t>158.07</w:t>
            </w:r>
          </w:p>
        </w:tc>
        <w:tc>
          <w:tcPr>
            <w:tcW w:type="dxa" w:w="1440"/>
          </w:tcPr>
          <w:p>
            <w:r>
              <w:t>93.30</w:t>
            </w:r>
          </w:p>
        </w:tc>
        <w:tc>
          <w:tcPr>
            <w:tcW w:type="dxa" w:w="1440"/>
          </w:tcPr>
          <w:p>
            <w:r>
              <w:t>64.77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160.33</w:t>
            </w:r>
          </w:p>
        </w:tc>
        <w:tc>
          <w:tcPr>
            <w:tcW w:type="dxa" w:w="1440"/>
          </w:tcPr>
          <w:p>
            <w:r>
              <w:t>88.34</w:t>
            </w:r>
          </w:p>
        </w:tc>
        <w:tc>
          <w:tcPr>
            <w:tcW w:type="dxa" w:w="1440"/>
          </w:tcPr>
          <w:p>
            <w:r>
              <w:t>71.99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160.72</w:t>
            </w:r>
          </w:p>
        </w:tc>
        <w:tc>
          <w:tcPr>
            <w:tcW w:type="dxa" w:w="1440"/>
          </w:tcPr>
          <w:p>
            <w:r>
              <w:t>96.35</w:t>
            </w:r>
          </w:p>
        </w:tc>
        <w:tc>
          <w:tcPr>
            <w:tcW w:type="dxa" w:w="1440"/>
          </w:tcPr>
          <w:p>
            <w:r>
              <w:t>64.37</w:t>
            </w:r>
          </w:p>
        </w:tc>
      </w:tr>
    </w:tbl>
    <w:p>
      <w:r>
        <w:br w:type="page"/>
      </w:r>
    </w:p>
    <w:p>
      <w:pPr>
        <w:pStyle w:val="Heading1"/>
      </w:pPr>
      <w:r>
        <w:t>Cost Component Analysis</w:t>
      </w:r>
    </w:p>
    <w:p>
      <w:r>
        <w:t>For the optimal solution, the total cost is dominated by CAPEX (50.0%) and OPEX (50.0%).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Capital Expenditure (CAPEX)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Operating Expenditure (OPEX)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CAPEX Amount (M USD)</w:t>
            </w:r>
          </w:p>
        </w:tc>
        <w:tc>
          <w:tcPr>
            <w:tcW w:type="dxa" w:w="4320"/>
          </w:tcPr>
          <w:p>
            <w:r>
              <w:t>59.58</w:t>
            </w:r>
          </w:p>
        </w:tc>
      </w:tr>
      <w:tr>
        <w:tc>
          <w:tcPr>
            <w:tcW w:type="dxa" w:w="4320"/>
          </w:tcPr>
          <w:p>
            <w:r>
              <w:t>OPEX Amount (M USD)</w:t>
            </w:r>
          </w:p>
        </w:tc>
        <w:tc>
          <w:tcPr>
            <w:tcW w:type="dxa" w:w="4320"/>
          </w:tcPr>
          <w:p>
            <w:r>
              <w:t>59.67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Appendix: Raw Data Summary</w:t>
      </w:r>
    </w:p>
    <w:p>
      <w:r>
        <w:t>Total scenarios evaluated: 64</w:t>
      </w:r>
    </w:p>
    <w:p>
      <w:r>
        <w:t>Time period: 2030 - 2050</w:t>
      </w:r>
    </w:p>
    <w:p>
      <w:pPr>
        <w:pStyle w:val="Heading2"/>
      </w:pPr>
      <w:r>
        <w:t>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Minimum NPC (M USD)</w:t>
            </w:r>
          </w:p>
        </w:tc>
        <w:tc>
          <w:tcPr>
            <w:tcW w:type="dxa" w:w="4320"/>
          </w:tcPr>
          <w:p>
            <w:r>
              <w:t>119.26</w:t>
            </w:r>
          </w:p>
        </w:tc>
      </w:tr>
      <w:tr>
        <w:tc>
          <w:tcPr>
            <w:tcW w:type="dxa" w:w="4320"/>
          </w:tcPr>
          <w:p>
            <w:r>
              <w:t>Maximum NPC (M USD)</w:t>
            </w:r>
          </w:p>
        </w:tc>
        <w:tc>
          <w:tcPr>
            <w:tcW w:type="dxa" w:w="4320"/>
          </w:tcPr>
          <w:p>
            <w:r>
              <w:t>442.95</w:t>
            </w:r>
          </w:p>
        </w:tc>
      </w:tr>
      <w:tr>
        <w:tc>
          <w:tcPr>
            <w:tcW w:type="dxa" w:w="4320"/>
          </w:tcPr>
          <w:p>
            <w:r>
              <w:t>Average NPC (M USD)</w:t>
            </w:r>
          </w:p>
        </w:tc>
        <w:tc>
          <w:tcPr>
            <w:tcW w:type="dxa" w:w="4320"/>
          </w:tcPr>
          <w:p>
            <w:r>
              <w:t>260.93</w:t>
            </w:r>
          </w:p>
        </w:tc>
      </w:tr>
      <w:tr>
        <w:tc>
          <w:tcPr>
            <w:tcW w:type="dxa" w:w="4320"/>
          </w:tcPr>
          <w:p>
            <w:r>
              <w:t>Median NPC (M USD)</w:t>
            </w:r>
          </w:p>
        </w:tc>
        <w:tc>
          <w:tcPr>
            <w:tcW w:type="dxa" w:w="4320"/>
          </w:tcPr>
          <w:p>
            <w:r>
              <w:t>260.20</w:t>
            </w:r>
          </w:p>
        </w:tc>
      </w:tr>
      <w:tr>
        <w:tc>
          <w:tcPr>
            <w:tcW w:type="dxa" w:w="4320"/>
          </w:tcPr>
          <w:p>
            <w:r>
              <w:t>Std Dev NPC (M USD)</w:t>
            </w:r>
          </w:p>
        </w:tc>
        <w:tc>
          <w:tcPr>
            <w:tcW w:type="dxa" w:w="4320"/>
          </w:tcPr>
          <w:p>
            <w:r>
              <w:t>82.30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For complete data including yearly breakdowns, refer to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