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Ammonia Bunkering Infrastructure Optimization</w:t>
      </w:r>
    </w:p>
    <w:p>
      <w:pPr>
        <w:pStyle w:val="Heading2"/>
        <w:jc w:val="center"/>
      </w:pPr>
      <w:r>
        <w:t>Case 1: Busan Port with Storage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ID</w:t>
            </w:r>
          </w:p>
        </w:tc>
        <w:tc>
          <w:tcPr>
            <w:tcW w:type="dxa" w:w="4320"/>
          </w:tcPr>
          <w:p>
            <w:r>
              <w:t>case_1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2025-11-20</w:t>
            </w:r>
          </w:p>
        </w:tc>
      </w:tr>
      <w:tr>
        <w:tc>
          <w:tcPr>
            <w:tcW w:type="dxa" w:w="4320"/>
          </w:tcPr>
          <w:p>
            <w:r>
              <w:t>Time Period</w:t>
            </w:r>
          </w:p>
        </w:tc>
        <w:tc>
          <w:tcPr>
            <w:tcW w:type="dxa" w:w="4320"/>
          </w:tcPr>
          <w:p>
            <w:r>
              <w:t>2030-2050</w:t>
            </w:r>
          </w:p>
        </w:tc>
      </w:tr>
      <w:tr>
        <w:tc>
          <w:tcPr>
            <w:tcW w:type="dxa" w:w="4320"/>
          </w:tcPr>
          <w:p>
            <w:r>
              <w:t>Analysis Tool</w:t>
            </w:r>
          </w:p>
        </w:tc>
        <w:tc>
          <w:tcPr>
            <w:tcW w:type="dxa" w:w="4320"/>
          </w:tcPr>
          <w:p>
            <w:r>
              <w:t>Green Corridor MILP Optimizer v2.0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br/>
        <w:t>This report presents the optimization results for Case 1: Busan Port with Storage.</w:t>
        <w:br/>
        <w:t>The analysis evaluates 90 different configurations of shuttle vessels and pump systems</w:t>
        <w:br/>
        <w:t>over a 20-year period</w:t>
        <w:br/>
        <w:t>(2030-2050) to minimize the Net Present Cost (NPC).</w:t>
        <w:br/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Feasible Scenarios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Optimal Shuttle Size (m³)</w:t>
            </w:r>
          </w:p>
        </w:tc>
        <w:tc>
          <w:tcPr>
            <w:tcW w:type="dxa" w:w="4320"/>
          </w:tcPr>
          <w:p>
            <w:r>
              <w:t>2500</w:t>
            </w:r>
          </w:p>
        </w:tc>
      </w:tr>
      <w:tr>
        <w:tc>
          <w:tcPr>
            <w:tcW w:type="dxa" w:w="4320"/>
          </w:tcPr>
          <w:p>
            <w:r>
              <w:t>Optimal Pump Flow (m³/h)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Minimum NPC (M USD)</w:t>
            </w:r>
          </w:p>
        </w:tc>
        <w:tc>
          <w:tcPr>
            <w:tcW w:type="dxa" w:w="4320"/>
          </w:tcPr>
          <w:p>
            <w:r>
              <w:t>176.74</w:t>
            </w:r>
          </w:p>
        </w:tc>
      </w:tr>
      <w:tr>
        <w:tc>
          <w:tcPr>
            <w:tcW w:type="dxa" w:w="4320"/>
          </w:tcPr>
          <w:p>
            <w:r>
              <w:t>Annual Demand (2050, m³)</w:t>
            </w:r>
          </w:p>
        </w:tc>
        <w:tc>
          <w:tcPr>
            <w:tcW w:type="dxa" w:w="4320"/>
          </w:tcPr>
          <w:p>
            <w:r>
              <w:t>30,000,000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Case Description</w:t>
      </w:r>
    </w:p>
    <w:p>
      <w:pPr>
        <w:pStyle w:val="Heading2"/>
      </w:pPr>
      <w:r>
        <w:t>Operational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Shuttle Sizes Available (m³)</w:t>
            </w:r>
          </w:p>
        </w:tc>
        <w:tc>
          <w:tcPr>
            <w:tcW w:type="dxa" w:w="4320"/>
          </w:tcPr>
          <w:p>
            <w:r>
              <w:t>500, 1000, 1500, 2000, 2500...</w:t>
            </w:r>
          </w:p>
        </w:tc>
      </w:tr>
      <w:tr>
        <w:tc>
          <w:tcPr>
            <w:tcW w:type="dxa" w:w="4320"/>
          </w:tcPr>
          <w:p>
            <w:r>
              <w:t>Pump Flow Rates (m³/h)</w:t>
            </w:r>
          </w:p>
        </w:tc>
        <w:tc>
          <w:tcPr>
            <w:tcW w:type="dxa" w:w="4320"/>
          </w:tcPr>
          <w:p>
            <w:r>
              <w:t>400, 600, 800, 1000, 1200...</w:t>
            </w:r>
          </w:p>
        </w:tc>
      </w:tr>
      <w:tr>
        <w:tc>
          <w:tcPr>
            <w:tcW w:type="dxa" w:w="4320"/>
          </w:tcPr>
          <w:p>
            <w:r>
              <w:t>Tank Storage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Tank Size (tons)</w:t>
            </w:r>
          </w:p>
        </w:tc>
        <w:tc>
          <w:tcPr>
            <w:tcW w:type="dxa" w:w="4320"/>
          </w:tcPr>
          <w:p>
            <w:r>
              <w:t>35000.0</w:t>
            </w:r>
          </w:p>
        </w:tc>
      </w:tr>
      <w:tr>
        <w:tc>
          <w:tcPr>
            <w:tcW w:type="dxa" w:w="4320"/>
          </w:tcPr>
          <w:p>
            <w:r>
              <w:t>Setup Time (hours)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Max Annual Hours</w:t>
            </w:r>
          </w:p>
        </w:tc>
        <w:tc>
          <w:tcPr>
            <w:tcW w:type="dxa" w:w="4320"/>
          </w:tcPr>
          <w:p>
            <w:r>
              <w:t>8000.0</w:t>
            </w:r>
          </w:p>
        </w:tc>
      </w:tr>
    </w:tbl>
    <w:p>
      <w:r>
        <w:br w:type="page"/>
      </w:r>
    </w:p>
    <w:p>
      <w:pPr>
        <w:pStyle w:val="Heading1"/>
      </w:pPr>
      <w:r>
        <w:t>Optimal Solution</w:t>
      </w:r>
    </w:p>
    <w:p>
      <w:r>
        <w:t>The optimization identifies Shuttle Size 2500 m³ with Pump Flow 2000 m³/h as the optimal configuration.</w:t>
      </w:r>
    </w:p>
    <w:p>
      <w:pPr>
        <w:pStyle w:val="Heading2"/>
      </w:pPr>
      <w:r>
        <w:t>Cost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NPC (M USD)</w:t>
            </w:r>
          </w:p>
        </w:tc>
        <w:tc>
          <w:tcPr>
            <w:tcW w:type="dxa" w:w="4320"/>
          </w:tcPr>
          <w:p>
            <w:r>
              <w:t>176.74</w:t>
            </w:r>
          </w:p>
        </w:tc>
      </w:tr>
      <w:tr>
        <w:tc>
          <w:tcPr>
            <w:tcW w:type="dxa" w:w="4320"/>
          </w:tcPr>
          <w:p>
            <w:r>
              <w:t>Shuttle CAPEX (M USD)</w:t>
            </w:r>
          </w:p>
        </w:tc>
        <w:tc>
          <w:tcPr>
            <w:tcW w:type="dxa" w:w="4320"/>
          </w:tcPr>
          <w:p>
            <w:r>
              <w:t>49.99</w:t>
            </w:r>
          </w:p>
        </w:tc>
      </w:tr>
      <w:tr>
        <w:tc>
          <w:tcPr>
            <w:tcW w:type="dxa" w:w="4320"/>
          </w:tcPr>
          <w:p>
            <w:r>
              <w:t>Bunkering CAPEX (M USD)</w:t>
            </w:r>
          </w:p>
        </w:tc>
        <w:tc>
          <w:tcPr>
            <w:tcW w:type="dxa" w:w="4320"/>
          </w:tcPr>
          <w:p>
            <w:r>
              <w:t>5.63</w:t>
            </w:r>
          </w:p>
        </w:tc>
      </w:tr>
      <w:tr>
        <w:tc>
          <w:tcPr>
            <w:tcW w:type="dxa" w:w="4320"/>
          </w:tcPr>
          <w:p>
            <w:r>
              <w:t>Terminal CAPEX (M USD)</w:t>
            </w:r>
          </w:p>
        </w:tc>
        <w:tc>
          <w:tcPr>
            <w:tcW w:type="dxa" w:w="4320"/>
          </w:tcPr>
          <w:p>
            <w:r>
              <w:t>53.51</w:t>
            </w:r>
          </w:p>
        </w:tc>
      </w:tr>
      <w:tr>
        <w:tc>
          <w:tcPr>
            <w:tcW w:type="dxa" w:w="4320"/>
          </w:tcPr>
          <w:p>
            <w:r>
              <w:t>Shuttle fOPEX (M USD)</w:t>
            </w:r>
          </w:p>
        </w:tc>
        <w:tc>
          <w:tcPr>
            <w:tcW w:type="dxa" w:w="4320"/>
          </w:tcPr>
          <w:p>
            <w:r>
              <w:t>22.60</w:t>
            </w:r>
          </w:p>
        </w:tc>
      </w:tr>
      <w:tr>
        <w:tc>
          <w:tcPr>
            <w:tcW w:type="dxa" w:w="4320"/>
          </w:tcPr>
          <w:p>
            <w:r>
              <w:t>Bunkering fOPEX (M USD)</w:t>
            </w:r>
          </w:p>
        </w:tc>
        <w:tc>
          <w:tcPr>
            <w:tcW w:type="dxa" w:w="4320"/>
          </w:tcPr>
          <w:p>
            <w:r>
              <w:t>2.54</w:t>
            </w:r>
          </w:p>
        </w:tc>
      </w:tr>
      <w:tr>
        <w:tc>
          <w:tcPr>
            <w:tcW w:type="dxa" w:w="4320"/>
          </w:tcPr>
          <w:p>
            <w:r>
              <w:t>Shuttle vOPEX (M USD)</w:t>
            </w:r>
          </w:p>
        </w:tc>
        <w:tc>
          <w:tcPr>
            <w:tcW w:type="dxa" w:w="4320"/>
          </w:tcPr>
          <w:p>
            <w:r>
              <w:t>20.59</w:t>
            </w:r>
          </w:p>
        </w:tc>
      </w:tr>
      <w:tr>
        <w:tc>
          <w:tcPr>
            <w:tcW w:type="dxa" w:w="4320"/>
          </w:tcPr>
          <w:p>
            <w:r>
              <w:t>Bunkering vOPEX (M USD)</w:t>
            </w:r>
          </w:p>
        </w:tc>
        <w:tc>
          <w:tcPr>
            <w:tcW w:type="dxa" w:w="4320"/>
          </w:tcPr>
          <w:p>
            <w:r>
              <w:t>5.55</w:t>
            </w:r>
          </w:p>
        </w:tc>
      </w:tr>
      <w:tr>
        <w:tc>
          <w:tcPr>
            <w:tcW w:type="dxa" w:w="4320"/>
          </w:tcPr>
          <w:p>
            <w:r>
              <w:t>Terminal vOPEX (M USD)</w:t>
            </w:r>
          </w:p>
        </w:tc>
        <w:tc>
          <w:tcPr>
            <w:tcW w:type="dxa" w:w="4320"/>
          </w:tcPr>
          <w:p>
            <w:r>
              <w:t>1.21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운항 시간 분석 (Time Structure Analysis)</w:t>
      </w:r>
    </w:p>
    <w:p>
      <w:pPr>
        <w:pStyle w:val="Heading2"/>
      </w:pPr>
      <w:r>
        <w:t>최적 시나리오의 운항 시간 구성</w:t>
      </w:r>
    </w:p>
    <w:p>
      <w:r>
        <w:t>최적 시나리오 (Shuttle 2500 m³, Pump 2000 m³/h)의 1회 왕복 운항 시간을 상세히 분석합니다. 총 사이클 시간은 6.92시간이며, 이는 연간 최대 1157회의 운항을 가능하게 합니다.</w:t>
      </w:r>
    </w:p>
    <w:p>
      <w:pPr>
        <w:pStyle w:val="Heading3"/>
      </w:pPr>
      <w:r>
        <w:t>시간 구성 요소 분해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시간 구성 요소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시간 (h)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비율 (%)</w:t>
            </w:r>
          </w:p>
        </w:tc>
      </w:tr>
      <w:tr>
        <w:tc>
          <w:tcPr>
            <w:tcW w:type="dxa" w:w="2880"/>
          </w:tcPr>
          <w:p>
            <w:r>
              <w:t>육상 연료 적재</w:t>
            </w:r>
          </w:p>
        </w:tc>
        <w:tc>
          <w:tcPr>
            <w:tcW w:type="dxa" w:w="2880"/>
          </w:tcPr>
          <w:p>
            <w:r>
              <w:t>1.67</w:t>
            </w:r>
          </w:p>
        </w:tc>
        <w:tc>
          <w:tcPr>
            <w:tcW w:type="dxa" w:w="2880"/>
          </w:tcPr>
          <w:p>
            <w:r>
              <w:t>31.7%</w:t>
            </w:r>
          </w:p>
        </w:tc>
      </w:tr>
      <w:tr>
        <w:tc>
          <w:tcPr>
            <w:tcW w:type="dxa" w:w="2880"/>
          </w:tcPr>
          <w:p>
            <w:r>
              <w:t>편도 항해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19.0%</w:t>
            </w:r>
          </w:p>
        </w:tc>
      </w:tr>
      <w:tr>
        <w:tc>
          <w:tcPr>
            <w:tcW w:type="dxa" w:w="2880"/>
          </w:tcPr>
          <w:p>
            <w:r>
              <w:t>호스 연결 및 퍼징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19.0%</w:t>
            </w:r>
          </w:p>
        </w:tc>
      </w:tr>
      <w:tr>
        <w:tc>
          <w:tcPr>
            <w:tcW w:type="dxa" w:w="2880"/>
          </w:tcPr>
          <w:p>
            <w:r>
              <w:t>벙커링 펌핑</w:t>
            </w:r>
          </w:p>
        </w:tc>
        <w:tc>
          <w:tcPr>
            <w:tcW w:type="dxa" w:w="2880"/>
          </w:tcPr>
          <w:p>
            <w:r>
              <w:t>1.25</w:t>
            </w:r>
          </w:p>
        </w:tc>
        <w:tc>
          <w:tcPr>
            <w:tcW w:type="dxa" w:w="2880"/>
          </w:tcPr>
          <w:p>
            <w:r>
              <w:t>23.8%</w:t>
            </w:r>
          </w:p>
        </w:tc>
      </w:tr>
      <w:tr>
        <w:tc>
          <w:tcPr>
            <w:tcW w:type="dxa" w:w="2880"/>
          </w:tcPr>
          <w:p>
            <w:r>
              <w:t>호스 분리 및 퍼징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19.0%</w:t>
            </w:r>
          </w:p>
        </w:tc>
      </w:tr>
      <w:tr>
        <w:tc>
          <w:tcPr>
            <w:tcW w:type="dxa" w:w="2880"/>
          </w:tcPr>
          <w:p>
            <w:r>
              <w:t>복귀 항해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19.0%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【총 사이클 시간】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6.92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>
      <w:pPr>
        <w:pStyle w:val="Heading3"/>
      </w:pPr>
      <w:r>
        <w:t>연간 운영 지표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연간 최대 항차</w:t>
            </w:r>
          </w:p>
        </w:tc>
        <w:tc>
          <w:tcPr>
            <w:tcW w:type="dxa" w:w="4320"/>
          </w:tcPr>
          <w:p>
            <w:r>
              <w:t>1157 회</w:t>
            </w:r>
          </w:p>
        </w:tc>
      </w:tr>
      <w:tr>
        <w:tc>
          <w:tcPr>
            <w:tcW w:type="dxa" w:w="4320"/>
          </w:tcPr>
          <w:p>
            <w:r>
              <w:t>연간 공급 용량</w:t>
            </w:r>
          </w:p>
        </w:tc>
        <w:tc>
          <w:tcPr>
            <w:tcW w:type="dxa" w:w="4320"/>
          </w:tcPr>
          <w:p>
            <w:r>
              <w:t>2891566 m³</w:t>
            </w:r>
          </w:p>
        </w:tc>
      </w:tr>
      <w:tr>
        <w:tc>
          <w:tcPr>
            <w:tcW w:type="dxa" w:w="4320"/>
          </w:tcPr>
          <w:p>
            <w:r>
              <w:t>시간 활용도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셔틀당 평균 일정</w:t>
            </w:r>
          </w:p>
        </w:tc>
        <w:tc>
          <w:tcPr>
            <w:tcW w:type="dxa" w:w="4320"/>
          </w:tcPr>
          <w:p>
            <w:r>
              <w:t>0.3 일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시간 분석</w:t>
      </w:r>
    </w:p>
    <w:p>
      <w:r>
        <w:t>벙커링 펌핑이 전체 사이클의 31.7%를 차지하여, 펌프 크기 선택이 가장 중요한 최적화 포인트입니다. 기본 사이클 시간(육상 제외)은 5.25시간이며, 육상 연료 적재에 추가로 1.67시간이 소요됩니다. 이 시간 구조는 연간 1157회의 운항을 가능하게 하며, 총 20년간 약 57.8백만 m³의 암모니아 연료를 공급할 수 있습니다.</w:t>
      </w:r>
    </w:p>
    <w:p>
      <w:r>
        <w:br w:type="page"/>
      </w:r>
    </w:p>
    <w:p>
      <w:pPr>
        <w:pStyle w:val="Heading1"/>
      </w:pPr>
      <w:r>
        <w:t>Scenario Analysis</w:t>
      </w:r>
    </w:p>
    <w:p>
      <w:r>
        <w:t>This section presents the top scenarios ranked by Net Present Cost (NPC).</w:t>
      </w:r>
    </w:p>
    <w:p>
      <w:pPr>
        <w:pStyle w:val="Heading2"/>
      </w:pPr>
      <w:r>
        <w:t>Top 10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Shuttle (m³)</w:t>
            </w:r>
          </w:p>
        </w:tc>
        <w:tc>
          <w:tcPr>
            <w:tcW w:type="dxa" w:w="1440"/>
          </w:tcPr>
          <w:p>
            <w:r>
              <w:t>Pump (m³/h)</w:t>
            </w:r>
          </w:p>
        </w:tc>
        <w:tc>
          <w:tcPr>
            <w:tcW w:type="dxa" w:w="1440"/>
          </w:tcPr>
          <w:p>
            <w:r>
              <w:t>NPC (M USD)</w:t>
            </w:r>
          </w:p>
        </w:tc>
        <w:tc>
          <w:tcPr>
            <w:tcW w:type="dxa" w:w="1440"/>
          </w:tcPr>
          <w:p>
            <w:r>
              <w:t>CAPEX (M USD)</w:t>
            </w:r>
          </w:p>
        </w:tc>
        <w:tc>
          <w:tcPr>
            <w:tcW w:type="dxa" w:w="1440"/>
          </w:tcPr>
          <w:p>
            <w:r>
              <w:t>OPEX (M USD)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176.74</w:t>
            </w:r>
          </w:p>
        </w:tc>
        <w:tc>
          <w:tcPr>
            <w:tcW w:type="dxa" w:w="1440"/>
          </w:tcPr>
          <w:p>
            <w:r>
              <w:t>109.13</w:t>
            </w:r>
          </w:p>
        </w:tc>
        <w:tc>
          <w:tcPr>
            <w:tcW w:type="dxa" w:w="1440"/>
          </w:tcPr>
          <w:p>
            <w:r>
              <w:t>67.61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178.73</w:t>
            </w:r>
          </w:p>
        </w:tc>
        <w:tc>
          <w:tcPr>
            <w:tcW w:type="dxa" w:w="1440"/>
          </w:tcPr>
          <w:p>
            <w:r>
              <w:t>110.30</w:t>
            </w:r>
          </w:p>
        </w:tc>
        <w:tc>
          <w:tcPr>
            <w:tcW w:type="dxa" w:w="1440"/>
          </w:tcPr>
          <w:p>
            <w:r>
              <w:t>68.42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1600</w:t>
            </w:r>
          </w:p>
        </w:tc>
        <w:tc>
          <w:tcPr>
            <w:tcW w:type="dxa" w:w="1440"/>
          </w:tcPr>
          <w:p>
            <w:r>
              <w:t>179.51</w:t>
            </w:r>
          </w:p>
        </w:tc>
        <w:tc>
          <w:tcPr>
            <w:tcW w:type="dxa" w:w="1440"/>
          </w:tcPr>
          <w:p>
            <w:r>
              <w:t>110.67</w:t>
            </w:r>
          </w:p>
        </w:tc>
        <w:tc>
          <w:tcPr>
            <w:tcW w:type="dxa" w:w="1440"/>
          </w:tcPr>
          <w:p>
            <w:r>
              <w:t>68.83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184.86</w:t>
            </w:r>
          </w:p>
        </w:tc>
        <w:tc>
          <w:tcPr>
            <w:tcW w:type="dxa" w:w="1440"/>
          </w:tcPr>
          <w:p>
            <w:r>
              <w:t>114.64</w:t>
            </w:r>
          </w:p>
        </w:tc>
        <w:tc>
          <w:tcPr>
            <w:tcW w:type="dxa" w:w="1440"/>
          </w:tcPr>
          <w:p>
            <w:r>
              <w:t>70.22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1200</w:t>
            </w:r>
          </w:p>
        </w:tc>
        <w:tc>
          <w:tcPr>
            <w:tcW w:type="dxa" w:w="1440"/>
          </w:tcPr>
          <w:p>
            <w:r>
              <w:t>186.43</w:t>
            </w:r>
          </w:p>
        </w:tc>
        <w:tc>
          <w:tcPr>
            <w:tcW w:type="dxa" w:w="1440"/>
          </w:tcPr>
          <w:p>
            <w:r>
              <w:t>115.58</w:t>
            </w:r>
          </w:p>
        </w:tc>
        <w:tc>
          <w:tcPr>
            <w:tcW w:type="dxa" w:w="1440"/>
          </w:tcPr>
          <w:p>
            <w:r>
              <w:t>70.85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1600</w:t>
            </w:r>
          </w:p>
        </w:tc>
        <w:tc>
          <w:tcPr>
            <w:tcW w:type="dxa" w:w="1440"/>
          </w:tcPr>
          <w:p>
            <w:r>
              <w:t>187.90</w:t>
            </w:r>
          </w:p>
        </w:tc>
        <w:tc>
          <w:tcPr>
            <w:tcW w:type="dxa" w:w="1440"/>
          </w:tcPr>
          <w:p>
            <w:r>
              <w:t>95.55</w:t>
            </w:r>
          </w:p>
        </w:tc>
        <w:tc>
          <w:tcPr>
            <w:tcW w:type="dxa" w:w="1440"/>
          </w:tcPr>
          <w:p>
            <w:r>
              <w:t>92.34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188.38</w:t>
            </w:r>
          </w:p>
        </w:tc>
        <w:tc>
          <w:tcPr>
            <w:tcW w:type="dxa" w:w="1440"/>
          </w:tcPr>
          <w:p>
            <w:r>
              <w:t>95.96</w:t>
            </w:r>
          </w:p>
        </w:tc>
        <w:tc>
          <w:tcPr>
            <w:tcW w:type="dxa" w:w="1440"/>
          </w:tcPr>
          <w:p>
            <w:r>
              <w:t>92.42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1200</w:t>
            </w:r>
          </w:p>
        </w:tc>
        <w:tc>
          <w:tcPr>
            <w:tcW w:type="dxa" w:w="1440"/>
          </w:tcPr>
          <w:p>
            <w:r>
              <w:t>188.85</w:t>
            </w:r>
          </w:p>
        </w:tc>
        <w:tc>
          <w:tcPr>
            <w:tcW w:type="dxa" w:w="1440"/>
          </w:tcPr>
          <w:p>
            <w:r>
              <w:t>96.28</w:t>
            </w:r>
          </w:p>
        </w:tc>
        <w:tc>
          <w:tcPr>
            <w:tcW w:type="dxa" w:w="1440"/>
          </w:tcPr>
          <w:p>
            <w:r>
              <w:t>92.56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188.97</w:t>
            </w:r>
          </w:p>
        </w:tc>
        <w:tc>
          <w:tcPr>
            <w:tcW w:type="dxa" w:w="1440"/>
          </w:tcPr>
          <w:p>
            <w:r>
              <w:t>96.43</w:t>
            </w:r>
          </w:p>
        </w:tc>
        <w:tc>
          <w:tcPr>
            <w:tcW w:type="dxa" w:w="1440"/>
          </w:tcPr>
          <w:p>
            <w:r>
              <w:t>92.54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189.17</w:t>
            </w:r>
          </w:p>
        </w:tc>
        <w:tc>
          <w:tcPr>
            <w:tcW w:type="dxa" w:w="1440"/>
          </w:tcPr>
          <w:p>
            <w:r>
              <w:t>96.60</w:t>
            </w:r>
          </w:p>
        </w:tc>
        <w:tc>
          <w:tcPr>
            <w:tcW w:type="dxa" w:w="1440"/>
          </w:tcPr>
          <w:p>
            <w:r>
              <w:t>92.56</w:t>
            </w:r>
          </w:p>
        </w:tc>
      </w:tr>
    </w:tbl>
    <w:p>
      <w:r>
        <w:br w:type="page"/>
      </w:r>
    </w:p>
    <w:p>
      <w:pPr>
        <w:pStyle w:val="Heading1"/>
      </w:pPr>
      <w:r>
        <w:t>Cost Component Analysis</w:t>
      </w:r>
    </w:p>
    <w:p>
      <w:r>
        <w:t>For the optimal solution, the total cost is dominated by CAPEX (61.7%) and OPEX (38.3%).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Capital Expenditure (CAPEX)</w:t>
            </w:r>
          </w:p>
        </w:tc>
        <w:tc>
          <w:tcPr>
            <w:tcW w:type="dxa" w:w="4320"/>
          </w:tcPr>
          <w:p>
            <w:r>
              <w:t>61.7%</w:t>
            </w:r>
          </w:p>
        </w:tc>
      </w:tr>
      <w:tr>
        <w:tc>
          <w:tcPr>
            <w:tcW w:type="dxa" w:w="4320"/>
          </w:tcPr>
          <w:p>
            <w:r>
              <w:t>Operating Expenditure (OPEX)</w:t>
            </w:r>
          </w:p>
        </w:tc>
        <w:tc>
          <w:tcPr>
            <w:tcW w:type="dxa" w:w="4320"/>
          </w:tcPr>
          <w:p>
            <w:r>
              <w:t>38.3%</w:t>
            </w:r>
          </w:p>
        </w:tc>
      </w:tr>
      <w:tr>
        <w:tc>
          <w:tcPr>
            <w:tcW w:type="dxa" w:w="4320"/>
          </w:tcPr>
          <w:p>
            <w:r>
              <w:t>CAPEX Amount (M USD)</w:t>
            </w:r>
          </w:p>
        </w:tc>
        <w:tc>
          <w:tcPr>
            <w:tcW w:type="dxa" w:w="4320"/>
          </w:tcPr>
          <w:p>
            <w:r>
              <w:t>109.13</w:t>
            </w:r>
          </w:p>
        </w:tc>
      </w:tr>
      <w:tr>
        <w:tc>
          <w:tcPr>
            <w:tcW w:type="dxa" w:w="4320"/>
          </w:tcPr>
          <w:p>
            <w:r>
              <w:t>OPEX Amount (M USD)</w:t>
            </w:r>
          </w:p>
        </w:tc>
        <w:tc>
          <w:tcPr>
            <w:tcW w:type="dxa" w:w="4320"/>
          </w:tcPr>
          <w:p>
            <w:r>
              <w:t>67.61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Appendix: Raw Data Summary</w:t>
      </w:r>
    </w:p>
    <w:p>
      <w:r>
        <w:t>Total scenarios evaluated: 90</w:t>
      </w:r>
    </w:p>
    <w:p>
      <w:r>
        <w:t>Time period: 2030 - 2050</w:t>
      </w:r>
    </w:p>
    <w:p>
      <w:pPr>
        <w:pStyle w:val="Heading2"/>
      </w:pPr>
      <w:r>
        <w:t>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Minimum NPC (M USD)</w:t>
            </w:r>
          </w:p>
        </w:tc>
        <w:tc>
          <w:tcPr>
            <w:tcW w:type="dxa" w:w="4320"/>
          </w:tcPr>
          <w:p>
            <w:r>
              <w:t>176.74</w:t>
            </w:r>
          </w:p>
        </w:tc>
      </w:tr>
      <w:tr>
        <w:tc>
          <w:tcPr>
            <w:tcW w:type="dxa" w:w="4320"/>
          </w:tcPr>
          <w:p>
            <w:r>
              <w:t>Maximum NPC (M USD)</w:t>
            </w:r>
          </w:p>
        </w:tc>
        <w:tc>
          <w:tcPr>
            <w:tcW w:type="dxa" w:w="4320"/>
          </w:tcPr>
          <w:p>
            <w:r>
              <w:t>504.52</w:t>
            </w:r>
          </w:p>
        </w:tc>
      </w:tr>
      <w:tr>
        <w:tc>
          <w:tcPr>
            <w:tcW w:type="dxa" w:w="4320"/>
          </w:tcPr>
          <w:p>
            <w:r>
              <w:t>Average NPC (M USD)</w:t>
            </w:r>
          </w:p>
        </w:tc>
        <w:tc>
          <w:tcPr>
            <w:tcW w:type="dxa" w:w="4320"/>
          </w:tcPr>
          <w:p>
            <w:r>
              <w:t>244.90</w:t>
            </w:r>
          </w:p>
        </w:tc>
      </w:tr>
      <w:tr>
        <w:tc>
          <w:tcPr>
            <w:tcW w:type="dxa" w:w="4320"/>
          </w:tcPr>
          <w:p>
            <w:r>
              <w:t>Median NPC (M USD)</w:t>
            </w:r>
          </w:p>
        </w:tc>
        <w:tc>
          <w:tcPr>
            <w:tcW w:type="dxa" w:w="4320"/>
          </w:tcPr>
          <w:p>
            <w:r>
              <w:t>231.09</w:t>
            </w:r>
          </w:p>
        </w:tc>
      </w:tr>
      <w:tr>
        <w:tc>
          <w:tcPr>
            <w:tcW w:type="dxa" w:w="4320"/>
          </w:tcPr>
          <w:p>
            <w:r>
              <w:t>Std Dev NPC (M USD)</w:t>
            </w:r>
          </w:p>
        </w:tc>
        <w:tc>
          <w:tcPr>
            <w:tcW w:type="dxa" w:w="4320"/>
          </w:tcPr>
          <w:p>
            <w:r>
              <w:t>60.08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For complete data including yearly breakdowns, refer to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