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deterministic-case-verification-report"/>
    <w:p>
      <w:pPr>
        <w:pStyle w:val="Heading1"/>
      </w:pPr>
      <w:r>
        <w:t xml:space="preserve">Deterministic Case Verification Report</w:t>
      </w:r>
    </w:p>
    <w:bookmarkStart w:id="16" w:name="index"/>
    <w:p>
      <w:pPr>
        <w:pStyle w:val="Heading2"/>
      </w:pPr>
      <w:r>
        <w:t xml:space="preserve">Index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57"/>
        <w:gridCol w:w="1911"/>
        <w:gridCol w:w="355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Chapter</w:t>
            </w:r>
          </w:p>
        </w:tc>
        <w:tc>
          <w:tcPr/>
          <w:p>
            <w:pPr>
              <w:pStyle w:val="Compact"/>
            </w:pPr>
            <w:r>
              <w:t xml:space="preserve">Title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hyperlink r:id="rId9">
              <w:r>
                <w:rPr>
                  <w:rStyle w:val="Hyperlink"/>
                </w:rPr>
                <w:t xml:space="preserve">01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Executive Summary</w:t>
            </w:r>
          </w:p>
        </w:tc>
        <w:tc>
          <w:tcPr/>
          <w:p>
            <w:pPr>
              <w:pStyle w:val="Compact"/>
            </w:pPr>
            <w:r>
              <w:t xml:space="preserve">Optimal configurations and key recommendations</w:t>
            </w:r>
          </w:p>
        </w:tc>
      </w:tr>
      <w:tr>
        <w:tc>
          <w:tcPr/>
          <w:p>
            <w:pPr>
              <w:pStyle w:val="Compact"/>
            </w:pPr>
            <w:hyperlink r:id="rId10">
              <w:r>
                <w:rPr>
                  <w:rStyle w:val="Hyperlink"/>
                </w:rPr>
                <w:t xml:space="preserve">02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Parameters</w:t>
            </w:r>
          </w:p>
        </w:tc>
        <w:tc>
          <w:tcPr/>
          <w:p>
            <w:pPr>
              <w:pStyle w:val="Compact"/>
            </w:pPr>
            <w:r>
              <w:t xml:space="preserve">All input parameters with units and sources</w:t>
            </w:r>
          </w:p>
        </w:tc>
      </w:tr>
      <w:tr>
        <w:tc>
          <w:tcPr/>
          <w:p>
            <w:pPr>
              <w:pStyle w:val="Compact"/>
            </w:pPr>
            <w:hyperlink r:id="rId11">
              <w:r>
                <w:rPr>
                  <w:rStyle w:val="Hyperlink"/>
                </w:rPr>
                <w:t xml:space="preserve">03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Case 1: Busan Storage</w:t>
            </w:r>
          </w:p>
        </w:tc>
        <w:tc>
          <w:tcPr/>
          <w:p>
            <w:pPr>
              <w:pStyle w:val="Compact"/>
            </w:pPr>
            <w:r>
              <w:t xml:space="preserve">Detailed cycle time and cost verification</w:t>
            </w:r>
          </w:p>
        </w:tc>
      </w:tr>
      <w:tr>
        <w:tc>
          <w:tcPr/>
          <w:p>
            <w:pPr>
              <w:pStyle w:val="Compact"/>
            </w:pPr>
            <w:hyperlink r:id="rId12">
              <w:r>
                <w:rPr>
                  <w:rStyle w:val="Hyperlink"/>
                </w:rPr>
                <w:t xml:space="preserve">04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Case 2-1: Yeosu to Busan</w:t>
            </w:r>
          </w:p>
        </w:tc>
        <w:tc>
          <w:tcPr/>
          <w:p>
            <w:pPr>
              <w:pStyle w:val="Compact"/>
            </w:pPr>
            <w:r>
              <w:t xml:space="preserve">Long-distance supply analysis</w:t>
            </w:r>
          </w:p>
        </w:tc>
      </w:tr>
      <w:tr>
        <w:tc>
          <w:tcPr/>
          <w:p>
            <w:pPr>
              <w:pStyle w:val="Compact"/>
            </w:pPr>
            <w:hyperlink r:id="rId13">
              <w:r>
                <w:rPr>
                  <w:rStyle w:val="Hyperlink"/>
                </w:rPr>
                <w:t xml:space="preserve">05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Case 2-2: Ulsan to Busan</w:t>
            </w:r>
          </w:p>
        </w:tc>
        <w:tc>
          <w:tcPr/>
          <w:p>
            <w:pPr>
              <w:pStyle w:val="Compact"/>
            </w:pPr>
            <w:r>
              <w:t xml:space="preserve">Short-distance supply analysis</w:t>
            </w:r>
          </w:p>
        </w:tc>
      </w:tr>
      <w:tr>
        <w:tc>
          <w:tcPr/>
          <w:p>
            <w:pPr>
              <w:pStyle w:val="Compact"/>
            </w:pPr>
            <w:hyperlink r:id="rId14">
              <w:r>
                <w:rPr>
                  <w:rStyle w:val="Hyperlink"/>
                </w:rPr>
                <w:t xml:space="preserve">06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Comparison</w:t>
            </w:r>
          </w:p>
        </w:tc>
        <w:tc>
          <w:tcPr/>
          <w:p>
            <w:pPr>
              <w:pStyle w:val="Compact"/>
            </w:pPr>
            <w:r>
              <w:t xml:space="preserve">Cross-case comparison with D-series figures</w:t>
            </w:r>
          </w:p>
        </w:tc>
      </w:tr>
      <w:tr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</w:rPr>
                <w:t xml:space="preserve">07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Conclusion</w:t>
            </w:r>
          </w:p>
        </w:tc>
        <w:tc>
          <w:tcPr/>
          <w:p>
            <w:pPr>
              <w:pStyle w:val="Compact"/>
            </w:pPr>
            <w:r>
              <w:t xml:space="preserve">Verification checklist and recommendations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"/>
    <w:bookmarkStart w:id="17" w:name="quick-reference-optimal-configurations"/>
    <w:p>
      <w:pPr>
        <w:pStyle w:val="Heading2"/>
      </w:pPr>
      <w:r>
        <w:t xml:space="preserve">Quick Reference: Optimal Configurations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Case</w:t>
            </w:r>
          </w:p>
        </w:tc>
        <w:tc>
          <w:tcPr/>
          <w:p>
            <w:pPr>
              <w:pStyle w:val="Compact"/>
            </w:pPr>
            <w:r>
              <w:t xml:space="preserve">Optimal Shuttle</w:t>
            </w:r>
          </w:p>
        </w:tc>
        <w:tc>
          <w:tcPr/>
          <w:p>
            <w:pPr>
              <w:pStyle w:val="Compact"/>
            </w:pPr>
            <w:r>
              <w:t xml:space="preserve">NPC (20yr)</w:t>
            </w:r>
          </w:p>
        </w:tc>
        <w:tc>
          <w:tcPr/>
          <w:p>
            <w:pPr>
              <w:pStyle w:val="Compact"/>
            </w:pPr>
            <w:r>
              <w:t xml:space="preserve">LCOAmmonia</w:t>
            </w:r>
          </w:p>
        </w:tc>
        <w:tc>
          <w:tcPr/>
          <w:p>
            <w:pPr>
              <w:pStyle w:val="Compact"/>
            </w:pPr>
            <w:r>
              <w:t xml:space="preserve">Pump Rate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Case 1 (Busan)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2,500 m3</w:t>
            </w:r>
          </w:p>
        </w:tc>
        <w:tc>
          <w:tcPr/>
          <w:p>
            <w:pPr>
              <w:pStyle w:val="Compact"/>
            </w:pPr>
            <w:r>
              <w:t xml:space="preserve">$237.05M</w:t>
            </w:r>
          </w:p>
        </w:tc>
        <w:tc>
          <w:tcPr/>
          <w:p>
            <w:pPr>
              <w:pStyle w:val="Compact"/>
            </w:pPr>
            <w:r>
              <w:t xml:space="preserve">$1.01/ton</w:t>
            </w:r>
          </w:p>
        </w:tc>
        <w:tc>
          <w:tcPr/>
          <w:p>
            <w:pPr>
              <w:pStyle w:val="Compact"/>
            </w:pPr>
            <w:r>
              <w:t xml:space="preserve">1000 m3/h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Case 2-1 (Yeosu)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10,000 m3</w:t>
            </w:r>
          </w:p>
        </w:tc>
        <w:tc>
          <w:tcPr/>
          <w:p>
            <w:pPr>
              <w:pStyle w:val="Compact"/>
            </w:pPr>
            <w:r>
              <w:t xml:space="preserve">$747.18M</w:t>
            </w:r>
          </w:p>
        </w:tc>
        <w:tc>
          <w:tcPr/>
          <w:p>
            <w:pPr>
              <w:pStyle w:val="Compact"/>
            </w:pPr>
            <w:r>
              <w:t xml:space="preserve">$3.17/ton</w:t>
            </w:r>
          </w:p>
        </w:tc>
        <w:tc>
          <w:tcPr/>
          <w:p>
            <w:pPr>
              <w:pStyle w:val="Compact"/>
            </w:pPr>
            <w:r>
              <w:t xml:space="preserve">1000 m3/h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Case 2-2 (Ulsan)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5,000 m3</w:t>
            </w:r>
          </w:p>
        </w:tc>
        <w:tc>
          <w:tcPr/>
          <w:p>
            <w:pPr>
              <w:pStyle w:val="Compact"/>
            </w:pPr>
            <w:r>
              <w:t xml:space="preserve">$402.37M</w:t>
            </w:r>
          </w:p>
        </w:tc>
        <w:tc>
          <w:tcPr/>
          <w:p>
            <w:pPr>
              <w:pStyle w:val="Compact"/>
            </w:pPr>
            <w:r>
              <w:t xml:space="preserve">$1.71/ton</w:t>
            </w:r>
          </w:p>
        </w:tc>
        <w:tc>
          <w:tcPr/>
          <w:p>
            <w:pPr>
              <w:pStyle w:val="Compact"/>
            </w:pPr>
            <w:r>
              <w:t xml:space="preserve">1000 m3/h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"/>
    <w:bookmarkStart w:id="18" w:name="report-information"/>
    <w:p>
      <w:pPr>
        <w:pStyle w:val="Heading2"/>
      </w:pPr>
      <w:r>
        <w:t xml:space="preserve">Report Information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Version</w:t>
      </w:r>
      <w:r>
        <w:t xml:space="preserve">: 1.0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Date</w:t>
      </w:r>
      <w:r>
        <w:t xml:space="preserve">: 2025-01-20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Pump Rate</w:t>
      </w:r>
      <w:r>
        <w:t xml:space="preserve">: 1000 m3/h (fixed)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Discount Rate</w:t>
      </w:r>
      <w:r>
        <w:t xml:space="preserve">: 0.0 (no discounting)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Time Period</w:t>
      </w:r>
      <w:r>
        <w:t xml:space="preserve">: 2030-2050 (21 years)</w:t>
      </w:r>
    </w:p>
    <w:p>
      <w:r>
        <w:pict>
          <v:rect style="width:0;height:1.5pt" o:hralign="center" o:hrstd="t" o:hr="t"/>
        </w:pict>
      </w:r>
    </w:p>
    <w:bookmarkEnd w:id="18"/>
    <w:bookmarkStart w:id="19" w:name="figures-directory"/>
    <w:p>
      <w:pPr>
        <w:pStyle w:val="Heading2"/>
      </w:pPr>
      <w:r>
        <w:t xml:space="preserve">Figures Directory</w:t>
      </w:r>
    </w:p>
    <w:p>
      <w:pPr>
        <w:pStyle w:val="FirstParagraph"/>
      </w:pPr>
      <w:r>
        <w:t xml:space="preserve">All figures referenced in this report are located at:</w:t>
      </w:r>
      <w:r>
        <w:t xml:space="preserve"> </w:t>
      </w:r>
      <w:r>
        <w:rPr>
          <w:rStyle w:val="VerbatimChar"/>
        </w:rPr>
        <w:t xml:space="preserve">results/paper_figures/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Series</w:t>
            </w:r>
          </w:p>
        </w:tc>
        <w:tc>
          <w:tcPr/>
          <w:p>
            <w:pPr>
              <w:pStyle w:val="Compact"/>
            </w:pPr>
            <w:r>
              <w:t xml:space="preserve">Content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D1-D5</w:t>
            </w:r>
          </w:p>
        </w:tc>
        <w:tc>
          <w:tcPr/>
          <w:p>
            <w:pPr>
              <w:pStyle w:val="Compact"/>
            </w:pPr>
            <w:r>
              <w:t xml:space="preserve">Core deterministic analysis (required)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D6-D12</w:t>
            </w:r>
          </w:p>
        </w:tc>
        <w:tc>
          <w:tcPr/>
          <w:p>
            <w:pPr>
              <w:pStyle w:val="Compact"/>
            </w:pPr>
            <w:r>
              <w:t xml:space="preserve">Extended analysis (optional)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S1-S7</w:t>
            </w:r>
          </w:p>
        </w:tc>
        <w:tc>
          <w:tcPr/>
          <w:p>
            <w:pPr>
              <w:pStyle w:val="Compact"/>
            </w:pPr>
            <w:r>
              <w:t xml:space="preserve">Stochastic analysis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C1-C4</w:t>
            </w:r>
          </w:p>
        </w:tc>
        <w:tc>
          <w:tcPr/>
          <w:p>
            <w:pPr>
              <w:pStyle w:val="Compact"/>
            </w:pPr>
            <w:r>
              <w:t xml:space="preserve">Combined/comparison figures</w:t>
            </w:r>
          </w:p>
        </w:tc>
      </w:tr>
    </w:tbl>
    <w:bookmarkEnd w:id="19"/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./01_executive_summary.md" TargetMode="External" /><Relationship Type="http://schemas.openxmlformats.org/officeDocument/2006/relationships/hyperlink" Id="rId10" Target="./02_parameters.md" TargetMode="External" /><Relationship Type="http://schemas.openxmlformats.org/officeDocument/2006/relationships/hyperlink" Id="rId11" Target="./03_case1_busan.md" TargetMode="External" /><Relationship Type="http://schemas.openxmlformats.org/officeDocument/2006/relationships/hyperlink" Id="rId12" Target="./04_case2_yeosu.md" TargetMode="External" /><Relationship Type="http://schemas.openxmlformats.org/officeDocument/2006/relationships/hyperlink" Id="rId13" Target="./05_case2_ulsan.md" TargetMode="External" /><Relationship Type="http://schemas.openxmlformats.org/officeDocument/2006/relationships/hyperlink" Id="rId14" Target="./06_comparison.md" TargetMode="External" /><Relationship Type="http://schemas.openxmlformats.org/officeDocument/2006/relationships/hyperlink" Id="rId15" Target="./07_conclusion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./01_executive_summary.md" TargetMode="External" /><Relationship Type="http://schemas.openxmlformats.org/officeDocument/2006/relationships/hyperlink" Id="rId10" Target="./02_parameters.md" TargetMode="External" /><Relationship Type="http://schemas.openxmlformats.org/officeDocument/2006/relationships/hyperlink" Id="rId11" Target="./03_case1_busan.md" TargetMode="External" /><Relationship Type="http://schemas.openxmlformats.org/officeDocument/2006/relationships/hyperlink" Id="rId12" Target="./04_case2_yeosu.md" TargetMode="External" /><Relationship Type="http://schemas.openxmlformats.org/officeDocument/2006/relationships/hyperlink" Id="rId13" Target="./05_case2_ulsan.md" TargetMode="External" /><Relationship Type="http://schemas.openxmlformats.org/officeDocument/2006/relationships/hyperlink" Id="rId14" Target="./06_comparison.md" TargetMode="External" /><Relationship Type="http://schemas.openxmlformats.org/officeDocument/2006/relationships/hyperlink" Id="rId15" Target="./07_conclusion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2026-01-20T02:33:39Z</dcterms:created>
  <dcterms:modified xsi:type="dcterms:W3CDTF">2026-01-20T02:33:39Z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