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terministic-case-verification-report"/>
    <w:p>
      <w:pPr>
        <w:pStyle w:val="Heading1"/>
      </w:pPr>
      <w:r>
        <w:t xml:space="preserve">Deterministic Case Verification Report</w:t>
      </w:r>
    </w:p>
    <w:bookmarkStart w:id="16" w:name="index"/>
    <w:p>
      <w:pPr>
        <w:pStyle w:val="Heading2"/>
      </w:pPr>
      <w:r>
        <w:t xml:space="preserve">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191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</w:pPr>
            <w:r>
              <w:t xml:space="preserve">Optimal configurations and key recommendations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All input parameters with units and sources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Case 1: Busan Storage</w:t>
            </w:r>
          </w:p>
        </w:tc>
        <w:tc>
          <w:tcPr/>
          <w:p>
            <w:pPr>
              <w:pStyle w:val="Compact"/>
            </w:pPr>
            <w:r>
              <w:t xml:space="preserve">Detailed cycle time and cost verification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Case 2-1: Yeosu to Busan</w:t>
            </w:r>
          </w:p>
        </w:tc>
        <w:tc>
          <w:tcPr/>
          <w:p>
            <w:pPr>
              <w:pStyle w:val="Compact"/>
            </w:pPr>
            <w:r>
              <w:t xml:space="preserve">Long-distance supply analysis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Case 2-2: Ulsan to Busan</w:t>
            </w:r>
          </w:p>
        </w:tc>
        <w:tc>
          <w:tcPr/>
          <w:p>
            <w:pPr>
              <w:pStyle w:val="Compact"/>
            </w:pPr>
            <w:r>
              <w:t xml:space="preserve">Short-distance supply analysis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Cross-case comparison with D-series figures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Conclusion</w:t>
            </w:r>
          </w:p>
        </w:tc>
        <w:tc>
          <w:tcPr/>
          <w:p>
            <w:pPr>
              <w:pStyle w:val="Compact"/>
            </w:pPr>
            <w:r>
              <w:t xml:space="preserve">Verification checklist and recommendations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quick-reference-optimal-configurations"/>
    <w:p>
      <w:pPr>
        <w:pStyle w:val="Heading2"/>
      </w:pPr>
      <w:r>
        <w:t xml:space="preserve">Quick Reference: Optimal Configurations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Optimal Shuttle</w:t>
            </w:r>
          </w:p>
        </w:tc>
        <w:tc>
          <w:tcPr/>
          <w:p>
            <w:pPr>
              <w:pStyle w:val="Compact"/>
            </w:pPr>
            <w:r>
              <w:t xml:space="preserve">NPC (20yr)</w:t>
            </w:r>
          </w:p>
        </w:tc>
        <w:tc>
          <w:tcPr/>
          <w:p>
            <w:pPr>
              <w:pStyle w:val="Compact"/>
            </w:pPr>
            <w:r>
              <w:t xml:space="preserve">LCOAmmonia</w:t>
            </w:r>
          </w:p>
        </w:tc>
        <w:tc>
          <w:tcPr/>
          <w:p>
            <w:pPr>
              <w:pStyle w:val="Compact"/>
            </w:pPr>
            <w:r>
              <w:t xml:space="preserve">Pump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1 (Busan)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2,500 m3</w:t>
            </w:r>
          </w:p>
        </w:tc>
        <w:tc>
          <w:tcPr/>
          <w:p>
            <w:pPr>
              <w:pStyle w:val="Compact"/>
            </w:pPr>
            <w:r>
              <w:t xml:space="preserve">$237.05M</w:t>
            </w:r>
          </w:p>
        </w:tc>
        <w:tc>
          <w:tcPr/>
          <w:p>
            <w:pPr>
              <w:pStyle w:val="Compact"/>
            </w:pPr>
            <w:r>
              <w:t xml:space="preserve">$1.01/ton</w:t>
            </w:r>
          </w:p>
        </w:tc>
        <w:tc>
          <w:tcPr/>
          <w:p>
            <w:pPr>
              <w:pStyle w:val="Compact"/>
            </w:pPr>
            <w:r>
              <w:t xml:space="preserve">1000 m3/h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2-1 (Yeosu)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10,000 m3</w:t>
            </w:r>
          </w:p>
        </w:tc>
        <w:tc>
          <w:tcPr/>
          <w:p>
            <w:pPr>
              <w:pStyle w:val="Compact"/>
            </w:pPr>
            <w:r>
              <w:t xml:space="preserve">$747.18M</w:t>
            </w:r>
          </w:p>
        </w:tc>
        <w:tc>
          <w:tcPr/>
          <w:p>
            <w:pPr>
              <w:pStyle w:val="Compact"/>
            </w:pPr>
            <w:r>
              <w:t xml:space="preserve">$3.17/ton</w:t>
            </w:r>
          </w:p>
        </w:tc>
        <w:tc>
          <w:tcPr/>
          <w:p>
            <w:pPr>
              <w:pStyle w:val="Compact"/>
            </w:pPr>
            <w:r>
              <w:t xml:space="preserve">1000 m3/h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2-2 (Ulsan)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$402.37M</w:t>
            </w:r>
          </w:p>
        </w:tc>
        <w:tc>
          <w:tcPr/>
          <w:p>
            <w:pPr>
              <w:pStyle w:val="Compact"/>
            </w:pPr>
            <w:r>
              <w:t xml:space="preserve">$1.71/ton</w:t>
            </w:r>
          </w:p>
        </w:tc>
        <w:tc>
          <w:tcPr/>
          <w:p>
            <w:pPr>
              <w:pStyle w:val="Compact"/>
            </w:pPr>
            <w:r>
              <w:t xml:space="preserve">1000 m3/h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report-information"/>
    <w:p>
      <w:pPr>
        <w:pStyle w:val="Heading2"/>
      </w:pPr>
      <w:r>
        <w:t xml:space="preserve">Report Information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</w:t>
      </w:r>
      <w:r>
        <w:t xml:space="preserve">: 1.0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</w:t>
      </w:r>
      <w:r>
        <w:t xml:space="preserve">: 2025-01-20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Pump Rate</w:t>
      </w:r>
      <w:r>
        <w:t xml:space="preserve">: 1000 m3/h (fixed)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Discount Rate</w:t>
      </w:r>
      <w:r>
        <w:t xml:space="preserve">: 0.0 (no discounting)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 Period</w:t>
      </w:r>
      <w:r>
        <w:t xml:space="preserve">: 2030-2050 (21 years)</w:t>
      </w:r>
    </w:p>
    <w:p>
      <w:r>
        <w:pict>
          <v:rect style="width:0;height:1.5pt" o:hralign="center" o:hrstd="t" o:hr="t"/>
        </w:pict>
      </w:r>
    </w:p>
    <w:bookmarkEnd w:id="18"/>
    <w:bookmarkStart w:id="19" w:name="figures-directory"/>
    <w:p>
      <w:pPr>
        <w:pStyle w:val="Heading2"/>
      </w:pPr>
      <w:r>
        <w:t xml:space="preserve">Figures Directory</w:t>
      </w:r>
    </w:p>
    <w:p>
      <w:pPr>
        <w:pStyle w:val="FirstParagraph"/>
      </w:pPr>
      <w:r>
        <w:t xml:space="preserve">All figures referenced in this report are located at:</w:t>
      </w:r>
      <w:r>
        <w:t xml:space="preserve"> </w:t>
      </w:r>
      <w:r>
        <w:rPr>
          <w:rStyle w:val="VerbatimChar"/>
        </w:rPr>
        <w:t xml:space="preserve">results/paper_figures/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D1-D5</w:t>
            </w:r>
          </w:p>
        </w:tc>
        <w:tc>
          <w:tcPr/>
          <w:p>
            <w:pPr>
              <w:pStyle w:val="Compact"/>
            </w:pPr>
            <w:r>
              <w:t xml:space="preserve">Core deterministic analysis (required)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D6-D12</w:t>
            </w:r>
          </w:p>
        </w:tc>
        <w:tc>
          <w:tcPr/>
          <w:p>
            <w:pPr>
              <w:pStyle w:val="Compact"/>
            </w:pPr>
            <w:r>
              <w:t xml:space="preserve">Extended analysis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S1-S7</w:t>
            </w:r>
          </w:p>
        </w:tc>
        <w:tc>
          <w:tcPr/>
          <w:p>
            <w:pPr>
              <w:pStyle w:val="Compact"/>
            </w:pPr>
            <w:r>
              <w:t xml:space="preserve">Stochastic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C1-C4</w:t>
            </w:r>
          </w:p>
        </w:tc>
        <w:tc>
          <w:tcPr/>
          <w:p>
            <w:pPr>
              <w:pStyle w:val="Compact"/>
            </w:pPr>
            <w:r>
              <w:t xml:space="preserve">Combined/comparison figures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01_executive_summary.md" TargetMode="External" /><Relationship Type="http://schemas.openxmlformats.org/officeDocument/2006/relationships/hyperlink" Id="rId10" Target="./02_parameters.md" TargetMode="External" /><Relationship Type="http://schemas.openxmlformats.org/officeDocument/2006/relationships/hyperlink" Id="rId11" Target="./03_case1_busan.md" TargetMode="External" /><Relationship Type="http://schemas.openxmlformats.org/officeDocument/2006/relationships/hyperlink" Id="rId12" Target="./04_case2_yeosu.md" TargetMode="External" /><Relationship Type="http://schemas.openxmlformats.org/officeDocument/2006/relationships/hyperlink" Id="rId13" Target="./05_case2_ulsan.md" TargetMode="External" /><Relationship Type="http://schemas.openxmlformats.org/officeDocument/2006/relationships/hyperlink" Id="rId14" Target="./06_comparison.md" TargetMode="External" /><Relationship Type="http://schemas.openxmlformats.org/officeDocument/2006/relationships/hyperlink" Id="rId15" Target="./07_conclus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01_executive_summary.md" TargetMode="External" /><Relationship Type="http://schemas.openxmlformats.org/officeDocument/2006/relationships/hyperlink" Id="rId10" Target="./02_parameters.md" TargetMode="External" /><Relationship Type="http://schemas.openxmlformats.org/officeDocument/2006/relationships/hyperlink" Id="rId11" Target="./03_case1_busan.md" TargetMode="External" /><Relationship Type="http://schemas.openxmlformats.org/officeDocument/2006/relationships/hyperlink" Id="rId12" Target="./04_case2_yeosu.md" TargetMode="External" /><Relationship Type="http://schemas.openxmlformats.org/officeDocument/2006/relationships/hyperlink" Id="rId13" Target="./05_case2_ulsan.md" TargetMode="External" /><Relationship Type="http://schemas.openxmlformats.org/officeDocument/2006/relationships/hyperlink" Id="rId14" Target="./06_comparison.md" TargetMode="External" /><Relationship Type="http://schemas.openxmlformats.org/officeDocument/2006/relationships/hyperlink" Id="rId15" Target="./07_conclus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2026-01-20T02:34:44Z</dcterms:created>
  <dcterms:modified xsi:type="dcterms:W3CDTF">2026-01-20T02:34:44Z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