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Executive Summary</w:t>
      </w:r>
    </w:p>
    <w:p>
      <w:r>
        <w:rPr>
          <w:b/>
          <w:bCs/>
          <w:sz w:val="24"/>
          <w:szCs w:val="24"/>
        </w:rPr>
        <w:t xml:space="preserve">Key Findings</w:t>
      </w:r>
    </w:p>
    <w:p>
      <w:pPr>
        <w:spacing w:after="200"/>
      </w:pPr>
      <w:r>
        <w:t xml:space="preserve">The MILP optimization identifies the most cost-effective ammonia bunkering configurations for Busan Port across three supply scenarios. Case 1 (local storage) is the most economical, followed by Case 2-2 (Ulsan), with Case 2-1 (Yeosu) being the most expensive due to longer transport distances.</w:t>
      </w:r>
    </w:p>
    <w:p>
      <w:pPr>
        <w:pStyle w:val="Heading1"/>
      </w:pPr>
      <w:r>
        <w:t xml:space="preserve">Optimal Configurations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Shuttle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NPC (20yr)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LCOAmmonia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Fleet (2050)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1: Busan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2,500 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$237.05M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$1.01/ton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 shuttles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2-1: Yeosu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10,000 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$747.18M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$3.17/ton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 shuttles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2-2: Ulsan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 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$402.37M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$1.71/ton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 shuttles</w:t>
            </w:r>
          </w:p>
        </w:tc>
      </w:tr>
    </w:tbl>
    <w:p>
      <w:pPr>
        <w:pStyle w:val="Heading1"/>
      </w:pPr>
      <w:r>
        <w:t xml:space="preserve">Cost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vs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1 (Busan)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$237M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2-2 (Ulsan)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$402M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2-1 (Yeosu)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$747M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+215%</w:t>
            </w:r>
          </w:p>
        </w:tc>
      </w:tr>
    </w:tbl>
    <w:p>
      <w:pPr>
        <w:pStyle w:val="Heading1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Build local storage at Busan with 2,500 m3 shuttle fleet (NPC: $237M)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 xml:space="preserve">Ulsan supply with 5,000 m3 shuttles if local storage infeasible (+70%)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Recommended: </w:t>
      </w:r>
      <w:r>
        <w:t xml:space="preserve">Yeosu supply due to excessive distance (+215%)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Deterministic Case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2026-01-20T02:17:14.362Z</dcterms:created>
  <dcterms:modified xsi:type="dcterms:W3CDTF">2026-01-20T02:17:14.363Z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