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hapter-1-executive-summary"/>
    <w:p>
      <w:pPr>
        <w:pStyle w:val="Heading1"/>
      </w:pPr>
      <w:r>
        <w:t xml:space="preserve">Chapter 1: Executive Summary</w:t>
      </w:r>
    </w:p>
    <w:bookmarkStart w:id="9" w:name="key-findings"/>
    <w:p>
      <w:pPr>
        <w:pStyle w:val="Heading2"/>
      </w:pPr>
      <w:r>
        <w:t xml:space="preserve">Key Findings</w:t>
      </w:r>
    </w:p>
    <w:p>
      <w:pPr>
        <w:pStyle w:val="FirstParagraph"/>
      </w:pPr>
      <w:r>
        <w:t xml:space="preserve">The MILP optimization identifies the most cost-effective ammonia bunkering configurations for Busan Port across three supply scenarios.</w:t>
      </w:r>
      <w:r>
        <w:t xml:space="preserve"> </w:t>
      </w:r>
      <w:r>
        <w:rPr>
          <w:b/>
          <w:bCs/>
        </w:rPr>
        <w:t xml:space="preserve">Case 1 (local storage) is the most economical</w:t>
      </w:r>
      <w:r>
        <w:t xml:space="preserve">, followed by Case 2-2 (Ulsan), with Case 2-1 (Yeosu) being the most expensive due to longer transport distances.</w:t>
      </w:r>
    </w:p>
    <w:p>
      <w:r>
        <w:pict>
          <v:rect style="width:0;height:1.5pt" o:hralign="center" o:hrstd="t" o:hr="t"/>
        </w:pict>
      </w:r>
    </w:p>
    <w:bookmarkEnd w:id="9"/>
    <w:bookmarkStart w:id="10" w:name="optimal-configurations-1000-m3h-pump"/>
    <w:p>
      <w:pPr>
        <w:pStyle w:val="Heading2"/>
      </w:pPr>
      <w:r>
        <w:t xml:space="preserve">Optimal Configurations (1000 m3/h Pump)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760"/>
        <w:gridCol w:w="1508"/>
        <w:gridCol w:w="1508"/>
        <w:gridCol w:w="23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NPC (20yr)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Fleet Size (2050)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1: Busan Storage</w:t>
            </w:r>
          </w:p>
        </w:tc>
        <w:tc>
          <w:tcPr/>
          <w:p>
            <w:pPr>
              <w:pStyle w:val="Compact"/>
            </w:pPr>
            <w:r>
              <w:t xml:space="preserve">2,500 m3 shuttle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$237.05M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~20 shuttles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2-1: Yeosu</w:t>
            </w:r>
          </w:p>
        </w:tc>
        <w:tc>
          <w:tcPr/>
          <w:p>
            <w:pPr>
              <w:pStyle w:val="Compact"/>
            </w:pPr>
            <w:r>
              <w:t xml:space="preserve">10,000 m3 shuttle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~10 shuttles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2-2: Ulsan</w:t>
            </w:r>
          </w:p>
        </w:tc>
        <w:tc>
          <w:tcPr/>
          <w:p>
            <w:pPr>
              <w:pStyle w:val="Compact"/>
            </w:pPr>
            <w:r>
              <w:t xml:space="preserve">5,000 m3 shuttle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~15 shuttles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ost-comparison"/>
    <w:p>
      <w:pPr>
        <w:pStyle w:val="Heading2"/>
      </w:pPr>
      <w:r>
        <w:t xml:space="preserve">Cost Comparison</w:t>
      </w:r>
    </w:p>
    <w:p>
      <w:pPr>
        <w:pStyle w:val="SourceCode"/>
      </w:pPr>
      <w:r>
        <w:rPr>
          <w:rStyle w:val="VerbatimChar"/>
        </w:rPr>
        <w:t xml:space="preserve">Case 1 (Busan)  : ████████████████████ $237M (baseline)</w:t>
      </w:r>
      <w:r>
        <w:br/>
      </w:r>
      <w:r>
        <w:rPr>
          <w:rStyle w:val="VerbatimChar"/>
        </w:rPr>
        <w:t xml:space="preserve">Case 2-2 (Ulsan): ████████████████████████████████████ $402M (+70%)</w:t>
      </w:r>
      <w:r>
        <w:br/>
      </w:r>
      <w:r>
        <w:rPr>
          <w:rStyle w:val="VerbatimChar"/>
        </w:rPr>
        <w:t xml:space="preserve">Case 2-1 (Yeosu): ████████████████████████████████████████████████████████████████ $747M (+215%)</w:t>
      </w:r>
    </w:p>
    <w:p>
      <w:r>
        <w:pict>
          <v:rect style="width:0;height:1.5pt" o:hralign="center" o:hrstd="t" o:hr="t"/>
        </w:pict>
      </w:r>
    </w:p>
    <w:bookmarkEnd w:id="11"/>
    <w:bookmarkStart w:id="12" w:name="why-case-1-is-optimal"/>
    <w:p>
      <w:pPr>
        <w:pStyle w:val="Heading2"/>
      </w:pPr>
      <w:r>
        <w:t xml:space="preserve">Why Case 1 is Optimal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 Travel Distance</w:t>
      </w:r>
      <w:r>
        <w:t xml:space="preserve">: 1 hour round trip vs 3.34h (Ulsan) or 11.46h (Yeosu)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Higher Utilization</w:t>
      </w:r>
      <w:r>
        <w:t xml:space="preserve">: More cycles per year = better asset utilization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Smaller Shuttles</w:t>
      </w:r>
      <w:r>
        <w:t xml:space="preserve">: 2,500 m3 vs 5,000-10,000 m3 = lower CAPEX per unit</w:t>
      </w:r>
    </w:p>
    <w:p>
      <w:r>
        <w:pict>
          <v:rect style="width:0;height:1.5pt" o:hralign="center" o:hrstd="t" o:hr="t"/>
        </w:pict>
      </w:r>
    </w:p>
    <w:bookmarkEnd w:id="12"/>
    <w:bookmarkStart w:id="13" w:name="why-2500-m3-shuttle-case-1"/>
    <w:p>
      <w:pPr>
        <w:pStyle w:val="Heading2"/>
      </w:pPr>
      <w:r>
        <w:t xml:space="preserve">Why 2,500 m3 Shuttle (Case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Size</w:t>
            </w:r>
          </w:p>
        </w:tc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LCO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 m3</w:t>
            </w:r>
          </w:p>
        </w:tc>
        <w:tc>
          <w:tcPr/>
          <w:p>
            <w:pPr>
              <w:pStyle w:val="Compact"/>
            </w:pPr>
            <w:r>
              <w:t xml:space="preserve">$281.7M</w:t>
            </w:r>
          </w:p>
        </w:tc>
        <w:tc>
          <w:tcPr/>
          <w:p>
            <w:pPr>
              <w:pStyle w:val="Compact"/>
            </w:pPr>
            <w:r>
              <w:t xml:space="preserve">$1.20/ton</w:t>
            </w:r>
          </w:p>
        </w:tc>
        <w:tc>
          <w:tcPr/>
          <w:p>
            <w:pPr>
              <w:pStyle w:val="Compact"/>
            </w:pPr>
            <w:r>
              <w:t xml:space="preserve">Higher OPEX (more trips)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$237.05M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 m3</w:t>
            </w:r>
          </w:p>
        </w:tc>
        <w:tc>
          <w:tcPr/>
          <w:p>
            <w:pPr>
              <w:pStyle w:val="Compact"/>
            </w:pPr>
            <w:r>
              <w:t xml:space="preserve">$282.25M</w:t>
            </w:r>
          </w:p>
        </w:tc>
        <w:tc>
          <w:tcPr/>
          <w:p>
            <w:pPr>
              <w:pStyle w:val="Compact"/>
            </w:pPr>
            <w:r>
              <w:t xml:space="preserve">$1.20/ton</w:t>
            </w:r>
          </w:p>
        </w:tc>
        <w:tc>
          <w:tcPr/>
          <w:p>
            <w:pPr>
              <w:pStyle w:val="Compact"/>
            </w:pPr>
            <w:r>
              <w:t xml:space="preserve">Higher CAPEX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$264.24M</w:t>
            </w:r>
          </w:p>
        </w:tc>
        <w:tc>
          <w:tcPr/>
          <w:p>
            <w:pPr>
              <w:pStyle w:val="Compact"/>
            </w:pPr>
            <w:r>
              <w:t xml:space="preserve">$1.12/ton</w:t>
            </w:r>
          </w:p>
        </w:tc>
        <w:tc>
          <w:tcPr/>
          <w:p>
            <w:pPr>
              <w:pStyle w:val="Compact"/>
            </w:pPr>
            <w:r>
              <w:t xml:space="preserve">Overkill for demand</w:t>
            </w:r>
          </w:p>
        </w:tc>
      </w:tr>
    </w:tbl>
    <w:p>
      <w:pPr>
        <w:pStyle w:val="BodyText"/>
      </w:pPr>
      <w:r>
        <w:t xml:space="preserve">The 2,500 m3 shuttle requires 2 trips per bunkering call (5000 m3 demand), achieving optimal balance between:</w:t>
      </w:r>
      <w:r>
        <w:t xml:space="preserve"> </w:t>
      </w:r>
      <w:r>
        <w:t xml:space="preserve">- Fleet size (capital cost)</w:t>
      </w:r>
      <w:r>
        <w:t xml:space="preserve"> </w:t>
      </w:r>
      <w:r>
        <w:t xml:space="preserve">- Trip frequency (operating cost)</w:t>
      </w:r>
      <w:r>
        <w:t xml:space="preserve"> </w:t>
      </w:r>
      <w:r>
        <w:t xml:space="preserve">- Asset utilization (efficiency)</w:t>
      </w:r>
    </w:p>
    <w:p>
      <w:r>
        <w:pict>
          <v:rect style="width:0;height:1.5pt" o:hralign="center" o:hrstd="t" o:hr="t"/>
        </w:pict>
      </w:r>
    </w:p>
    <w:bookmarkEnd w:id="13"/>
    <w:bookmarkStart w:id="14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For Busan Port ammonia bunkering infrastructure (2030-2050):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Recommendation</w:t>
      </w:r>
      <w:r>
        <w:t xml:space="preserve">: Build local storage tanks at Busan Port with 2,500 m3 shuttle fleet</w:t>
      </w:r>
    </w:p>
    <w:p>
      <w:pPr>
        <w:pStyle w:val="Compact"/>
        <w:numPr>
          <w:ilvl w:val="1"/>
          <w:numId w:val="1003"/>
        </w:numPr>
      </w:pPr>
      <w:r>
        <w:t xml:space="preserve">20-year NPC: $237.05M</w:t>
      </w:r>
    </w:p>
    <w:p>
      <w:pPr>
        <w:pStyle w:val="Compact"/>
        <w:numPr>
          <w:ilvl w:val="1"/>
          <w:numId w:val="1003"/>
        </w:numPr>
      </w:pPr>
      <w:r>
        <w:t xml:space="preserve">Levelized cost: $1.01/ton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Alternative (if local storage not feasible)</w:t>
      </w:r>
      <w:r>
        <w:t xml:space="preserve">: Ulsan supply with 5,000 m3 shuttle fleet</w:t>
      </w:r>
    </w:p>
    <w:p>
      <w:pPr>
        <w:pStyle w:val="Compact"/>
        <w:numPr>
          <w:ilvl w:val="1"/>
          <w:numId w:val="1004"/>
        </w:numPr>
      </w:pPr>
      <w:r>
        <w:t xml:space="preserve">20-year NPC: $402.37M</w:t>
      </w:r>
    </w:p>
    <w:p>
      <w:pPr>
        <w:pStyle w:val="Compact"/>
        <w:numPr>
          <w:ilvl w:val="1"/>
          <w:numId w:val="1004"/>
        </w:numPr>
      </w:pPr>
      <w:r>
        <w:t xml:space="preserve">Levelized cost: $1.71/ton</w:t>
      </w:r>
    </w:p>
    <w:p>
      <w:pPr>
        <w:pStyle w:val="Compact"/>
        <w:numPr>
          <w:ilvl w:val="1"/>
          <w:numId w:val="1004"/>
        </w:numPr>
      </w:pPr>
      <w:r>
        <w:t xml:space="preserve">Premium: +70% over Case 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Recommended</w:t>
      </w:r>
      <w:r>
        <w:t xml:space="preserve">: Yeosu supply</w:t>
      </w:r>
    </w:p>
    <w:p>
      <w:pPr>
        <w:pStyle w:val="Compact"/>
        <w:numPr>
          <w:ilvl w:val="1"/>
          <w:numId w:val="1005"/>
        </w:numPr>
      </w:pPr>
      <w:r>
        <w:t xml:space="preserve">20-year NPC: $747.18M</w:t>
      </w:r>
    </w:p>
    <w:p>
      <w:pPr>
        <w:pStyle w:val="Compact"/>
        <w:numPr>
          <w:ilvl w:val="1"/>
          <w:numId w:val="1005"/>
        </w:numPr>
      </w:pPr>
      <w:r>
        <w:t xml:space="preserve">Levelized cost: $3.17/ton</w:t>
      </w:r>
    </w:p>
    <w:p>
      <w:pPr>
        <w:pStyle w:val="Compact"/>
        <w:numPr>
          <w:ilvl w:val="1"/>
          <w:numId w:val="1005"/>
        </w:numPr>
      </w:pPr>
      <w:r>
        <w:t xml:space="preserve">Premium: +215% over Case 1</w:t>
      </w:r>
    </w:p>
    <w:p>
      <w:r>
        <w:pict>
          <v:rect style="width:0;height:1.5pt" o:hralign="center" o:hrstd="t" o:hr="t"/>
        </w:pict>
      </w:r>
    </w:p>
    <w:bookmarkEnd w:id="14"/>
    <w:bookmarkStart w:id="15" w:name="key-assumptions"/>
    <w:p>
      <w:pPr>
        <w:pStyle w:val="Heading2"/>
      </w:pPr>
      <w:r>
        <w:t xml:space="preserve">Key Assumptions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Pump Rate</w:t>
      </w:r>
      <w:r>
        <w:t xml:space="preserve">: 1000 m3/h (fixed for main analysis)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Discount Rate</w:t>
      </w:r>
      <w:r>
        <w:t xml:space="preserve">: 0.0 (no time value of money adjustment)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Annualization Rate</w:t>
      </w:r>
      <w:r>
        <w:t xml:space="preserve">: 7.0% (for asset cost spreading)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Demand Growth</w:t>
      </w:r>
      <w:r>
        <w:t xml:space="preserve">: 50 vessels (2030) to 500 vessels (2050)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Bunker Volume</w:t>
      </w:r>
      <w:r>
        <w:t xml:space="preserve">: 5,000 m3 per call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2026-01-20T02:34:35Z</dcterms:created>
  <dcterms:modified xsi:type="dcterms:W3CDTF">2026-01-20T02:34:35Z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