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chapter-6-cross-case-comparison"/>
    <w:p>
      <w:pPr>
        <w:pStyle w:val="Heading1"/>
      </w:pPr>
      <w:r>
        <w:t xml:space="preserve">Chapter 6: Cross-Case Comparison</w:t>
      </w:r>
    </w:p>
    <w:bookmarkStart w:id="9" w:name="overview"/>
    <w:p>
      <w:pPr>
        <w:pStyle w:val="Heading2"/>
      </w:pPr>
      <w:r>
        <w:t xml:space="preserve">6.1 Overview</w:t>
      </w:r>
    </w:p>
    <w:p>
      <w:pPr>
        <w:pStyle w:val="FirstParagraph"/>
      </w:pPr>
      <w:r>
        <w:t xml:space="preserve">This chapter compares the three supply scenarios using visualizations from the D-series figures.</w:t>
      </w:r>
    </w:p>
    <w:p>
      <w:r>
        <w:pict>
          <v:rect style="width:0;height:1.5pt" o:hralign="center" o:hrstd="t" o:hr="t"/>
        </w:pict>
      </w:r>
    </w:p>
    <w:bookmarkEnd w:id="9"/>
    <w:bookmarkStart w:id="10" w:name="optimal-configuration-summary"/>
    <w:p>
      <w:pPr>
        <w:pStyle w:val="Heading2"/>
      </w:pPr>
      <w:r>
        <w:t xml:space="preserve">6.2 Optimal Configuration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470"/>
        <w:gridCol w:w="1357"/>
        <w:gridCol w:w="1357"/>
        <w:gridCol w:w="147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Shuttle Size</w:t>
            </w:r>
          </w:p>
        </w:tc>
        <w:tc>
          <w:tcPr/>
          <w:p>
            <w:pPr>
              <w:pStyle w:val="Compact"/>
            </w:pPr>
            <w:r>
              <w:t xml:space="preserve">NPC (20yr)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Vessels/Trip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$237.05M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1.0 hr</w:t>
            </w:r>
          </w:p>
        </w:tc>
        <w:tc>
          <w:tcPr/>
          <w:p>
            <w:pPr>
              <w:pStyle w:val="Compact"/>
            </w:pPr>
            <w:r>
              <w:t xml:space="preserve">N/A (multi-trip)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5.73 hr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1.67 hr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31" w:name="d-series-figures"/>
    <w:p>
      <w:pPr>
        <w:pStyle w:val="Heading2"/>
      </w:pPr>
      <w:r>
        <w:t xml:space="preserve">6.3 D-Series Figures</w:t>
      </w:r>
    </w:p>
    <w:bookmarkStart w:id="14" w:name="figure-d1-npc-vs-shuttle-size"/>
    <w:p>
      <w:pPr>
        <w:pStyle w:val="Heading3"/>
      </w:pPr>
      <w:r>
        <w:t xml:space="preserve">Figure D1: NPC vs Shuttle Size</w:t>
      </w:r>
    </w:p>
    <w:p>
      <w:pPr>
        <w:pStyle w:val="CaptionedFigure"/>
      </w:pPr>
      <w:r>
        <w:drawing>
          <wp:inline>
            <wp:extent cx="5334000" cy="1768415"/>
            <wp:effectExtent b="0" l="0" r="0" t="0"/>
            <wp:docPr descr="D1: NPC vs Shuttle Size" title="" id="12" name="Picture"/>
            <a:graphic>
              <a:graphicData uri="http://schemas.openxmlformats.org/drawingml/2006/picture">
                <pic:pic>
                  <pic:nvPicPr>
                    <pic:cNvPr descr="../../results/paper_figures/D1_npc_vs_shuttl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D1: NPC vs Shuttle Size</w:t>
      </w:r>
    </w:p>
    <w:p>
      <w:pPr>
        <w:pStyle w:val="BodyText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- Case 1 shows clear minimum at 2,500 m3</w:t>
      </w:r>
      <w:r>
        <w:t xml:space="preserve"> </w:t>
      </w:r>
      <w:r>
        <w:t xml:space="preserve">- Case 2-1 (Yeosu) minimum at 10,000 m3</w:t>
      </w:r>
      <w:r>
        <w:t xml:space="preserve"> </w:t>
      </w:r>
      <w:r>
        <w:t xml:space="preserve">- Case 2-2 (Ulsan) minimum at 5,000 m3</w:t>
      </w:r>
      <w:r>
        <w:t xml:space="preserve"> </w:t>
      </w:r>
      <w:r>
        <w:t xml:space="preserve">- All cases show U-shaped cost curves</w:t>
      </w:r>
    </w:p>
    <w:bookmarkEnd w:id="14"/>
    <w:bookmarkStart w:id="18" w:name="figure-d2-annual-cost-evolution"/>
    <w:p>
      <w:pPr>
        <w:pStyle w:val="Heading3"/>
      </w:pPr>
      <w:r>
        <w:t xml:space="preserve">Figure D2: Annual Cost Evolution</w:t>
      </w:r>
    </w:p>
    <w:p>
      <w:pPr>
        <w:pStyle w:val="CaptionedFigure"/>
      </w:pPr>
      <w:r>
        <w:drawing>
          <wp:inline>
            <wp:extent cx="5334000" cy="1768415"/>
            <wp:effectExtent b="0" l="0" r="0" t="0"/>
            <wp:docPr descr="D2: Yearly Cost Evolution" title="" id="16" name="Picture"/>
            <a:graphic>
              <a:graphicData uri="http://schemas.openxmlformats.org/drawingml/2006/picture">
                <pic:pic>
                  <pic:nvPicPr>
                    <pic:cNvPr descr="../../results/paper_figures/D2_yearly_cost_evolutio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D2: Yearly Cost Evolution</w:t>
      </w:r>
    </w:p>
    <w:p>
      <w:pPr>
        <w:pStyle w:val="BodyText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- Costs scale linearly with demand growth (50 to 500 vessels)</w:t>
      </w:r>
      <w:r>
        <w:t xml:space="preserve"> </w:t>
      </w:r>
      <w:r>
        <w:t xml:space="preserve">- Case 1 consistently lowest cost across all years</w:t>
      </w:r>
      <w:r>
        <w:t xml:space="preserve"> </w:t>
      </w:r>
      <w:r>
        <w:t xml:space="preserve">- Case 2-1 consistently highest cost</w:t>
      </w:r>
    </w:p>
    <w:bookmarkEnd w:id="18"/>
    <w:bookmarkStart w:id="22" w:name="figure-d3-fleet-size-annual-supply"/>
    <w:p>
      <w:pPr>
        <w:pStyle w:val="Heading3"/>
      </w:pPr>
      <w:r>
        <w:t xml:space="preserve">Figure D3: Fleet Size &amp; Annual Supply</w:t>
      </w:r>
    </w:p>
    <w:p>
      <w:pPr>
        <w:pStyle w:val="CaptionedFigure"/>
      </w:pPr>
      <w:r>
        <w:drawing>
          <wp:inline>
            <wp:extent cx="5334000" cy="1768415"/>
            <wp:effectExtent b="0" l="0" r="0" t="0"/>
            <wp:docPr descr="D3: Fleet &amp; Demand" title="" id="20" name="Picture"/>
            <a:graphic>
              <a:graphicData uri="http://schemas.openxmlformats.org/drawingml/2006/picture">
                <pic:pic>
                  <pic:nvPicPr>
                    <pic:cNvPr descr="../../results/paper_figures/D3_yearly_fleet_demand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D3: Fleet &amp; Demand</w:t>
      </w:r>
    </w:p>
    <w:p>
      <w:pPr>
        <w:pStyle w:val="BodyText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- Fleet size grows proportionally with demand</w:t>
      </w:r>
      <w:r>
        <w:t xml:space="preserve"> </w:t>
      </w:r>
      <w:r>
        <w:t xml:space="preserve">- Case 1 requires more shuttles (smaller size) but lower total cost</w:t>
      </w:r>
      <w:r>
        <w:t xml:space="preserve"> </w:t>
      </w:r>
      <w:r>
        <w:t xml:space="preserve">- Case 2 cases require fewer but larger shuttles</w:t>
      </w:r>
    </w:p>
    <w:bookmarkEnd w:id="22"/>
    <w:bookmarkStart w:id="26" w:name="figure-d4-annual-cycles"/>
    <w:p>
      <w:pPr>
        <w:pStyle w:val="Heading3"/>
      </w:pPr>
      <w:r>
        <w:t xml:space="preserve">Figure D4: Annual Cycles</w:t>
      </w:r>
    </w:p>
    <w:p>
      <w:pPr>
        <w:pStyle w:val="CaptionedFigure"/>
      </w:pPr>
      <w:r>
        <w:drawing>
          <wp:inline>
            <wp:extent cx="5334000" cy="3165707"/>
            <wp:effectExtent b="0" l="0" r="0" t="0"/>
            <wp:docPr descr="D4: Yearly Cycles" title="" id="24" name="Picture"/>
            <a:graphic>
              <a:graphicData uri="http://schemas.openxmlformats.org/drawingml/2006/picture">
                <pic:pic>
                  <pic:nvPicPr>
                    <pic:cNvPr descr="../../results/paper_figures/D4_yearly_cycle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D4: Yearly Cycles</w:t>
      </w:r>
    </w:p>
    <w:p>
      <w:pPr>
        <w:pStyle w:val="BodyText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- Case 1 has highest cycle frequency (shorter cycles)</w:t>
      </w:r>
      <w:r>
        <w:t xml:space="preserve"> </w:t>
      </w:r>
      <w:r>
        <w:t xml:space="preserve">- Case 2-1 has lowest frequency (longest cycles)</w:t>
      </w:r>
      <w:r>
        <w:t xml:space="preserve"> </w:t>
      </w:r>
      <w:r>
        <w:t xml:space="preserve">- Higher frequency = better asset utilization</w:t>
      </w:r>
    </w:p>
    <w:bookmarkEnd w:id="26"/>
    <w:bookmarkStart w:id="30" w:name="figure-d5-utilization-rate"/>
    <w:p>
      <w:pPr>
        <w:pStyle w:val="Heading3"/>
      </w:pPr>
      <w:r>
        <w:t xml:space="preserve">Figure D5: Utilization Rate</w:t>
      </w:r>
    </w:p>
    <w:p>
      <w:pPr>
        <w:pStyle w:val="CaptionedFigure"/>
      </w:pPr>
      <w:r>
        <w:drawing>
          <wp:inline>
            <wp:extent cx="5334000" cy="3165707"/>
            <wp:effectExtent b="0" l="0" r="0" t="0"/>
            <wp:docPr descr="D5: Yearly Utilization" title="" id="28" name="Picture"/>
            <a:graphic>
              <a:graphicData uri="http://schemas.openxmlformats.org/drawingml/2006/picture">
                <pic:pic>
                  <pic:nvPicPr>
                    <pic:cNvPr descr="../../results/paper_figures/D5_yearly_utilizat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D5: Yearly Utilization</w:t>
      </w:r>
    </w:p>
    <w:p>
      <w:pPr>
        <w:pStyle w:val="BodyText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- All optimal configurations achieve 100% utilization</w:t>
      </w:r>
      <w:r>
        <w:t xml:space="preserve"> </w:t>
      </w:r>
      <w:r>
        <w:t xml:space="preserve">- No wasted capacity in optimal scenarios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8" w:name="additional-figures-optional"/>
    <w:p>
      <w:pPr>
        <w:pStyle w:val="Heading2"/>
      </w:pPr>
      <w:r>
        <w:t xml:space="preserve">6.4 Additional Figures (Optional)</w:t>
      </w:r>
    </w:p>
    <w:bookmarkStart w:id="35" w:name="figure-d6-cost-breakdown"/>
    <w:p>
      <w:pPr>
        <w:pStyle w:val="Heading3"/>
      </w:pPr>
      <w:r>
        <w:t xml:space="preserve">Figure D6: Cost Breakdown</w:t>
      </w:r>
    </w:p>
    <w:p>
      <w:pPr>
        <w:pStyle w:val="CaptionedFigure"/>
      </w:pPr>
      <w:r>
        <w:drawing>
          <wp:inline>
            <wp:extent cx="5334000" cy="3163900"/>
            <wp:effectExtent b="0" l="0" r="0" t="0"/>
            <wp:docPr descr="D6: Cost Breakdown" title="" id="33" name="Picture"/>
            <a:graphic>
              <a:graphicData uri="http://schemas.openxmlformats.org/drawingml/2006/picture">
                <pic:pic>
                  <pic:nvPicPr>
                    <pic:cNvPr descr="../../results/paper_figures/D6_cost_breakdow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D6: Cost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Case 2-2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CAPEX</w:t>
            </w:r>
          </w:p>
        </w:tc>
        <w:tc>
          <w:tcPr/>
          <w:p>
            <w:pPr>
              <w:pStyle w:val="Compact"/>
            </w:pPr>
            <w:r>
              <w:t xml:space="preserve">45.5%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  <w:tc>
          <w:tcPr/>
          <w:p>
            <w:pPr>
              <w:pStyle w:val="Compact"/>
            </w:pPr>
            <w:r>
              <w:t xml:space="preserve">45.9%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CAPEX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Fixed OPEX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24.3%</w:t>
            </w:r>
          </w:p>
        </w:tc>
        <w:tc>
          <w:tcPr/>
          <w:p>
            <w:pPr>
              <w:pStyle w:val="Compact"/>
            </w:pPr>
            <w:r>
              <w:t xml:space="preserve">24.9%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Fixed OPEX</w:t>
            </w:r>
          </w:p>
        </w:tc>
        <w:tc>
          <w:tcPr/>
          <w:p>
            <w:pPr>
              <w:pStyle w:val="Compact"/>
            </w:pPr>
            <w:r>
              <w:t xml:space="preserve">1.8%</w:t>
            </w:r>
          </w:p>
        </w:tc>
        <w:tc>
          <w:tcPr/>
          <w:p>
            <w:pPr>
              <w:pStyle w:val="Compact"/>
            </w:pPr>
            <w:r>
              <w:t xml:space="preserve">1.1%</w:t>
            </w:r>
          </w:p>
        </w:tc>
        <w:tc>
          <w:tcPr/>
          <w:p>
            <w:pPr>
              <w:pStyle w:val="Compact"/>
            </w:pPr>
            <w:r>
              <w:t xml:space="preserve">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Variable OPEX</w:t>
            </w:r>
          </w:p>
        </w:tc>
        <w:tc>
          <w:tcPr/>
          <w:p>
            <w:pPr>
              <w:pStyle w:val="Compact"/>
            </w:pPr>
            <w:r>
              <w:t xml:space="preserve">19.6%</w:t>
            </w:r>
          </w:p>
        </w:tc>
        <w:tc>
          <w:tcPr/>
          <w:p>
            <w:pPr>
              <w:pStyle w:val="Compact"/>
            </w:pPr>
            <w:r>
              <w:t xml:space="preserve">26.1%</w:t>
            </w:r>
          </w:p>
        </w:tc>
        <w:tc>
          <w:tcPr/>
          <w:p>
            <w:pPr>
              <w:pStyle w:val="Compact"/>
            </w:pPr>
            <w:r>
              <w:t xml:space="preserve">22.2%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Variable OPEX</w:t>
            </w: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  <w:tc>
          <w:tcPr/>
          <w:p>
            <w:pPr>
              <w:pStyle w:val="Compact"/>
            </w:pPr>
            <w:r>
              <w:t xml:space="preserve">1.7%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</w:tr>
    </w:tbl>
    <w:bookmarkEnd w:id="35"/>
    <w:bookmarkStart w:id="39" w:name="figure-d7-cycle-time-comparison"/>
    <w:p>
      <w:pPr>
        <w:pStyle w:val="Heading3"/>
      </w:pPr>
      <w:r>
        <w:t xml:space="preserve">Figure D7: Cycle Time Comparison</w:t>
      </w:r>
    </w:p>
    <w:p>
      <w:pPr>
        <w:pStyle w:val="CaptionedFigure"/>
      </w:pPr>
      <w:r>
        <w:drawing>
          <wp:inline>
            <wp:extent cx="5334000" cy="3163900"/>
            <wp:effectExtent b="0" l="0" r="0" t="0"/>
            <wp:docPr descr="D7: Cycle Time" title="" id="37" name="Picture"/>
            <a:graphic>
              <a:graphicData uri="http://schemas.openxmlformats.org/drawingml/2006/picture">
                <pic:pic>
                  <pic:nvPicPr>
                    <pic:cNvPr descr="../../results/paper_figures/D7_cycle_tim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D7: Cycle Time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754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Cycle Time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8.17 hr</w:t>
            </w:r>
          </w:p>
        </w:tc>
        <w:tc>
          <w:tcPr/>
          <w:p>
            <w:pPr>
              <w:pStyle w:val="Compact"/>
            </w:pPr>
            <w:r>
              <w:t xml:space="preserve">Shore 1.67 + Travel 2.0 + Setup 2.0 + Pump 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36.13 hr</w:t>
            </w:r>
          </w:p>
        </w:tc>
        <w:tc>
          <w:tcPr/>
          <w:p>
            <w:pPr>
              <w:pStyle w:val="Compact"/>
            </w:pPr>
            <w:r>
              <w:t xml:space="preserve">Shore 6.67 + Travel 11.46 + Port 2.0 + 2x8.0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16.67 hr</w:t>
            </w:r>
          </w:p>
        </w:tc>
        <w:tc>
          <w:tcPr/>
          <w:p>
            <w:pPr>
              <w:pStyle w:val="Compact"/>
            </w:pPr>
            <w:r>
              <w:t xml:space="preserve">Shore 3.33 + Travel 3.34 + Port 2.0 + 8.0</w:t>
            </w:r>
          </w:p>
        </w:tc>
      </w:tr>
    </w:tbl>
    <w:bookmarkEnd w:id="39"/>
    <w:bookmarkStart w:id="43" w:name="figure-d9-lco-comparison"/>
    <w:p>
      <w:pPr>
        <w:pStyle w:val="Heading3"/>
      </w:pPr>
      <w:r>
        <w:t xml:space="preserve">Figure D9: LCO Comparison</w:t>
      </w:r>
    </w:p>
    <w:p>
      <w:pPr>
        <w:pStyle w:val="CaptionedFigure"/>
      </w:pPr>
      <w:r>
        <w:drawing>
          <wp:inline>
            <wp:extent cx="5334000" cy="3294329"/>
            <wp:effectExtent b="0" l="0" r="0" t="0"/>
            <wp:docPr descr="D9: LCO Comparison" title="" id="41" name="Picture"/>
            <a:graphic>
              <a:graphicData uri="http://schemas.openxmlformats.org/drawingml/2006/picture">
                <pic:pic>
                  <pic:nvPicPr>
                    <pic:cNvPr descr="../../results/paper_figures/D9_lco_comparis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D9: LCO Comparison</w:t>
      </w:r>
    </w:p>
    <w:p>
      <w:pPr>
        <w:pStyle w:val="BodyText"/>
      </w:pPr>
      <w:r>
        <w:rPr>
          <w:b/>
          <w:bCs/>
        </w:rPr>
        <w:t xml:space="preserve">Levelized Cost of Ammonia (LCOAmmonia):</w:t>
      </w:r>
      <w:r>
        <w:t xml:space="preserve"> </w:t>
      </w:r>
      <w:r>
        <w:t xml:space="preserve">- Case 1: $1.01/ton (baseline)</w:t>
      </w:r>
      <w:r>
        <w:t xml:space="preserve"> </w:t>
      </w:r>
      <w:r>
        <w:t xml:space="preserve">- Case 2-2: $1.71/ton (+69% premium)</w:t>
      </w:r>
      <w:r>
        <w:t xml:space="preserve"> </w:t>
      </w:r>
      <w:r>
        <w:t xml:space="preserve">- Case 2-1: $3.17/ton (+214% premium)</w:t>
      </w:r>
    </w:p>
    <w:bookmarkEnd w:id="43"/>
    <w:bookmarkStart w:id="47" w:name="figure-d10-npc-case-comparison"/>
    <w:p>
      <w:pPr>
        <w:pStyle w:val="Heading3"/>
      </w:pPr>
      <w:r>
        <w:t xml:space="preserve">Figure D10: NPC Case Comparison</w:t>
      </w:r>
    </w:p>
    <w:p>
      <w:pPr>
        <w:pStyle w:val="CaptionedFigure"/>
      </w:pPr>
      <w:r>
        <w:drawing>
          <wp:inline>
            <wp:extent cx="5334000" cy="3294329"/>
            <wp:effectExtent b="0" l="0" r="0" t="0"/>
            <wp:docPr descr="D10: NPC Comparison" title="" id="45" name="Picture"/>
            <a:graphic>
              <a:graphicData uri="http://schemas.openxmlformats.org/drawingml/2006/picture">
                <pic:pic>
                  <pic:nvPicPr>
                    <pic:cNvPr descr="../../results/paper_figures/D10_case_npc_comparis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D10: NPC Comparison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ase-by-case-analysis"/>
    <w:p>
      <w:pPr>
        <w:pStyle w:val="Heading2"/>
      </w:pPr>
      <w:r>
        <w:t xml:space="preserve">6.5 Case-by-Case Analysis</w:t>
      </w:r>
    </w:p>
    <w:bookmarkStart w:id="49" w:name="case-1-vs-case-2-2-near-alternative"/>
    <w:p>
      <w:pPr>
        <w:pStyle w:val="Heading3"/>
      </w:pPr>
      <w:r>
        <w:t xml:space="preserve">6.5.1 Case 1 vs Case 2-2 (Near Alternative)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$237.05M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+$165.32M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</w:t>
            </w:r>
          </w:p>
        </w:tc>
        <w:tc>
          <w:tcPr/>
          <w:p>
            <w:pPr>
              <w:pStyle w:val="Compact"/>
            </w:pPr>
            <w: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+$0.70/ton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+70%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2.0 hr RT</w:t>
            </w:r>
          </w:p>
        </w:tc>
        <w:tc>
          <w:tcPr/>
          <w:p>
            <w:pPr>
              <w:pStyle w:val="Compact"/>
            </w:pPr>
            <w:r>
              <w:t xml:space="preserve">3.34 hr RT</w:t>
            </w:r>
          </w:p>
        </w:tc>
        <w:tc>
          <w:tcPr/>
          <w:p>
            <w:pPr>
              <w:pStyle w:val="Compact"/>
            </w:pPr>
            <w:r>
              <w:t xml:space="preserve">+67%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</w:t>
      </w:r>
      <w:r>
        <w:t xml:space="preserve">: Case 2-2 (Ulsan) is the best alternative if local storage is infeasible.</w:t>
      </w:r>
    </w:p>
    <w:bookmarkEnd w:id="49"/>
    <w:bookmarkStart w:id="50" w:name="case-1-vs-case-2-1-far-alternative"/>
    <w:p>
      <w:pPr>
        <w:pStyle w:val="Heading3"/>
      </w:pPr>
      <w:r>
        <w:t xml:space="preserve">6.5.2 Case 1 vs Case 2-1 (Far Alternative)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$237.05M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+$510.13M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</w:t>
            </w:r>
          </w:p>
        </w:tc>
        <w:tc>
          <w:tcPr/>
          <w:p>
            <w:pPr>
              <w:pStyle w:val="Compact"/>
            </w:pPr>
            <w: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+$2.16/ton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+215%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2.0 hr RT</w:t>
            </w:r>
          </w:p>
        </w:tc>
        <w:tc>
          <w:tcPr/>
          <w:p>
            <w:pPr>
              <w:pStyle w:val="Compact"/>
            </w:pPr>
            <w:r>
              <w:t xml:space="preserve">11.46 hr RT</w:t>
            </w:r>
          </w:p>
        </w:tc>
        <w:tc>
          <w:tcPr/>
          <w:p>
            <w:pPr>
              <w:pStyle w:val="Compact"/>
            </w:pPr>
            <w:r>
              <w:t xml:space="preserve">+473%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</w:t>
      </w:r>
      <w:r>
        <w:t xml:space="preserve">: Case 2-1 (Yeosu) should be avoided if possible due to high travel time.</w:t>
      </w:r>
    </w:p>
    <w:bookmarkEnd w:id="50"/>
    <w:bookmarkStart w:id="51" w:name="X5009369fa33d3450596a263a96482dff6e27cfe"/>
    <w:p>
      <w:pPr>
        <w:pStyle w:val="Heading3"/>
      </w:pPr>
      <w:r>
        <w:t xml:space="preserve">6.5.3 Case 2-1 vs Case 2-2 (Direct Supply Options)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-$344.81M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-$1.46/ton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Savings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46%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86 nm</w:t>
            </w:r>
          </w:p>
        </w:tc>
        <w:tc>
          <w:tcPr/>
          <w:p>
            <w:pPr>
              <w:pStyle w:val="Compact"/>
            </w:pPr>
            <w:r>
              <w:t xml:space="preserve">25 nm</w:t>
            </w:r>
          </w:p>
        </w:tc>
        <w:tc>
          <w:tcPr/>
          <w:p>
            <w:pPr>
              <w:pStyle w:val="Compact"/>
            </w:pPr>
            <w:r>
              <w:t xml:space="preserve">-71%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</w:t>
      </w:r>
      <w:r>
        <w:t xml:space="preserve">: Ulsan is significantly better than Yeosu for direct supply scenarios.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huttle-size-selection-guide"/>
    <w:p>
      <w:pPr>
        <w:pStyle w:val="Heading2"/>
      </w:pPr>
      <w:r>
        <w:t xml:space="preserve">6.6 Shuttle Size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178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Under-sized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Over-sized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500-2000 m3 (high OPEX)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2500 m3</w:t>
            </w:r>
          </w:p>
        </w:tc>
        <w:tc>
          <w:tcPr/>
          <w:p>
            <w:pPr>
              <w:pStyle w:val="Compact"/>
            </w:pPr>
            <w:r>
              <w:t xml:space="preserve">3000+ m3 (high CAPEX)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2500-5000 m3 (high trips)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10000 m3</w:t>
            </w:r>
          </w:p>
        </w:tc>
        <w:tc>
          <w:tcPr/>
          <w:p>
            <w:pPr>
              <w:pStyle w:val="Compact"/>
            </w:pPr>
            <w:r>
              <w:t xml:space="preserve">15000+ m3 (long cycles)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2500 m3 (2 trips needed)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5000 m3</w:t>
            </w:r>
          </w:p>
        </w:tc>
        <w:tc>
          <w:tcPr/>
          <w:p>
            <w:pPr>
              <w:pStyle w:val="Compact"/>
            </w:pPr>
            <w:r>
              <w:t xml:space="preserve">10000+ m3 (diminishing returns)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economic-impact-of-distance"/>
    <w:p>
      <w:pPr>
        <w:pStyle w:val="Heading2"/>
      </w:pPr>
      <w:r>
        <w:t xml:space="preserve">6.7 Economic Impact of Distance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NPC vs Case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Busan Storage</w:t>
            </w:r>
          </w:p>
        </w:tc>
        <w:tc>
          <w:tcPr/>
          <w:p>
            <w:pPr>
              <w:pStyle w:val="Compact"/>
            </w:pPr>
            <w:r>
              <w:t xml:space="preserve">0 nm</w:t>
            </w:r>
          </w:p>
        </w:tc>
        <w:tc>
          <w:tcPr/>
          <w:p>
            <w:pPr>
              <w:pStyle w:val="Compact"/>
            </w:pPr>
            <w:r>
              <w:t xml:space="preserve">1.0 hr*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Ulsan</w:t>
            </w:r>
          </w:p>
        </w:tc>
        <w:tc>
          <w:tcPr/>
          <w:p>
            <w:pPr>
              <w:pStyle w:val="Compact"/>
            </w:pPr>
            <w:r>
              <w:t xml:space="preserve">25 nm</w:t>
            </w:r>
          </w:p>
        </w:tc>
        <w:tc>
          <w:tcPr/>
          <w:p>
            <w:pPr>
              <w:pStyle w:val="Compact"/>
            </w:pPr>
            <w:r>
              <w:t xml:space="preserve">1.67 hr</w:t>
            </w:r>
          </w:p>
        </w:tc>
        <w:tc>
          <w:tcPr/>
          <w:p>
            <w:pPr>
              <w:pStyle w:val="Compact"/>
            </w:pPr>
            <w:r>
              <w:t xml:space="preserve">+70%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Yeosu</w:t>
            </w:r>
          </w:p>
        </w:tc>
        <w:tc>
          <w:tcPr/>
          <w:p>
            <w:pPr>
              <w:pStyle w:val="Compact"/>
            </w:pPr>
            <w:r>
              <w:t xml:space="preserve">86 nm</w:t>
            </w:r>
          </w:p>
        </w:tc>
        <w:tc>
          <w:tcPr/>
          <w:p>
            <w:pPr>
              <w:pStyle w:val="Compact"/>
            </w:pPr>
            <w:r>
              <w:t xml:space="preserve">5.73 hr</w:t>
            </w:r>
          </w:p>
        </w:tc>
        <w:tc>
          <w:tcPr/>
          <w:p>
            <w:pPr>
              <w:pStyle w:val="Compact"/>
            </w:pPr>
            <w:r>
              <w:t xml:space="preserve">+215%</w:t>
            </w:r>
          </w:p>
        </w:tc>
      </w:tr>
    </w:tbl>
    <w:p>
      <w:pPr>
        <w:pStyle w:val="BodyText"/>
      </w:pPr>
      <w:r>
        <w:t xml:space="preserve">*Case 1 travel time is port internal movement, not open sea transit.</w:t>
      </w:r>
    </w:p>
    <w:p>
      <w:pPr>
        <w:pStyle w:val="BodyText"/>
      </w:pPr>
      <w:r>
        <w:rPr>
          <w:b/>
          <w:bCs/>
        </w:rPr>
        <w:t xml:space="preserve">Rule of Thumb</w:t>
      </w:r>
      <w:r>
        <w:t xml:space="preserve">: Each additional 10 nm adds approximately 25% to NPC for this demand profile.</w:t>
      </w:r>
    </w:p>
    <w:p>
      <w:r>
        <w:pict>
          <v:rect style="width:0;height:1.5pt" o:hralign="center" o:hrstd="t" o:hr="t"/>
        </w:pict>
      </w:r>
    </w:p>
    <w:bookmarkEnd w:id="54"/>
    <w:bookmarkStart w:id="55" w:name="decision-matrix"/>
    <w:p>
      <w:pPr>
        <w:pStyle w:val="Heading2"/>
      </w:pPr>
      <w:r>
        <w:t xml:space="preserve">6.8 Decision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3452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Case</w:t>
            </w:r>
          </w:p>
        </w:tc>
        <w:tc>
          <w:tcPr/>
          <w:p>
            <w:pPr>
              <w:pStyle w:val="Compact"/>
            </w:pPr>
            <w:r>
              <w:t xml:space="preserve">Key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storage feasible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Lowest NPC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local storage, proximity to Ulsan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46% cheaper than Yeosu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local storage, only Yeosu available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Only 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demand uncertainty</w:t>
            </w:r>
          </w:p>
        </w:tc>
        <w:tc>
          <w:tcPr/>
          <w:p>
            <w:pPr>
              <w:pStyle w:val="Compact"/>
            </w:pPr>
            <w:r>
              <w:t xml:space="preserve">Case 1 or 2-2</w:t>
            </w:r>
          </w:p>
        </w:tc>
        <w:tc>
          <w:tcPr/>
          <w:p>
            <w:pPr>
              <w:pStyle w:val="Compact"/>
            </w:pPr>
            <w:r>
              <w:t xml:space="preserve">Smaller shuttles = flexibility</w:t>
            </w:r>
          </w:p>
        </w:tc>
      </w:tr>
    </w:tbl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2026-01-20T02:34:52Z</dcterms:created>
  <dcterms:modified xsi:type="dcterms:W3CDTF">2026-01-20T02:34:52Z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