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D5E3A" w:rsidP="005D33B6" w:rsidRDefault="005D33B6" w14:paraId="73F253C2" w14:textId="580B65E2">
      <w:pPr>
        <w:jc w:val="right"/>
      </w:pPr>
      <w:r>
        <w:t>05.06.2023</w:t>
      </w:r>
    </w:p>
    <w:p w:rsidR="005D33B6" w:rsidP="005D33B6" w:rsidRDefault="005D33B6" w14:paraId="2892D6F5" w14:textId="77777777">
      <w:pPr>
        <w:jc w:val="right"/>
      </w:pPr>
    </w:p>
    <w:p w:rsidR="005D33B6" w:rsidP="005D33B6" w:rsidRDefault="005D33B6" w14:paraId="4224A52E" w14:textId="77777777">
      <w:pPr>
        <w:jc w:val="center"/>
      </w:pPr>
    </w:p>
    <w:p w:rsidR="005D33B6" w:rsidP="005D33B6" w:rsidRDefault="005D33B6" w14:paraId="75C55527" w14:textId="7B297C7E">
      <w:pPr>
        <w:jc w:val="center"/>
        <w:rPr>
          <w:sz w:val="52"/>
          <w:szCs w:val="52"/>
        </w:rPr>
      </w:pPr>
      <w:r w:rsidRPr="0129304D" w:rsidR="005D33B6">
        <w:rPr>
          <w:sz w:val="52"/>
          <w:szCs w:val="52"/>
        </w:rPr>
        <w:t>„Czy poziom wykształcenia rzeczywiście wpływa na zarobki</w:t>
      </w:r>
      <w:r w:rsidRPr="0129304D" w:rsidR="1B38C421">
        <w:rPr>
          <w:sz w:val="52"/>
          <w:szCs w:val="52"/>
        </w:rPr>
        <w:t>?</w:t>
      </w:r>
      <w:r w:rsidRPr="0129304D" w:rsidR="005D33B6">
        <w:rPr>
          <w:sz w:val="52"/>
          <w:szCs w:val="52"/>
        </w:rPr>
        <w:t>”</w:t>
      </w:r>
    </w:p>
    <w:p w:rsidR="005D33B6" w:rsidP="005D33B6" w:rsidRDefault="005D33B6" w14:paraId="0982BD8B" w14:textId="77777777">
      <w:pPr>
        <w:jc w:val="center"/>
        <w:rPr>
          <w:sz w:val="52"/>
          <w:szCs w:val="52"/>
        </w:rPr>
      </w:pPr>
    </w:p>
    <w:p w:rsidR="005D33B6" w:rsidP="005D33B6" w:rsidRDefault="005D33B6" w14:paraId="719686BF" w14:textId="77777777">
      <w:pPr>
        <w:jc w:val="center"/>
        <w:rPr>
          <w:sz w:val="52"/>
          <w:szCs w:val="52"/>
        </w:rPr>
      </w:pPr>
    </w:p>
    <w:p w:rsidR="005D33B6" w:rsidP="005D33B6" w:rsidRDefault="005D33B6" w14:paraId="3A897B29" w14:textId="7F70E618">
      <w:pPr>
        <w:rPr>
          <w:i/>
          <w:iCs/>
          <w:sz w:val="24"/>
          <w:szCs w:val="24"/>
        </w:rPr>
      </w:pP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Karol Górski 114059</w:t>
      </w:r>
    </w:p>
    <w:p w:rsidR="005D33B6" w:rsidP="005D33B6" w:rsidRDefault="005D33B6" w14:paraId="6B6D8FB7" w14:textId="27568B4F">
      <w:pPr>
        <w:rPr>
          <w:i/>
          <w:iCs/>
          <w:sz w:val="24"/>
          <w:szCs w:val="24"/>
        </w:rPr>
      </w:pP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Oskar Straszyński 101276</w:t>
      </w:r>
    </w:p>
    <w:p w:rsidR="005D33B6" w:rsidP="005D33B6" w:rsidRDefault="005D33B6" w14:paraId="17FFA780" w14:textId="77777777">
      <w:pPr>
        <w:rPr>
          <w:i/>
          <w:iCs/>
          <w:sz w:val="24"/>
          <w:szCs w:val="24"/>
        </w:rPr>
      </w:pPr>
    </w:p>
    <w:p w:rsidR="005D33B6" w:rsidP="005D33B6" w:rsidRDefault="005D33B6" w14:paraId="6134D8DA" w14:textId="77777777">
      <w:pPr>
        <w:rPr>
          <w:i/>
          <w:iCs/>
          <w:sz w:val="24"/>
          <w:szCs w:val="24"/>
        </w:rPr>
      </w:pPr>
    </w:p>
    <w:p w:rsidR="003B6F12" w:rsidP="005D33B6" w:rsidRDefault="003B6F12" w14:paraId="434A225C" w14:textId="77777777">
      <w:pPr>
        <w:pStyle w:val="NormalnyWeb"/>
        <w:spacing w:before="240" w:beforeAutospacing="0" w:after="240" w:afterAutospacing="0"/>
        <w:rPr>
          <w:rFonts w:ascii="Arial" w:hAnsi="Arial" w:cs="Arial"/>
          <w:color w:val="000000"/>
          <w:sz w:val="22"/>
          <w:szCs w:val="22"/>
        </w:rPr>
      </w:pPr>
    </w:p>
    <w:p w:rsidR="003B6F12" w:rsidP="005D33B6" w:rsidRDefault="003B6F12" w14:paraId="54E334EB" w14:textId="77777777">
      <w:pPr>
        <w:pStyle w:val="NormalnyWeb"/>
        <w:spacing w:before="240" w:beforeAutospacing="0" w:after="240" w:afterAutospacing="0"/>
        <w:rPr>
          <w:rFonts w:ascii="Arial" w:hAnsi="Arial" w:cs="Arial"/>
          <w:color w:val="000000"/>
          <w:sz w:val="22"/>
          <w:szCs w:val="22"/>
        </w:rPr>
      </w:pPr>
    </w:p>
    <w:p w:rsidR="003B6F12" w:rsidP="005D33B6" w:rsidRDefault="003B6F12" w14:paraId="4F00FCF8" w14:textId="77777777">
      <w:pPr>
        <w:pStyle w:val="NormalnyWeb"/>
        <w:spacing w:before="240" w:beforeAutospacing="0" w:after="240" w:afterAutospacing="0"/>
        <w:rPr>
          <w:rFonts w:ascii="Arial" w:hAnsi="Arial" w:cs="Arial"/>
          <w:color w:val="000000"/>
          <w:sz w:val="22"/>
          <w:szCs w:val="22"/>
        </w:rPr>
      </w:pPr>
    </w:p>
    <w:p w:rsidR="005D33B6" w:rsidP="005D33B6" w:rsidRDefault="005D33B6" w14:paraId="2EE93292" w14:textId="2B71FCEE">
      <w:pPr>
        <w:pStyle w:val="NormalnyWeb"/>
        <w:spacing w:before="240" w:beforeAutospacing="0" w:after="240" w:afterAutospacing="0"/>
      </w:pPr>
      <w:r>
        <w:rPr>
          <w:rFonts w:ascii="Arial" w:hAnsi="Arial" w:cs="Arial"/>
          <w:color w:val="000000"/>
          <w:sz w:val="22"/>
          <w:szCs w:val="22"/>
        </w:rPr>
        <w:t>Spis treści:</w:t>
      </w:r>
    </w:p>
    <w:p w:rsidR="005D33B6" w:rsidP="005D33B6" w:rsidRDefault="005D33B6" w14:paraId="4345E494" w14:textId="77777777">
      <w:pPr>
        <w:pStyle w:val="NormalnyWeb"/>
        <w:numPr>
          <w:ilvl w:val="0"/>
          <w:numId w:val="1"/>
        </w:numPr>
        <w:spacing w:before="240" w:beforeAutospacing="0" w:after="0" w:afterAutospacing="0"/>
        <w:textAlignment w:val="baseline"/>
        <w:rPr>
          <w:rFonts w:ascii="Arial" w:hAnsi="Arial" w:cs="Arial"/>
          <w:b/>
          <w:bCs/>
          <w:color w:val="000000"/>
        </w:rPr>
      </w:pPr>
      <w:r>
        <w:rPr>
          <w:rFonts w:ascii="Arial" w:hAnsi="Arial" w:cs="Arial"/>
          <w:b/>
          <w:bCs/>
          <w:color w:val="000000"/>
        </w:rPr>
        <w:t>Cel projektu</w:t>
      </w:r>
    </w:p>
    <w:p w:rsidR="005D33B6" w:rsidP="005D33B6" w:rsidRDefault="005D33B6" w14:paraId="6B5EDDED" w14:textId="77777777">
      <w:pPr>
        <w:pStyle w:val="NormalnyWeb"/>
        <w:numPr>
          <w:ilvl w:val="0"/>
          <w:numId w:val="1"/>
        </w:numPr>
        <w:spacing w:before="0" w:beforeAutospacing="0" w:after="0" w:afterAutospacing="0"/>
        <w:textAlignment w:val="baseline"/>
        <w:rPr>
          <w:rFonts w:ascii="Arial" w:hAnsi="Arial" w:cs="Arial"/>
          <w:b/>
          <w:bCs/>
          <w:color w:val="000000"/>
        </w:rPr>
      </w:pPr>
      <w:r>
        <w:rPr>
          <w:rFonts w:ascii="Arial" w:hAnsi="Arial" w:cs="Arial"/>
          <w:b/>
          <w:bCs/>
          <w:color w:val="000000"/>
        </w:rPr>
        <w:t>Koncepcja modelu</w:t>
      </w:r>
    </w:p>
    <w:p w:rsidR="005D33B6" w:rsidP="005D33B6" w:rsidRDefault="005D33B6" w14:paraId="3174B6F9" w14:textId="77777777">
      <w:pPr>
        <w:pStyle w:val="Normalny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Dyskusja na temat doboru zmiennych objaśniających</w:t>
      </w:r>
    </w:p>
    <w:p w:rsidR="005D33B6" w:rsidP="005D33B6" w:rsidRDefault="005D33B6" w14:paraId="659C3B42" w14:textId="77777777">
      <w:pPr>
        <w:pStyle w:val="Normalny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Opis podstawowych statystyk i wykresy</w:t>
      </w:r>
    </w:p>
    <w:p w:rsidR="005D33B6" w:rsidP="005D33B6" w:rsidRDefault="005D33B6" w14:paraId="359A33C9" w14:textId="77777777">
      <w:pPr>
        <w:pStyle w:val="Normalny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Opis transformacji zmiennych</w:t>
      </w:r>
    </w:p>
    <w:p w:rsidR="005D33B6" w:rsidP="005D33B6" w:rsidRDefault="00375B31" w14:paraId="77C17391" w14:textId="4F02A9C6">
      <w:pPr>
        <w:pStyle w:val="NormalnyWeb"/>
        <w:numPr>
          <w:ilvl w:val="0"/>
          <w:numId w:val="1"/>
        </w:numPr>
        <w:spacing w:before="0" w:beforeAutospacing="0" w:after="0" w:afterAutospacing="0"/>
        <w:textAlignment w:val="baseline"/>
        <w:rPr>
          <w:rFonts w:ascii="Arial" w:hAnsi="Arial" w:cs="Arial"/>
          <w:b/>
          <w:bCs/>
          <w:color w:val="000000"/>
        </w:rPr>
      </w:pPr>
      <w:r>
        <w:rPr>
          <w:rFonts w:ascii="Arial" w:hAnsi="Arial" w:cs="Arial"/>
          <w:b/>
          <w:bCs/>
          <w:color w:val="000000"/>
        </w:rPr>
        <w:t>Opis specyfikacji modelu</w:t>
      </w:r>
    </w:p>
    <w:p w:rsidR="005D33B6" w:rsidP="005D33B6" w:rsidRDefault="005D33B6" w14:paraId="537B81CD" w14:textId="77777777">
      <w:pPr>
        <w:pStyle w:val="NormalnyWeb"/>
        <w:numPr>
          <w:ilvl w:val="1"/>
          <w:numId w:val="5"/>
        </w:numPr>
        <w:spacing w:before="0" w:beforeAutospacing="0" w:after="0" w:afterAutospacing="0"/>
        <w:textAlignment w:val="baseline"/>
        <w:rPr>
          <w:rFonts w:ascii="Arial" w:hAnsi="Arial" w:cs="Arial"/>
          <w:color w:val="000000"/>
          <w:sz w:val="22"/>
          <w:szCs w:val="22"/>
        </w:rPr>
      </w:pPr>
      <w:r w:rsidRPr="0129304D" w:rsidR="005D33B6">
        <w:rPr>
          <w:rFonts w:ascii="Arial" w:hAnsi="Arial" w:cs="Arial"/>
          <w:color w:val="000000" w:themeColor="text1" w:themeTint="FF" w:themeShade="FF"/>
          <w:sz w:val="22"/>
          <w:szCs w:val="22"/>
        </w:rPr>
        <w:t>Dobór specyfikacji modelu</w:t>
      </w:r>
    </w:p>
    <w:p w:rsidR="09F5D70A" w:rsidP="0129304D" w:rsidRDefault="09F5D70A" w14:paraId="55458CF5" w14:textId="048F9FE7">
      <w:pPr>
        <w:pStyle w:val="NormalnyWeb"/>
        <w:numPr>
          <w:ilvl w:val="1"/>
          <w:numId w:val="5"/>
        </w:num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0129304D" w:rsidR="09F5D70A">
        <w:rPr>
          <w:rFonts w:ascii="Arial" w:hAnsi="Arial" w:eastAsia="Times New Roman" w:cs="Arial"/>
          <w:color w:val="000000" w:themeColor="text1" w:themeTint="FF" w:themeShade="FF"/>
          <w:sz w:val="22"/>
          <w:szCs w:val="22"/>
        </w:rPr>
        <w:t>Sprawdzenie spełnienia założeń MNK</w:t>
      </w:r>
    </w:p>
    <w:p w:rsidR="005D33B6" w:rsidP="005D33B6" w:rsidRDefault="005D33B6" w14:paraId="442F86B0" w14:textId="77777777">
      <w:pPr>
        <w:pStyle w:val="NormalnyWeb"/>
        <w:numPr>
          <w:ilvl w:val="1"/>
          <w:numId w:val="6"/>
        </w:numPr>
        <w:spacing w:before="0" w:beforeAutospacing="0" w:after="0" w:afterAutospacing="0"/>
        <w:textAlignment w:val="baseline"/>
        <w:rPr>
          <w:rFonts w:ascii="Arial" w:hAnsi="Arial" w:cs="Arial"/>
          <w:color w:val="000000"/>
          <w:sz w:val="22"/>
          <w:szCs w:val="22"/>
        </w:rPr>
      </w:pPr>
      <w:r w:rsidRPr="0129304D" w:rsidR="005D33B6">
        <w:rPr>
          <w:rFonts w:ascii="Arial" w:hAnsi="Arial" w:cs="Arial"/>
          <w:color w:val="000000" w:themeColor="text1" w:themeTint="FF" w:themeShade="FF"/>
          <w:sz w:val="22"/>
          <w:szCs w:val="22"/>
        </w:rPr>
        <w:t>Interpretacja kluczowych parametrów modelu</w:t>
      </w:r>
    </w:p>
    <w:p w:rsidR="005D33B6" w:rsidP="005D33B6" w:rsidRDefault="005D33B6" w14:paraId="6E4EF962" w14:textId="77777777">
      <w:pPr>
        <w:pStyle w:val="NormalnyWeb"/>
        <w:numPr>
          <w:ilvl w:val="1"/>
          <w:numId w:val="7"/>
        </w:numPr>
        <w:spacing w:before="0" w:beforeAutospacing="0" w:after="0" w:afterAutospacing="0"/>
        <w:textAlignment w:val="baseline"/>
        <w:rPr>
          <w:rFonts w:ascii="Arial" w:hAnsi="Arial" w:cs="Arial"/>
          <w:color w:val="000000"/>
          <w:sz w:val="22"/>
          <w:szCs w:val="22"/>
        </w:rPr>
      </w:pPr>
      <w:r w:rsidRPr="0129304D" w:rsidR="005D33B6">
        <w:rPr>
          <w:rFonts w:ascii="Arial" w:hAnsi="Arial" w:cs="Arial"/>
          <w:color w:val="000000" w:themeColor="text1" w:themeTint="FF" w:themeShade="FF"/>
          <w:sz w:val="22"/>
          <w:szCs w:val="22"/>
        </w:rPr>
        <w:t>Weryfikacja własności modelu</w:t>
      </w:r>
    </w:p>
    <w:p w:rsidR="005D33B6" w:rsidP="005D33B6" w:rsidRDefault="005D33B6" w14:paraId="780C6773" w14:textId="77777777">
      <w:pPr>
        <w:pStyle w:val="NormalnyWeb"/>
        <w:numPr>
          <w:ilvl w:val="0"/>
          <w:numId w:val="1"/>
        </w:numPr>
        <w:spacing w:before="240" w:beforeAutospacing="0" w:after="240" w:afterAutospacing="0"/>
        <w:textAlignment w:val="baseline"/>
        <w:rPr>
          <w:rFonts w:ascii="Arial" w:hAnsi="Arial" w:cs="Arial"/>
          <w:b/>
          <w:bCs/>
          <w:color w:val="000000"/>
        </w:rPr>
      </w:pPr>
      <w:r w:rsidRPr="0129304D" w:rsidR="005D33B6">
        <w:rPr>
          <w:rFonts w:ascii="Arial" w:hAnsi="Arial" w:cs="Arial"/>
          <w:b w:val="1"/>
          <w:bCs w:val="1"/>
          <w:color w:val="000000" w:themeColor="text1" w:themeTint="FF" w:themeShade="FF"/>
        </w:rPr>
        <w:t>Podsumowanie</w:t>
      </w:r>
    </w:p>
    <w:p w:rsidR="005D33B6" w:rsidP="005D33B6" w:rsidRDefault="005D33B6" w14:paraId="3C227EBC" w14:textId="3C5A9608">
      <w:pPr>
        <w:rPr>
          <w:sz w:val="24"/>
          <w:szCs w:val="24"/>
        </w:rPr>
      </w:pPr>
    </w:p>
    <w:p w:rsidR="003B6F12" w:rsidP="005D33B6" w:rsidRDefault="003B6F12" w14:paraId="5139FB00" w14:textId="4E177080">
      <w:pPr>
        <w:rPr>
          <w:sz w:val="24"/>
          <w:szCs w:val="24"/>
        </w:rPr>
      </w:pPr>
    </w:p>
    <w:p w:rsidR="003B6F12" w:rsidP="005D33B6" w:rsidRDefault="003B6F12" w14:paraId="4604E5FF" w14:textId="77777777">
      <w:pPr>
        <w:rPr>
          <w:sz w:val="24"/>
          <w:szCs w:val="24"/>
        </w:rPr>
      </w:pPr>
    </w:p>
    <w:p w:rsidR="003B6F12" w:rsidP="003B6F12" w:rsidRDefault="003B6F12" w14:paraId="660BC980" w14:textId="22C0EF65">
      <w:pPr>
        <w:pStyle w:val="Akapitzlist"/>
        <w:numPr>
          <w:ilvl w:val="1"/>
          <w:numId w:val="1"/>
        </w:numPr>
        <w:rPr>
          <w:b/>
          <w:bCs/>
          <w:sz w:val="32"/>
          <w:szCs w:val="32"/>
        </w:rPr>
      </w:pPr>
      <w:r w:rsidRPr="0129304D" w:rsidR="003B6F12">
        <w:rPr>
          <w:b w:val="1"/>
          <w:bCs w:val="1"/>
          <w:sz w:val="32"/>
          <w:szCs w:val="32"/>
        </w:rPr>
        <w:t xml:space="preserve"> Cel projektu</w:t>
      </w:r>
    </w:p>
    <w:p w:rsidR="1CAA4450" w:rsidP="0129304D" w:rsidRDefault="1CAA4450" w14:paraId="6EDAF27D" w14:textId="0F0135B6">
      <w:pPr>
        <w:rPr>
          <w:sz w:val="24"/>
          <w:szCs w:val="24"/>
        </w:rPr>
      </w:pPr>
      <w:r w:rsidRPr="0129304D" w:rsidR="1CAA4450">
        <w:rPr>
          <w:sz w:val="24"/>
          <w:szCs w:val="24"/>
        </w:rPr>
        <w:t xml:space="preserve">Niniejszy raport ekonometryczny został </w:t>
      </w:r>
      <w:r w:rsidRPr="0129304D" w:rsidR="6FB3BC42">
        <w:rPr>
          <w:sz w:val="24"/>
          <w:szCs w:val="24"/>
        </w:rPr>
        <w:t xml:space="preserve">zainspirowany pracą Karoliny </w:t>
      </w:r>
      <w:r w:rsidRPr="0129304D" w:rsidR="6FB3BC42">
        <w:rPr>
          <w:sz w:val="24"/>
          <w:szCs w:val="24"/>
        </w:rPr>
        <w:t>Goraus</w:t>
      </w:r>
      <w:r w:rsidRPr="0129304D" w:rsidR="6FB3BC42">
        <w:rPr>
          <w:sz w:val="24"/>
          <w:szCs w:val="24"/>
        </w:rPr>
        <w:t>-Tańską i Zuzanny Osiki artykułu “Stopnie wyższego wykształcenia</w:t>
      </w:r>
      <w:r w:rsidRPr="0129304D" w:rsidR="138D784F">
        <w:rPr>
          <w:sz w:val="24"/>
          <w:szCs w:val="24"/>
        </w:rPr>
        <w:t>, a zarobki w Polsce i innych krajach OEC</w:t>
      </w:r>
      <w:r w:rsidRPr="0129304D" w:rsidR="6FB3BC42">
        <w:rPr>
          <w:sz w:val="24"/>
          <w:szCs w:val="24"/>
        </w:rPr>
        <w:t>”</w:t>
      </w:r>
      <w:r w:rsidRPr="0129304D" w:rsidR="130B26D0">
        <w:rPr>
          <w:sz w:val="24"/>
          <w:szCs w:val="24"/>
        </w:rPr>
        <w:t xml:space="preserve"> (2020). Stopień wykształcenia często służy jako miernik produktywności pracownika, wpływając na poziom życia i pozycję </w:t>
      </w:r>
      <w:r w:rsidRPr="0129304D" w:rsidR="5E7B5826">
        <w:rPr>
          <w:sz w:val="24"/>
          <w:szCs w:val="24"/>
        </w:rPr>
        <w:t xml:space="preserve">społeczną. </w:t>
      </w:r>
      <w:r w:rsidRPr="0129304D" w:rsidR="7F7F2071">
        <w:rPr>
          <w:sz w:val="24"/>
          <w:szCs w:val="24"/>
        </w:rPr>
        <w:t>Zgodnie z wynikami tego badania osoby posiadające dyplom studiów magisterskich zarabiają więcej niż te z tytułem licencjata we wszystkich krajach uwzględnionych w badaniu.</w:t>
      </w:r>
      <w:r w:rsidRPr="0129304D" w:rsidR="717DF5CD">
        <w:rPr>
          <w:sz w:val="24"/>
          <w:szCs w:val="24"/>
        </w:rPr>
        <w:t xml:space="preserve"> Zatem zwiększanie liczby ludności z wyższym wykształceniem będzie zwiększało średnią stawkę godzinową za roboczo</w:t>
      </w:r>
      <w:r w:rsidRPr="0129304D" w:rsidR="36053F41">
        <w:rPr>
          <w:sz w:val="24"/>
          <w:szCs w:val="24"/>
        </w:rPr>
        <w:t>godzinę pracy.</w:t>
      </w:r>
    </w:p>
    <w:p w:rsidR="36053F41" w:rsidP="0129304D" w:rsidRDefault="36053F41" w14:paraId="2294E244" w14:textId="686043AD">
      <w:pPr>
        <w:pStyle w:val="Normalny"/>
        <w:rPr>
          <w:sz w:val="24"/>
          <w:szCs w:val="24"/>
        </w:rPr>
      </w:pPr>
      <w:r w:rsidRPr="0129304D" w:rsidR="36053F41">
        <w:rPr>
          <w:sz w:val="24"/>
          <w:szCs w:val="24"/>
        </w:rPr>
        <w:t xml:space="preserve">Na ulicach miast wśród młodych ludzi co raz częściej możemy usłyszeć, że studia to strata czasu. Nie raz słyszymy, że ktoś „dorobił się” wcale nie spędzając wielu godzin w książkach, na wykładach gromadząc „zbędną wiedzę” …  Chcemy na przekór obecnym trendom i przekazom mass-mediów zbadać czy poziom wykształcenia istotnie wpływa na średnią stawkę godzinową za roboczo-godzinę niezależnie od uwarunkowań kraju, którego mieszkańców analiza dotyczy. Stąd zdecydowaliśmy się przeanalizować dane dla 42 </w:t>
      </w:r>
      <w:r w:rsidRPr="0129304D" w:rsidR="36053F41">
        <w:rPr>
          <w:sz w:val="24"/>
          <w:szCs w:val="24"/>
        </w:rPr>
        <w:t>krajów</w:t>
      </w:r>
      <w:r w:rsidRPr="0129304D" w:rsidR="36053F41">
        <w:rPr>
          <w:sz w:val="24"/>
          <w:szCs w:val="24"/>
        </w:rPr>
        <w:t xml:space="preserve"> aby zbadać rzeczywisty wpływ wynagrodzenia przy innych ścieżkach rozwojowych.</w:t>
      </w:r>
    </w:p>
    <w:p w:rsidR="003B6F12" w:rsidP="000C18CC" w:rsidRDefault="003B6F12" w14:paraId="20E5882A" w14:textId="60C0D586">
      <w:pPr>
        <w:rPr>
          <w:sz w:val="24"/>
          <w:szCs w:val="24"/>
        </w:rPr>
      </w:pPr>
      <w:r w:rsidRPr="0129304D" w:rsidR="003B6F12">
        <w:rPr>
          <w:sz w:val="24"/>
          <w:szCs w:val="24"/>
        </w:rPr>
        <w:t xml:space="preserve">Celem zbudowanego przez nas modelu ekonometrycznego jest zbadanie wpływu poziomu wykształcenia mieszkańców </w:t>
      </w:r>
      <w:r w:rsidRPr="0129304D" w:rsidR="0008793D">
        <w:rPr>
          <w:sz w:val="24"/>
          <w:szCs w:val="24"/>
        </w:rPr>
        <w:t>4</w:t>
      </w:r>
      <w:r w:rsidRPr="0129304D" w:rsidR="00DD1CFC">
        <w:rPr>
          <w:sz w:val="24"/>
          <w:szCs w:val="24"/>
        </w:rPr>
        <w:t>2</w:t>
      </w:r>
      <w:r w:rsidRPr="0129304D" w:rsidR="003B6F12">
        <w:rPr>
          <w:sz w:val="24"/>
          <w:szCs w:val="24"/>
        </w:rPr>
        <w:t xml:space="preserve"> krajów </w:t>
      </w:r>
      <w:r w:rsidRPr="0129304D" w:rsidR="007A71D7">
        <w:rPr>
          <w:sz w:val="24"/>
          <w:szCs w:val="24"/>
        </w:rPr>
        <w:t xml:space="preserve">tj. </w:t>
      </w:r>
      <w:r w:rsidRPr="0129304D" w:rsidR="0008793D">
        <w:rPr>
          <w:sz w:val="24"/>
          <w:szCs w:val="24"/>
        </w:rPr>
        <w:t>Australia, Austria, Belgium, Canada, Switzerland, Chile, Colombia, Costa Rica, Czech Republic, Germany, Denmark, Spain, Estonia, Finland, France, United Kingdom, Greece, Hungary, Ireland, Iceland, Israel, Italy, Japan, Korea, Lithuania, Luxembourg, Latvia, Mexico, Netherlands, Norway, New Zealand, Poland, Portugal, Slovak Republic, Slovenia, Sweden, Türkiye, United States</w:t>
      </w:r>
      <w:r w:rsidRPr="0129304D" w:rsidR="000E48BE">
        <w:rPr>
          <w:sz w:val="24"/>
          <w:szCs w:val="24"/>
        </w:rPr>
        <w:t>, Singapore, Argentine, Egypt</w:t>
      </w:r>
      <w:r w:rsidRPr="0129304D" w:rsidR="0008793D">
        <w:rPr>
          <w:sz w:val="24"/>
          <w:szCs w:val="24"/>
        </w:rPr>
        <w:t xml:space="preserve"> </w:t>
      </w:r>
      <w:r w:rsidRPr="0129304D" w:rsidR="007A71D7">
        <w:rPr>
          <w:sz w:val="24"/>
          <w:szCs w:val="24"/>
        </w:rPr>
        <w:t xml:space="preserve">na </w:t>
      </w:r>
      <w:r w:rsidRPr="0129304D" w:rsidR="000C18CC">
        <w:rPr>
          <w:sz w:val="24"/>
          <w:szCs w:val="24"/>
        </w:rPr>
        <w:t xml:space="preserve">średnią </w:t>
      </w:r>
      <w:r w:rsidRPr="0129304D" w:rsidR="0008793D">
        <w:rPr>
          <w:sz w:val="24"/>
          <w:szCs w:val="24"/>
        </w:rPr>
        <w:t>stawkę godzinową netto wyrażoną w dolarach amerykańskich</w:t>
      </w:r>
      <w:r w:rsidRPr="0129304D" w:rsidR="007A71D7">
        <w:rPr>
          <w:sz w:val="24"/>
          <w:szCs w:val="24"/>
        </w:rPr>
        <w:t>.</w:t>
      </w:r>
    </w:p>
    <w:p w:rsidR="00055A1C" w:rsidP="003B6F12" w:rsidRDefault="00055A1C" w14:paraId="2BB8D3AB" w14:textId="7CBBFD62">
      <w:pPr>
        <w:rPr>
          <w:sz w:val="24"/>
          <w:szCs w:val="24"/>
        </w:rPr>
      </w:pPr>
      <w:r>
        <w:rPr>
          <w:sz w:val="24"/>
          <w:szCs w:val="24"/>
        </w:rPr>
        <w:t>Mówiąc wprost postaramy się odpowiedzieć na pytanie „Czy opłaca się uczyć?”</w:t>
      </w:r>
    </w:p>
    <w:p w:rsidR="00055A1C" w:rsidP="003B6F12" w:rsidRDefault="00055A1C" w14:paraId="0AF05B86" w14:textId="33064E9C">
      <w:pPr>
        <w:rPr>
          <w:sz w:val="24"/>
          <w:szCs w:val="24"/>
        </w:rPr>
      </w:pPr>
      <w:r>
        <w:rPr>
          <w:sz w:val="24"/>
          <w:szCs w:val="24"/>
        </w:rPr>
        <w:t xml:space="preserve">Posłużymy się pytaniem badawczym w postaci „Czy </w:t>
      </w:r>
      <w:r w:rsidR="000C18CC">
        <w:rPr>
          <w:sz w:val="24"/>
          <w:szCs w:val="24"/>
        </w:rPr>
        <w:t>zdobycie wyższego wykształcenia wpływa istotnie statystycznie na poziom zarobków?”</w:t>
      </w:r>
    </w:p>
    <w:p w:rsidR="000C18CC" w:rsidP="003B6F12" w:rsidRDefault="000C18CC" w14:paraId="012C125A" w14:textId="3CEFAD2E">
      <w:pPr>
        <w:rPr>
          <w:sz w:val="24"/>
          <w:szCs w:val="24"/>
        </w:rPr>
      </w:pPr>
      <w:r>
        <w:rPr>
          <w:sz w:val="24"/>
          <w:szCs w:val="24"/>
        </w:rPr>
        <w:t xml:space="preserve">Analizy dokonujemy na podstawie danych z 2015 roku z bazy danych </w:t>
      </w:r>
      <w:r w:rsidR="004D5FD2">
        <w:rPr>
          <w:sz w:val="24"/>
          <w:szCs w:val="24"/>
        </w:rPr>
        <w:t>Eurostat</w:t>
      </w:r>
      <w:r w:rsidR="0008793D">
        <w:rPr>
          <w:sz w:val="24"/>
          <w:szCs w:val="24"/>
        </w:rPr>
        <w:t xml:space="preserve"> i OECD</w:t>
      </w:r>
      <w:r w:rsidR="004D5FD2">
        <w:rPr>
          <w:sz w:val="24"/>
          <w:szCs w:val="24"/>
        </w:rPr>
        <w:t>.</w:t>
      </w:r>
    </w:p>
    <w:p w:rsidR="000C18CC" w:rsidP="003B6F12" w:rsidRDefault="000C18CC" w14:paraId="3FA897B2" w14:textId="77777777">
      <w:pPr>
        <w:rPr>
          <w:sz w:val="24"/>
          <w:szCs w:val="24"/>
        </w:rPr>
      </w:pPr>
    </w:p>
    <w:p w:rsidR="004D5FD2" w:rsidP="004D5FD2" w:rsidRDefault="004D5FD2" w14:paraId="0BFB8E16" w14:textId="791FFEFB">
      <w:pPr>
        <w:pStyle w:val="Akapitzlist"/>
        <w:numPr>
          <w:ilvl w:val="1"/>
          <w:numId w:val="1"/>
        </w:numPr>
        <w:rPr>
          <w:b/>
          <w:bCs/>
          <w:sz w:val="32"/>
          <w:szCs w:val="32"/>
        </w:rPr>
      </w:pPr>
      <w:r>
        <w:rPr>
          <w:b/>
          <w:bCs/>
          <w:sz w:val="32"/>
          <w:szCs w:val="32"/>
        </w:rPr>
        <w:t>Koncepcja modelu.</w:t>
      </w:r>
    </w:p>
    <w:p w:rsidR="004D5FD2" w:rsidP="004D5FD2" w:rsidRDefault="004D5FD2" w14:paraId="7CC16666" w14:textId="32A6BF9D">
      <w:pPr>
        <w:pStyle w:val="Akapitzlist"/>
        <w:numPr>
          <w:ilvl w:val="0"/>
          <w:numId w:val="11"/>
        </w:numPr>
        <w:rPr>
          <w:b/>
          <w:bCs/>
          <w:sz w:val="24"/>
          <w:szCs w:val="24"/>
        </w:rPr>
      </w:pPr>
      <w:r>
        <w:rPr>
          <w:b/>
          <w:bCs/>
          <w:sz w:val="24"/>
          <w:szCs w:val="24"/>
        </w:rPr>
        <w:t>Dyskusja na temat zmiennych objaśniających.</w:t>
      </w:r>
    </w:p>
    <w:p w:rsidR="003B5B10" w:rsidP="003B5B10" w:rsidRDefault="004D5FD2" w14:paraId="1E4AF4CF" w14:textId="7048984D">
      <w:pPr>
        <w:ind w:firstLine="360"/>
        <w:rPr>
          <w:sz w:val="24"/>
          <w:szCs w:val="24"/>
        </w:rPr>
      </w:pPr>
      <w:r>
        <w:rPr>
          <w:sz w:val="24"/>
          <w:szCs w:val="24"/>
        </w:rPr>
        <w:t>Zmienną objaśnianą w proponowanym przez nas modelu jest średni</w:t>
      </w:r>
      <w:r w:rsidR="0008793D">
        <w:rPr>
          <w:sz w:val="24"/>
          <w:szCs w:val="24"/>
        </w:rPr>
        <w:t>a</w:t>
      </w:r>
      <w:r>
        <w:rPr>
          <w:sz w:val="24"/>
          <w:szCs w:val="24"/>
        </w:rPr>
        <w:t xml:space="preserve"> </w:t>
      </w:r>
      <w:r w:rsidR="0008793D">
        <w:rPr>
          <w:sz w:val="24"/>
          <w:szCs w:val="24"/>
        </w:rPr>
        <w:t>stawka godzinowa</w:t>
      </w:r>
      <w:r>
        <w:rPr>
          <w:sz w:val="24"/>
          <w:szCs w:val="24"/>
        </w:rPr>
        <w:t>. Poprzez średni</w:t>
      </w:r>
      <w:r w:rsidR="0008793D">
        <w:rPr>
          <w:sz w:val="24"/>
          <w:szCs w:val="24"/>
        </w:rPr>
        <w:t>ą</w:t>
      </w:r>
      <w:r>
        <w:rPr>
          <w:sz w:val="24"/>
          <w:szCs w:val="24"/>
        </w:rPr>
        <w:t xml:space="preserve"> </w:t>
      </w:r>
      <w:r w:rsidR="0008793D">
        <w:rPr>
          <w:sz w:val="24"/>
          <w:szCs w:val="24"/>
        </w:rPr>
        <w:t xml:space="preserve">stawkę godzinową </w:t>
      </w:r>
      <w:r>
        <w:rPr>
          <w:sz w:val="24"/>
          <w:szCs w:val="24"/>
        </w:rPr>
        <w:t xml:space="preserve">rozumiemy sumę </w:t>
      </w:r>
      <w:r w:rsidR="0008793D">
        <w:rPr>
          <w:sz w:val="24"/>
          <w:szCs w:val="24"/>
        </w:rPr>
        <w:t xml:space="preserve">udziałów pracy w Dochodzie Narodowym Netto </w:t>
      </w:r>
      <w:r w:rsidR="009117B2">
        <w:rPr>
          <w:sz w:val="24"/>
          <w:szCs w:val="24"/>
        </w:rPr>
        <w:t>przypadającą na przepracowaną roboczo-godzinę</w:t>
      </w:r>
      <w:r>
        <w:rPr>
          <w:sz w:val="24"/>
          <w:szCs w:val="24"/>
        </w:rPr>
        <w:t xml:space="preserve"> bez zróżnicowania według płci lub też sektora, w którym mieszkańcy pracują</w:t>
      </w:r>
      <w:r w:rsidR="009117B2">
        <w:rPr>
          <w:sz w:val="24"/>
          <w:szCs w:val="24"/>
        </w:rPr>
        <w:t xml:space="preserve"> (dane pobrane w takim formacie bezpośrednio z bazy OECD)</w:t>
      </w:r>
      <w:r w:rsidR="003B5B10">
        <w:rPr>
          <w:sz w:val="24"/>
          <w:szCs w:val="24"/>
        </w:rPr>
        <w:t>.</w:t>
      </w:r>
    </w:p>
    <w:p w:rsidR="004D5FD2" w:rsidP="004D5FD2" w:rsidRDefault="003B5B10" w14:paraId="56369D4B" w14:textId="7A6FC83D">
      <w:pPr>
        <w:rPr>
          <w:sz w:val="24"/>
          <w:szCs w:val="24"/>
        </w:rPr>
      </w:pPr>
      <w:r>
        <w:rPr>
          <w:sz w:val="24"/>
          <w:szCs w:val="24"/>
        </w:rPr>
        <w:tab/>
      </w:r>
      <w:r w:rsidR="004D5FD2">
        <w:rPr>
          <w:sz w:val="24"/>
          <w:szCs w:val="24"/>
        </w:rPr>
        <w:t xml:space="preserve"> </w:t>
      </w:r>
      <w:r>
        <w:rPr>
          <w:sz w:val="24"/>
          <w:szCs w:val="24"/>
        </w:rPr>
        <w:t>Jako regresory w naszym modelu zaproponowaliśmy</w:t>
      </w:r>
      <w:r w:rsidR="001E157B">
        <w:rPr>
          <w:sz w:val="24"/>
          <w:szCs w:val="24"/>
        </w:rPr>
        <w:t xml:space="preserve"> zastosowanie poziomu stopy bezrobocia, Produktu Krajowego Brutto, oczekiwanej długości życia i </w:t>
      </w:r>
      <w:r w:rsidR="004F7C8A">
        <w:rPr>
          <w:sz w:val="24"/>
          <w:szCs w:val="24"/>
        </w:rPr>
        <w:t>zdobytego wykształcenia. Logicznie każda z zaproponowanych zmiennych objaśniających znacząco wpływa na wysokość zarobków.</w:t>
      </w:r>
    </w:p>
    <w:p w:rsidR="004F7C8A" w:rsidP="004F7C8A" w:rsidRDefault="004F7C8A" w14:paraId="1CE3F25C" w14:textId="7EA9105A">
      <w:pPr>
        <w:pStyle w:val="Akapitzlist"/>
        <w:numPr>
          <w:ilvl w:val="0"/>
          <w:numId w:val="13"/>
        </w:numPr>
        <w:rPr>
          <w:sz w:val="24"/>
          <w:szCs w:val="24"/>
        </w:rPr>
      </w:pPr>
      <w:r w:rsidRPr="0129304D" w:rsidR="004F7C8A">
        <w:rPr>
          <w:b w:val="1"/>
          <w:bCs w:val="1"/>
          <w:sz w:val="24"/>
          <w:szCs w:val="24"/>
        </w:rPr>
        <w:t>Produkt Krajowy Brutto</w:t>
      </w:r>
      <w:r w:rsidRPr="0129304D" w:rsidR="004F7C8A">
        <w:rPr>
          <w:sz w:val="24"/>
          <w:szCs w:val="24"/>
        </w:rPr>
        <w:t xml:space="preserve"> – jest powszechnie uznanym miernikiem poziomu wzrostu gospodarczego, co naturalnie wraz ze wzrostem gospodarczym wzrostowi powinny ulegać średnie</w:t>
      </w:r>
      <w:r w:rsidRPr="0129304D" w:rsidR="009117B2">
        <w:rPr>
          <w:sz w:val="24"/>
          <w:szCs w:val="24"/>
        </w:rPr>
        <w:t xml:space="preserve"> stawki płacowe </w:t>
      </w:r>
      <w:r w:rsidRPr="0129304D" w:rsidR="004F7C8A">
        <w:rPr>
          <w:sz w:val="24"/>
          <w:szCs w:val="24"/>
        </w:rPr>
        <w:t>w gospodarce</w:t>
      </w:r>
      <w:r w:rsidRPr="0129304D" w:rsidR="00442620">
        <w:rPr>
          <w:sz w:val="24"/>
          <w:szCs w:val="24"/>
        </w:rPr>
        <w:t>. Zmienna jest wyrażona w dolarach amerykańskich przypadających na 1 mieszkańca.</w:t>
      </w:r>
    </w:p>
    <w:p w:rsidR="004F7C8A" w:rsidP="004F7C8A" w:rsidRDefault="004F7C8A" w14:paraId="65CD5621" w14:textId="166F6C5C">
      <w:pPr>
        <w:pStyle w:val="Akapitzlist"/>
        <w:numPr>
          <w:ilvl w:val="0"/>
          <w:numId w:val="13"/>
        </w:numPr>
        <w:rPr>
          <w:sz w:val="24"/>
          <w:szCs w:val="24"/>
        </w:rPr>
      </w:pPr>
      <w:r w:rsidRPr="0129304D" w:rsidR="004F7C8A">
        <w:rPr>
          <w:b w:val="1"/>
          <w:bCs w:val="1"/>
          <w:sz w:val="24"/>
          <w:szCs w:val="24"/>
        </w:rPr>
        <w:t>Stopa bezrobocia</w:t>
      </w:r>
      <w:r w:rsidRPr="0129304D" w:rsidR="004F7C8A">
        <w:rPr>
          <w:sz w:val="24"/>
          <w:szCs w:val="24"/>
        </w:rPr>
        <w:t>- zaproponowaliśmy ją jako jeden z regresorów, gdyż jest bezpośrednio związana z sytuacją na rynku pracy, spodziewamy się tutaj odwrotnej zależność. Mianowicie w przypadku niskiego bezrobocia i braku specjalistów na rynku pracy stawki wynagrodzeń powinny wzrastać.</w:t>
      </w:r>
      <w:r w:rsidRPr="0129304D" w:rsidR="00442620">
        <w:rPr>
          <w:sz w:val="24"/>
          <w:szCs w:val="24"/>
        </w:rPr>
        <w:t xml:space="preserve"> Zmienna wyrażona w procentach.</w:t>
      </w:r>
    </w:p>
    <w:p w:rsidR="00FC11F8" w:rsidP="00FC11F8" w:rsidRDefault="009117B2" w14:paraId="253BAA92" w14:textId="7478BDA8">
      <w:pPr>
        <w:pStyle w:val="Akapitzlist"/>
        <w:numPr>
          <w:ilvl w:val="0"/>
          <w:numId w:val="13"/>
        </w:numPr>
        <w:rPr>
          <w:sz w:val="24"/>
          <w:szCs w:val="24"/>
        </w:rPr>
      </w:pPr>
      <w:r w:rsidRPr="0129304D" w:rsidR="009117B2">
        <w:rPr>
          <w:b w:val="1"/>
          <w:bCs w:val="1"/>
          <w:sz w:val="24"/>
          <w:szCs w:val="24"/>
        </w:rPr>
        <w:t>Wskaźnik skolaryzacji</w:t>
      </w:r>
      <w:r w:rsidRPr="0129304D" w:rsidR="004F7C8A">
        <w:rPr>
          <w:sz w:val="24"/>
          <w:szCs w:val="24"/>
        </w:rPr>
        <w:t>– jest to strategicznie ważna dla naszego modelu zmienna objaśniająca.</w:t>
      </w:r>
      <w:r w:rsidRPr="0129304D" w:rsidR="009117B2">
        <w:rPr>
          <w:sz w:val="24"/>
          <w:szCs w:val="24"/>
        </w:rPr>
        <w:t xml:space="preserve"> Wyrażony jest w procentach i reprezentuje odsetek społeczeństwa posiadający wyższe wykształcenie.</w:t>
      </w:r>
      <w:r w:rsidRPr="0129304D" w:rsidR="004F7C8A">
        <w:rPr>
          <w:sz w:val="24"/>
          <w:szCs w:val="24"/>
        </w:rPr>
        <w:t xml:space="preserve"> Intuicja wskazuje na dodatnią zależność pomiędzy poziomem wykształcenia a wysokością średniej płac.</w:t>
      </w:r>
    </w:p>
    <w:p w:rsidR="009117B2" w:rsidP="00FC11F8" w:rsidRDefault="009117B2" w14:paraId="3C157B8D" w14:textId="2FA55348">
      <w:pPr>
        <w:pStyle w:val="Akapitzlist"/>
        <w:numPr>
          <w:ilvl w:val="0"/>
          <w:numId w:val="13"/>
        </w:numPr>
        <w:rPr>
          <w:sz w:val="24"/>
          <w:szCs w:val="24"/>
        </w:rPr>
      </w:pPr>
      <w:r w:rsidRPr="0129304D" w:rsidR="009117B2">
        <w:rPr>
          <w:b w:val="1"/>
          <w:bCs w:val="1"/>
          <w:sz w:val="24"/>
          <w:szCs w:val="24"/>
        </w:rPr>
        <w:t>Poziom wydatków rządowych na cele edukacyjne</w:t>
      </w:r>
      <w:r w:rsidRPr="0129304D" w:rsidR="009117B2">
        <w:rPr>
          <w:sz w:val="24"/>
          <w:szCs w:val="24"/>
        </w:rPr>
        <w:t xml:space="preserve"> </w:t>
      </w:r>
      <w:r w:rsidRPr="0129304D" w:rsidR="00F046C6">
        <w:rPr>
          <w:sz w:val="24"/>
          <w:szCs w:val="24"/>
        </w:rPr>
        <w:t>–</w:t>
      </w:r>
      <w:r w:rsidRPr="0129304D" w:rsidR="009117B2">
        <w:rPr>
          <w:sz w:val="24"/>
          <w:szCs w:val="24"/>
        </w:rPr>
        <w:t xml:space="preserve"> </w:t>
      </w:r>
      <w:r w:rsidRPr="0129304D" w:rsidR="00F046C6">
        <w:rPr>
          <w:sz w:val="24"/>
          <w:szCs w:val="24"/>
        </w:rPr>
        <w:t>wydatki rządowe na cele edukacyjne wzmagają rozwój infrastruktury i instytucji edukacyjnych zapewniając powszechny dostęp do edukacji zwiększają produktywność pracy (np. finansowane kursy specjalistyczne)</w:t>
      </w:r>
      <w:r w:rsidRPr="0129304D" w:rsidR="00442620">
        <w:rPr>
          <w:sz w:val="24"/>
          <w:szCs w:val="24"/>
        </w:rPr>
        <w:t>. Dane wyrażone jako procent PKB danego kraju.</w:t>
      </w:r>
    </w:p>
    <w:p w:rsidR="00F046C6" w:rsidP="00FC11F8" w:rsidRDefault="00F046C6" w14:paraId="5497B6DC" w14:textId="1B714CC9">
      <w:pPr>
        <w:pStyle w:val="Akapitzlist"/>
        <w:numPr>
          <w:ilvl w:val="0"/>
          <w:numId w:val="13"/>
        </w:numPr>
        <w:rPr>
          <w:sz w:val="24"/>
          <w:szCs w:val="24"/>
        </w:rPr>
      </w:pPr>
      <w:r w:rsidRPr="0129304D" w:rsidR="00F046C6">
        <w:rPr>
          <w:b w:val="1"/>
          <w:bCs w:val="1"/>
          <w:sz w:val="24"/>
          <w:szCs w:val="24"/>
        </w:rPr>
        <w:t>Poziom inflacji</w:t>
      </w:r>
      <w:r w:rsidRPr="0129304D" w:rsidR="00F046C6">
        <w:rPr>
          <w:sz w:val="24"/>
          <w:szCs w:val="24"/>
        </w:rPr>
        <w:t xml:space="preserve"> – dodajemy tą zmienną w celu uniknięcia pozornego obrazu wzrostu wynagrodzeń, gdyż ceteris paribus może być on powodowany tylko wzrostem kosztów życia, a nie natomiast innymi strategicznymi determinantami</w:t>
      </w:r>
    </w:p>
    <w:p w:rsidRPr="00442620" w:rsidR="00442620" w:rsidP="00442620" w:rsidRDefault="00FC11F8" w14:paraId="2BFFB8D9" w14:textId="759F7CCD">
      <w:pPr>
        <w:pStyle w:val="Akapitzlist"/>
        <w:numPr>
          <w:ilvl w:val="0"/>
          <w:numId w:val="11"/>
        </w:numPr>
        <w:rPr>
          <w:b/>
          <w:bCs/>
          <w:sz w:val="24"/>
          <w:szCs w:val="24"/>
        </w:rPr>
      </w:pPr>
      <w:r>
        <w:rPr>
          <w:b/>
          <w:bCs/>
          <w:sz w:val="24"/>
          <w:szCs w:val="24"/>
        </w:rPr>
        <w:t>Omówienie podstawowych statystyk opisowych</w:t>
      </w:r>
    </w:p>
    <w:p w:rsidR="007A71D7" w:rsidP="001273AF" w:rsidRDefault="000E48BE" w14:paraId="47C3DEDE" w14:textId="68D01D51">
      <w:pPr>
        <w:pStyle w:val="Akapitzlist"/>
        <w:numPr>
          <w:ilvl w:val="0"/>
          <w:numId w:val="15"/>
        </w:numPr>
        <w:rPr>
          <w:sz w:val="24"/>
          <w:szCs w:val="24"/>
        </w:rPr>
      </w:pPr>
      <w:r w:rsidRPr="00DD1CFC">
        <w:rPr>
          <w:sz w:val="24"/>
          <w:szCs w:val="24"/>
        </w:rPr>
        <w:drawing>
          <wp:anchor distT="0" distB="0" distL="114300" distR="114300" simplePos="0" relativeHeight="251658240" behindDoc="0" locked="0" layoutInCell="1" allowOverlap="1" wp14:anchorId="120EE1E8" wp14:editId="43F7C48E">
            <wp:simplePos x="0" y="0"/>
            <wp:positionH relativeFrom="margin">
              <wp:align>center</wp:align>
            </wp:positionH>
            <wp:positionV relativeFrom="paragraph">
              <wp:posOffset>1760855</wp:posOffset>
            </wp:positionV>
            <wp:extent cx="3192780" cy="2324735"/>
            <wp:effectExtent l="0" t="0" r="7620" b="0"/>
            <wp:wrapTopAndBottom/>
            <wp:docPr id="45553999" name="Obraz 1" descr="Obraz zawierający diagram, tekst,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3999" name="Obraz 1" descr="Obraz zawierający diagram, tekst, zrzut ekranu, Wykres&#10;&#10;Opis wygenerowany automatyczni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2780" cy="2324735"/>
                    </a:xfrm>
                    <a:prstGeom prst="rect">
                      <a:avLst/>
                    </a:prstGeom>
                  </pic:spPr>
                </pic:pic>
              </a:graphicData>
            </a:graphic>
            <wp14:sizeRelH relativeFrom="page">
              <wp14:pctWidth>0</wp14:pctWidth>
            </wp14:sizeRelH>
            <wp14:sizeRelV relativeFrom="page">
              <wp14:pctHeight>0</wp14:pctHeight>
            </wp14:sizeRelV>
          </wp:anchor>
        </w:drawing>
      </w:r>
      <w:r w:rsidRPr="00442620" w:rsidR="00442620">
        <w:rPr>
          <w:b/>
          <w:bCs/>
          <w:sz w:val="24"/>
          <w:szCs w:val="24"/>
        </w:rPr>
        <w:t xml:space="preserve">Produkt Krajowy Brutto – </w:t>
      </w:r>
      <w:r w:rsidRPr="00442620" w:rsidR="00442620">
        <w:rPr>
          <w:sz w:val="24"/>
          <w:szCs w:val="24"/>
        </w:rPr>
        <w:t>Dla analizowanych przez nas krajów Produkt Krajowy Brutto w 2015 roku średnio wyniósł 3</w:t>
      </w:r>
      <w:r w:rsidR="00893D44">
        <w:rPr>
          <w:sz w:val="24"/>
          <w:szCs w:val="24"/>
        </w:rPr>
        <w:t>8</w:t>
      </w:r>
      <w:r w:rsidRPr="00442620" w:rsidR="00442620">
        <w:rPr>
          <w:sz w:val="24"/>
          <w:szCs w:val="24"/>
        </w:rPr>
        <w:t xml:space="preserve"> 1</w:t>
      </w:r>
      <w:r w:rsidR="00893D44">
        <w:rPr>
          <w:sz w:val="24"/>
          <w:szCs w:val="24"/>
        </w:rPr>
        <w:t>89</w:t>
      </w:r>
      <w:r w:rsidRPr="00442620" w:rsidR="00442620">
        <w:rPr>
          <w:sz w:val="24"/>
          <w:szCs w:val="24"/>
        </w:rPr>
        <w:t xml:space="preserve"> </w:t>
      </w:r>
      <w:r w:rsidRPr="00442620" w:rsidR="00442620">
        <w:rPr>
          <w:sz w:val="24"/>
          <w:szCs w:val="24"/>
        </w:rPr>
        <w:t xml:space="preserve">USD per capita z wartością minimalną </w:t>
      </w:r>
      <w:r w:rsidR="00893D44">
        <w:rPr>
          <w:sz w:val="24"/>
          <w:szCs w:val="24"/>
        </w:rPr>
        <w:t>5580</w:t>
      </w:r>
      <w:r w:rsidRPr="00442620" w:rsidR="00442620">
        <w:rPr>
          <w:sz w:val="24"/>
          <w:szCs w:val="24"/>
        </w:rPr>
        <w:t>,</w:t>
      </w:r>
      <w:r w:rsidR="00893D44">
        <w:rPr>
          <w:sz w:val="24"/>
          <w:szCs w:val="24"/>
        </w:rPr>
        <w:t>5</w:t>
      </w:r>
      <w:r w:rsidRPr="00442620" w:rsidR="00442620">
        <w:rPr>
          <w:sz w:val="24"/>
          <w:szCs w:val="24"/>
        </w:rPr>
        <w:t xml:space="preserve"> USD per capita i wartością maksymalną 107 900 USD per capita. Gdzie mediana wyniosła 3</w:t>
      </w:r>
      <w:r w:rsidR="00893D44">
        <w:rPr>
          <w:sz w:val="24"/>
          <w:szCs w:val="24"/>
        </w:rPr>
        <w:t>7 5</w:t>
      </w:r>
      <w:r w:rsidRPr="00442620" w:rsidR="00442620">
        <w:rPr>
          <w:sz w:val="24"/>
          <w:szCs w:val="24"/>
        </w:rPr>
        <w:t>7</w:t>
      </w:r>
      <w:r w:rsidR="00893D44">
        <w:rPr>
          <w:sz w:val="24"/>
          <w:szCs w:val="24"/>
        </w:rPr>
        <w:t>5</w:t>
      </w:r>
      <w:r w:rsidRPr="00442620" w:rsidR="00442620">
        <w:rPr>
          <w:sz w:val="24"/>
          <w:szCs w:val="24"/>
        </w:rPr>
        <w:t xml:space="preserve"> USD per capita a odchylenie standardowe wyniosło 1</w:t>
      </w:r>
      <w:r w:rsidR="00893D44">
        <w:rPr>
          <w:sz w:val="24"/>
          <w:szCs w:val="24"/>
        </w:rPr>
        <w:t>8</w:t>
      </w:r>
      <w:r w:rsidRPr="00442620" w:rsidR="00442620">
        <w:rPr>
          <w:sz w:val="24"/>
          <w:szCs w:val="24"/>
        </w:rPr>
        <w:t> </w:t>
      </w:r>
      <w:r w:rsidR="00893D44">
        <w:rPr>
          <w:sz w:val="24"/>
          <w:szCs w:val="24"/>
        </w:rPr>
        <w:t>292</w:t>
      </w:r>
      <w:r w:rsidRPr="00442620" w:rsidR="00442620">
        <w:rPr>
          <w:sz w:val="24"/>
          <w:szCs w:val="24"/>
        </w:rPr>
        <w:t xml:space="preserve"> USD. </w:t>
      </w:r>
      <w:r>
        <w:rPr>
          <w:sz w:val="24"/>
          <w:szCs w:val="24"/>
        </w:rPr>
        <w:t xml:space="preserve">Na potrzeby poniższej analizy w modelu posługujemy się wartościami logarytmu naturalnego z wartości PKB w celu precyzyjnego oszacowania parametrów i umożliwienia interpretacji zmian procentowych wartości PKB. </w:t>
      </w:r>
      <w:r w:rsidR="00893D44">
        <w:rPr>
          <w:sz w:val="24"/>
          <w:szCs w:val="24"/>
        </w:rPr>
        <w:t>Zmienna charakteryzuje się następującym rozkładem częstości (rozkład silnie prawostronny):</w:t>
      </w:r>
    </w:p>
    <w:p w:rsidRPr="00442620" w:rsidR="00893D44" w:rsidP="00893D44" w:rsidRDefault="00893D44" w14:paraId="68E3AE95" w14:textId="1DF55BD1">
      <w:pPr>
        <w:pStyle w:val="Akapitzlist"/>
        <w:rPr>
          <w:sz w:val="24"/>
          <w:szCs w:val="24"/>
        </w:rPr>
      </w:pPr>
    </w:p>
    <w:p w:rsidR="00893D44" w:rsidP="00893D44" w:rsidRDefault="00893D44" w14:paraId="50BAEFDB" w14:textId="5F195324">
      <w:pPr>
        <w:pStyle w:val="Akapitzlist"/>
        <w:numPr>
          <w:ilvl w:val="0"/>
          <w:numId w:val="15"/>
        </w:numPr>
        <w:rPr>
          <w:sz w:val="24"/>
          <w:szCs w:val="24"/>
        </w:rPr>
      </w:pPr>
      <w:r w:rsidRPr="00893D44">
        <w:rPr>
          <w:b/>
          <w:bCs/>
          <w:sz w:val="24"/>
          <w:szCs w:val="24"/>
        </w:rPr>
        <w:t xml:space="preserve">Stopa bezrobocia - </w:t>
      </w:r>
      <w:r w:rsidRPr="00893D44">
        <w:rPr>
          <w:sz w:val="24"/>
          <w:szCs w:val="24"/>
        </w:rPr>
        <w:t xml:space="preserve">Dla analizowanych przez nas krajów </w:t>
      </w:r>
      <w:r>
        <w:rPr>
          <w:sz w:val="24"/>
          <w:szCs w:val="24"/>
        </w:rPr>
        <w:t>stopa bezrobocia</w:t>
      </w:r>
      <w:r w:rsidRPr="00893D44">
        <w:rPr>
          <w:sz w:val="24"/>
          <w:szCs w:val="24"/>
        </w:rPr>
        <w:t xml:space="preserve"> w 2015 roku średnio wyni</w:t>
      </w:r>
      <w:r w:rsidR="001C0A9B">
        <w:rPr>
          <w:sz w:val="24"/>
          <w:szCs w:val="24"/>
        </w:rPr>
        <w:t>o</w:t>
      </w:r>
      <w:r w:rsidRPr="00893D44">
        <w:rPr>
          <w:sz w:val="24"/>
          <w:szCs w:val="24"/>
        </w:rPr>
        <w:t>sł</w:t>
      </w:r>
      <w:r>
        <w:rPr>
          <w:sz w:val="24"/>
          <w:szCs w:val="24"/>
        </w:rPr>
        <w:t>a</w:t>
      </w:r>
      <w:r w:rsidRPr="00893D44">
        <w:rPr>
          <w:sz w:val="24"/>
          <w:szCs w:val="24"/>
        </w:rPr>
        <w:t xml:space="preserve"> </w:t>
      </w:r>
      <w:r w:rsidR="001C0A9B">
        <w:rPr>
          <w:sz w:val="24"/>
          <w:szCs w:val="24"/>
        </w:rPr>
        <w:t>1,5411%</w:t>
      </w:r>
      <w:r w:rsidRPr="00893D44">
        <w:rPr>
          <w:sz w:val="24"/>
          <w:szCs w:val="24"/>
        </w:rPr>
        <w:t xml:space="preserve"> z wartością minimalną </w:t>
      </w:r>
      <w:r w:rsidR="001C0A9B">
        <w:rPr>
          <w:sz w:val="24"/>
          <w:szCs w:val="24"/>
        </w:rPr>
        <w:t>-1,7359</w:t>
      </w:r>
      <w:r w:rsidR="00204144">
        <w:rPr>
          <w:sz w:val="24"/>
          <w:szCs w:val="24"/>
        </w:rPr>
        <w:t xml:space="preserve">% </w:t>
      </w:r>
      <w:r w:rsidRPr="00893D44">
        <w:rPr>
          <w:sz w:val="24"/>
          <w:szCs w:val="24"/>
        </w:rPr>
        <w:t xml:space="preserve">i wartością maksymalną </w:t>
      </w:r>
      <w:r w:rsidR="001C0A9B">
        <w:rPr>
          <w:sz w:val="24"/>
          <w:szCs w:val="24"/>
        </w:rPr>
        <w:t>15,534%</w:t>
      </w:r>
      <w:r w:rsidRPr="00893D44">
        <w:rPr>
          <w:sz w:val="24"/>
          <w:szCs w:val="24"/>
        </w:rPr>
        <w:t xml:space="preserve">. Gdzie mediana wyniosła </w:t>
      </w:r>
      <w:r w:rsidR="00204144">
        <w:rPr>
          <w:sz w:val="24"/>
          <w:szCs w:val="24"/>
        </w:rPr>
        <w:t xml:space="preserve">0,4814%, </w:t>
      </w:r>
      <w:r w:rsidRPr="00893D44">
        <w:rPr>
          <w:sz w:val="24"/>
          <w:szCs w:val="24"/>
        </w:rPr>
        <w:t xml:space="preserve">a odchylenie standardowe wyniosło </w:t>
      </w:r>
      <w:r w:rsidR="00204144">
        <w:rPr>
          <w:sz w:val="24"/>
          <w:szCs w:val="24"/>
        </w:rPr>
        <w:t>3,23%</w:t>
      </w:r>
      <w:r w:rsidRPr="00893D44">
        <w:rPr>
          <w:sz w:val="24"/>
          <w:szCs w:val="24"/>
        </w:rPr>
        <w:t>. Zmienna charakteryzuje się następującym rozkładem częstości (rozkład silnie prawostronny):</w:t>
      </w:r>
    </w:p>
    <w:p w:rsidRPr="00204144" w:rsidR="00204144" w:rsidP="00204144" w:rsidRDefault="00204144" w14:paraId="49CEBFB3" w14:textId="2EE90FAB">
      <w:pPr>
        <w:rPr>
          <w:sz w:val="24"/>
          <w:szCs w:val="24"/>
        </w:rPr>
      </w:pPr>
      <w:r>
        <w:rPr>
          <w:noProof/>
          <w:sz w:val="24"/>
          <w:szCs w:val="24"/>
        </w:rPr>
        <w:lastRenderedPageBreak/>
        <w:drawing>
          <wp:anchor distT="0" distB="0" distL="114300" distR="114300" simplePos="0" relativeHeight="251659264" behindDoc="0" locked="0" layoutInCell="1" allowOverlap="1" wp14:anchorId="38E6B7BD" wp14:editId="0FFE39E7">
            <wp:simplePos x="0" y="0"/>
            <wp:positionH relativeFrom="margin">
              <wp:align>center</wp:align>
            </wp:positionH>
            <wp:positionV relativeFrom="paragraph">
              <wp:posOffset>0</wp:posOffset>
            </wp:positionV>
            <wp:extent cx="3854450" cy="2811780"/>
            <wp:effectExtent l="0" t="0" r="0" b="7620"/>
            <wp:wrapTopAndBottom/>
            <wp:docPr id="1481107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4450" cy="2811780"/>
                    </a:xfrm>
                    <a:prstGeom prst="rect">
                      <a:avLst/>
                    </a:prstGeom>
                    <a:noFill/>
                  </pic:spPr>
                </pic:pic>
              </a:graphicData>
            </a:graphic>
            <wp14:sizeRelH relativeFrom="page">
              <wp14:pctWidth>0</wp14:pctWidth>
            </wp14:sizeRelH>
            <wp14:sizeRelV relativeFrom="page">
              <wp14:pctHeight>0</wp14:pctHeight>
            </wp14:sizeRelV>
          </wp:anchor>
        </w:drawing>
      </w:r>
    </w:p>
    <w:p w:rsidR="00204144" w:rsidP="00204144" w:rsidRDefault="00204144" w14:paraId="62BF9E08" w14:textId="00C50754">
      <w:pPr>
        <w:pStyle w:val="Akapitzlist"/>
        <w:numPr>
          <w:ilvl w:val="0"/>
          <w:numId w:val="15"/>
        </w:numPr>
        <w:rPr>
          <w:sz w:val="24"/>
          <w:szCs w:val="24"/>
        </w:rPr>
      </w:pPr>
      <w:r w:rsidRPr="00204144">
        <w:rPr>
          <w:b/>
          <w:bCs/>
          <w:sz w:val="24"/>
          <w:szCs w:val="24"/>
        </w:rPr>
        <w:t xml:space="preserve">Wskaźnik skolaryzacji - </w:t>
      </w:r>
      <w:bookmarkStart w:name="_Hlk136975432" w:id="0"/>
      <w:r w:rsidRPr="00204144">
        <w:rPr>
          <w:sz w:val="24"/>
          <w:szCs w:val="24"/>
        </w:rPr>
        <w:t xml:space="preserve">Dla analizowanych przez nas krajów </w:t>
      </w:r>
      <w:r>
        <w:rPr>
          <w:sz w:val="24"/>
          <w:szCs w:val="24"/>
        </w:rPr>
        <w:t>wskaźnik skolaryzacji</w:t>
      </w:r>
      <w:r w:rsidRPr="00204144">
        <w:rPr>
          <w:sz w:val="24"/>
          <w:szCs w:val="24"/>
        </w:rPr>
        <w:t xml:space="preserve"> w 2015 roku średnio wyni</w:t>
      </w:r>
      <w:r>
        <w:rPr>
          <w:sz w:val="24"/>
          <w:szCs w:val="24"/>
        </w:rPr>
        <w:t>ósł</w:t>
      </w:r>
      <w:r w:rsidRPr="00204144">
        <w:rPr>
          <w:sz w:val="24"/>
          <w:szCs w:val="24"/>
        </w:rPr>
        <w:t xml:space="preserve"> </w:t>
      </w:r>
      <w:r w:rsidR="00700782">
        <w:rPr>
          <w:sz w:val="24"/>
          <w:szCs w:val="24"/>
        </w:rPr>
        <w:t>33,14%</w:t>
      </w:r>
      <w:r w:rsidRPr="00204144">
        <w:rPr>
          <w:sz w:val="24"/>
          <w:szCs w:val="24"/>
        </w:rPr>
        <w:t xml:space="preserve"> z wartością minimalną </w:t>
      </w:r>
      <w:r w:rsidR="00700782">
        <w:rPr>
          <w:sz w:val="24"/>
          <w:szCs w:val="24"/>
        </w:rPr>
        <w:t>10,58%</w:t>
      </w:r>
      <w:r>
        <w:rPr>
          <w:sz w:val="24"/>
          <w:szCs w:val="24"/>
        </w:rPr>
        <w:t xml:space="preserve"> </w:t>
      </w:r>
      <w:r w:rsidRPr="00204144">
        <w:rPr>
          <w:sz w:val="24"/>
          <w:szCs w:val="24"/>
        </w:rPr>
        <w:t xml:space="preserve">i wartością maksymalną </w:t>
      </w:r>
      <w:r w:rsidR="00700782">
        <w:rPr>
          <w:sz w:val="24"/>
          <w:szCs w:val="24"/>
        </w:rPr>
        <w:t>55,17%</w:t>
      </w:r>
      <w:r w:rsidRPr="00204144">
        <w:rPr>
          <w:sz w:val="24"/>
          <w:szCs w:val="24"/>
        </w:rPr>
        <w:t xml:space="preserve">. Gdzie mediana wyniosła </w:t>
      </w:r>
      <w:r w:rsidR="00700782">
        <w:rPr>
          <w:sz w:val="24"/>
          <w:szCs w:val="24"/>
        </w:rPr>
        <w:t>34,58%</w:t>
      </w:r>
      <w:r w:rsidRPr="00204144">
        <w:rPr>
          <w:sz w:val="24"/>
          <w:szCs w:val="24"/>
        </w:rPr>
        <w:t xml:space="preserve">, a odchylenie standardowe wyniosło </w:t>
      </w:r>
      <w:r w:rsidR="00700782">
        <w:rPr>
          <w:sz w:val="24"/>
          <w:szCs w:val="24"/>
        </w:rPr>
        <w:t>11,24%</w:t>
      </w:r>
      <w:r w:rsidRPr="00204144">
        <w:rPr>
          <w:sz w:val="24"/>
          <w:szCs w:val="24"/>
        </w:rPr>
        <w:t>. Zmienna charakteryzuje się następującym rozkładem częstości:</w:t>
      </w:r>
    </w:p>
    <w:bookmarkEnd w:id="0"/>
    <w:p w:rsidRPr="00700782" w:rsidR="00700782" w:rsidP="00700782" w:rsidRDefault="00700782" w14:paraId="767A275B" w14:textId="3D59275E">
      <w:pPr>
        <w:pStyle w:val="Akapitzlist"/>
        <w:rPr>
          <w:sz w:val="24"/>
          <w:szCs w:val="24"/>
        </w:rPr>
      </w:pPr>
      <w:r w:rsidRPr="00700782">
        <w:rPr>
          <w:sz w:val="24"/>
          <w:szCs w:val="24"/>
        </w:rPr>
        <w:drawing>
          <wp:anchor distT="0" distB="0" distL="114300" distR="114300" simplePos="0" relativeHeight="251660288" behindDoc="0" locked="0" layoutInCell="1" allowOverlap="1" wp14:anchorId="0447AB1A" wp14:editId="008B9C2A">
            <wp:simplePos x="0" y="0"/>
            <wp:positionH relativeFrom="margin">
              <wp:align>center</wp:align>
            </wp:positionH>
            <wp:positionV relativeFrom="paragraph">
              <wp:posOffset>262255</wp:posOffset>
            </wp:positionV>
            <wp:extent cx="3633470" cy="2621280"/>
            <wp:effectExtent l="0" t="0" r="5080" b="7620"/>
            <wp:wrapTopAndBottom/>
            <wp:docPr id="1607502355" name="Obraz 1"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02355" name="Obraz 1" descr="Obraz zawierający tekst, diagram, zrzut ekranu, Wykres&#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3633470" cy="2621280"/>
                    </a:xfrm>
                    <a:prstGeom prst="rect">
                      <a:avLst/>
                    </a:prstGeom>
                  </pic:spPr>
                </pic:pic>
              </a:graphicData>
            </a:graphic>
            <wp14:sizeRelH relativeFrom="margin">
              <wp14:pctWidth>0</wp14:pctWidth>
            </wp14:sizeRelH>
            <wp14:sizeRelV relativeFrom="margin">
              <wp14:pctHeight>0</wp14:pctHeight>
            </wp14:sizeRelV>
          </wp:anchor>
        </w:drawing>
      </w:r>
    </w:p>
    <w:p w:rsidRPr="00700782" w:rsidR="00700782" w:rsidP="00700782" w:rsidRDefault="00700782" w14:paraId="4576B7E8" w14:textId="0C3787DB">
      <w:pPr>
        <w:rPr>
          <w:sz w:val="24"/>
          <w:szCs w:val="24"/>
        </w:rPr>
      </w:pPr>
    </w:p>
    <w:p w:rsidR="00B24867" w:rsidP="00B24867" w:rsidRDefault="00700782" w14:paraId="00D846BB" w14:textId="61685E5D">
      <w:pPr>
        <w:pStyle w:val="Akapitzlist"/>
        <w:numPr>
          <w:ilvl w:val="0"/>
          <w:numId w:val="15"/>
        </w:numPr>
        <w:rPr>
          <w:sz w:val="24"/>
          <w:szCs w:val="24"/>
        </w:rPr>
      </w:pPr>
      <w:r w:rsidRPr="00B24867">
        <w:rPr>
          <w:b/>
          <w:bCs/>
          <w:sz w:val="24"/>
          <w:szCs w:val="24"/>
        </w:rPr>
        <w:t xml:space="preserve">Poziom wydatków rządowych na cele edukacyjne - </w:t>
      </w:r>
      <w:r w:rsidRPr="00B24867" w:rsidR="00B24867">
        <w:rPr>
          <w:sz w:val="24"/>
          <w:szCs w:val="24"/>
        </w:rPr>
        <w:t xml:space="preserve">Dla analizowanych przez nas krajów </w:t>
      </w:r>
      <w:r w:rsidR="00B24867">
        <w:rPr>
          <w:sz w:val="24"/>
          <w:szCs w:val="24"/>
        </w:rPr>
        <w:t xml:space="preserve">procentowy udział wydatków rządowych na cele edukacyjne </w:t>
      </w:r>
      <w:r w:rsidRPr="00B24867" w:rsidR="00B24867">
        <w:rPr>
          <w:sz w:val="24"/>
          <w:szCs w:val="24"/>
        </w:rPr>
        <w:t xml:space="preserve">w 2015 roku średnio wyniósł </w:t>
      </w:r>
      <w:r w:rsidR="00B24867">
        <w:rPr>
          <w:sz w:val="24"/>
          <w:szCs w:val="24"/>
        </w:rPr>
        <w:t>4,11%</w:t>
      </w:r>
      <w:r w:rsidRPr="00B24867" w:rsidR="00B24867">
        <w:rPr>
          <w:sz w:val="24"/>
          <w:szCs w:val="24"/>
        </w:rPr>
        <w:t xml:space="preserve"> z wartością minimalną </w:t>
      </w:r>
      <w:r w:rsidR="00B24867">
        <w:rPr>
          <w:sz w:val="24"/>
          <w:szCs w:val="24"/>
        </w:rPr>
        <w:t>2,58%</w:t>
      </w:r>
      <w:r w:rsidRPr="00B24867" w:rsidR="00B24867">
        <w:rPr>
          <w:sz w:val="24"/>
          <w:szCs w:val="24"/>
        </w:rPr>
        <w:t xml:space="preserve"> i wartością maksymalną </w:t>
      </w:r>
      <w:r w:rsidR="00B24867">
        <w:rPr>
          <w:sz w:val="24"/>
          <w:szCs w:val="24"/>
        </w:rPr>
        <w:t>6,38%</w:t>
      </w:r>
      <w:r w:rsidRPr="00B24867" w:rsidR="00B24867">
        <w:rPr>
          <w:sz w:val="24"/>
          <w:szCs w:val="24"/>
        </w:rPr>
        <w:t xml:space="preserve">. Gdzie mediana wyniosła </w:t>
      </w:r>
      <w:r w:rsidR="00B24867">
        <w:rPr>
          <w:sz w:val="24"/>
          <w:szCs w:val="24"/>
        </w:rPr>
        <w:t>4,05%</w:t>
      </w:r>
      <w:r w:rsidRPr="00B24867" w:rsidR="00B24867">
        <w:rPr>
          <w:sz w:val="24"/>
          <w:szCs w:val="24"/>
        </w:rPr>
        <w:t xml:space="preserve">, a odchylenie standardowe wyniosło </w:t>
      </w:r>
      <w:r w:rsidR="00B24867">
        <w:rPr>
          <w:sz w:val="24"/>
          <w:szCs w:val="24"/>
        </w:rPr>
        <w:t>0,87%</w:t>
      </w:r>
      <w:r w:rsidRPr="00B24867" w:rsidR="00B24867">
        <w:rPr>
          <w:sz w:val="24"/>
          <w:szCs w:val="24"/>
        </w:rPr>
        <w:t>. Zmienna charakteryzuje się następującym rozkładem częstości:</w:t>
      </w:r>
    </w:p>
    <w:p w:rsidRPr="00624DBA" w:rsidR="00624DBA" w:rsidP="00624DBA" w:rsidRDefault="00624DBA" w14:paraId="2821096E" w14:textId="2356B973">
      <w:pPr>
        <w:rPr>
          <w:sz w:val="24"/>
          <w:szCs w:val="24"/>
        </w:rPr>
      </w:pPr>
      <w:r>
        <w:rPr>
          <w:noProof/>
          <w:sz w:val="24"/>
          <w:szCs w:val="24"/>
        </w:rPr>
        <w:lastRenderedPageBreak/>
        <w:drawing>
          <wp:anchor distT="0" distB="0" distL="114300" distR="114300" simplePos="0" relativeHeight="251661312" behindDoc="0" locked="0" layoutInCell="1" allowOverlap="1" wp14:anchorId="084BE700" wp14:editId="08741EA0">
            <wp:simplePos x="0" y="0"/>
            <wp:positionH relativeFrom="margin">
              <wp:align>center</wp:align>
            </wp:positionH>
            <wp:positionV relativeFrom="paragraph">
              <wp:posOffset>0</wp:posOffset>
            </wp:positionV>
            <wp:extent cx="4789805" cy="3497580"/>
            <wp:effectExtent l="0" t="0" r="0" b="7620"/>
            <wp:wrapTopAndBottom/>
            <wp:docPr id="61691308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805" cy="3497580"/>
                    </a:xfrm>
                    <a:prstGeom prst="rect">
                      <a:avLst/>
                    </a:prstGeom>
                    <a:noFill/>
                  </pic:spPr>
                </pic:pic>
              </a:graphicData>
            </a:graphic>
            <wp14:sizeRelH relativeFrom="margin">
              <wp14:pctWidth>0</wp14:pctWidth>
            </wp14:sizeRelH>
            <wp14:sizeRelV relativeFrom="margin">
              <wp14:pctHeight>0</wp14:pctHeight>
            </wp14:sizeRelV>
          </wp:anchor>
        </w:drawing>
      </w:r>
    </w:p>
    <w:p w:rsidRPr="00624DBA" w:rsidR="00893D44" w:rsidP="00893D44" w:rsidRDefault="00624DBA" w14:paraId="0D723CEF" w14:textId="1E3C7317">
      <w:pPr>
        <w:pStyle w:val="Akapitzlist"/>
        <w:numPr>
          <w:ilvl w:val="0"/>
          <w:numId w:val="15"/>
        </w:numPr>
        <w:rPr>
          <w:b/>
          <w:bCs/>
          <w:sz w:val="24"/>
          <w:szCs w:val="24"/>
        </w:rPr>
      </w:pPr>
      <w:r>
        <w:rPr>
          <w:b/>
          <w:bCs/>
          <w:sz w:val="24"/>
          <w:szCs w:val="24"/>
        </w:rPr>
        <w:t xml:space="preserve">Poziom inflacji (CPI) - </w:t>
      </w:r>
      <w:r w:rsidRPr="00624DBA">
        <w:rPr>
          <w:sz w:val="24"/>
          <w:szCs w:val="24"/>
        </w:rPr>
        <w:t>Dla analizowanych przez nas krajów p</w:t>
      </w:r>
      <w:r>
        <w:rPr>
          <w:sz w:val="24"/>
          <w:szCs w:val="24"/>
        </w:rPr>
        <w:t>oziom inflacji mierzony za pomocą wskaźnika Consumer Price Index</w:t>
      </w:r>
      <w:r w:rsidRPr="00624DBA">
        <w:rPr>
          <w:sz w:val="24"/>
          <w:szCs w:val="24"/>
        </w:rPr>
        <w:t xml:space="preserve"> w 2015 roku średnio wyniósł </w:t>
      </w:r>
      <w:r>
        <w:rPr>
          <w:sz w:val="24"/>
          <w:szCs w:val="24"/>
        </w:rPr>
        <w:t>1,54</w:t>
      </w:r>
      <w:r w:rsidRPr="00624DBA">
        <w:rPr>
          <w:sz w:val="24"/>
          <w:szCs w:val="24"/>
        </w:rPr>
        <w:t xml:space="preserve">% z wartością minimalną </w:t>
      </w:r>
      <w:r>
        <w:rPr>
          <w:sz w:val="24"/>
          <w:szCs w:val="24"/>
        </w:rPr>
        <w:t>1,74</w:t>
      </w:r>
      <w:r w:rsidRPr="00624DBA">
        <w:rPr>
          <w:sz w:val="24"/>
          <w:szCs w:val="24"/>
        </w:rPr>
        <w:t xml:space="preserve">% i wartością maksymalną </w:t>
      </w:r>
      <w:r>
        <w:rPr>
          <w:sz w:val="24"/>
          <w:szCs w:val="24"/>
        </w:rPr>
        <w:t>15,34</w:t>
      </w:r>
      <w:r w:rsidRPr="00624DBA">
        <w:rPr>
          <w:sz w:val="24"/>
          <w:szCs w:val="24"/>
        </w:rPr>
        <w:t xml:space="preserve">%. Gdzie mediana wyniosła </w:t>
      </w:r>
      <w:r>
        <w:rPr>
          <w:sz w:val="24"/>
          <w:szCs w:val="24"/>
        </w:rPr>
        <w:t>0,38%</w:t>
      </w:r>
      <w:r w:rsidRPr="00624DBA">
        <w:rPr>
          <w:sz w:val="24"/>
          <w:szCs w:val="24"/>
        </w:rPr>
        <w:t xml:space="preserve">, a odchylenie standardowe wyniosło </w:t>
      </w:r>
      <w:r>
        <w:rPr>
          <w:sz w:val="24"/>
          <w:szCs w:val="24"/>
        </w:rPr>
        <w:t>3,23</w:t>
      </w:r>
      <w:r w:rsidRPr="00624DBA">
        <w:rPr>
          <w:sz w:val="24"/>
          <w:szCs w:val="24"/>
        </w:rPr>
        <w:t>%. Zmienna charakteryzuje się następującym rozkładem częstości:</w:t>
      </w:r>
    </w:p>
    <w:p w:rsidR="00375B31" w:rsidP="00375B31" w:rsidRDefault="00624DBA" w14:paraId="7BFB94CB" w14:textId="03A5BBAD">
      <w:pPr>
        <w:pStyle w:val="Akapitzlist"/>
        <w:rPr>
          <w:b w:val="1"/>
          <w:bCs w:val="1"/>
          <w:sz w:val="24"/>
          <w:szCs w:val="24"/>
        </w:rPr>
      </w:pPr>
      <w:r w:rsidRPr="00624DBA">
        <w:rPr>
          <w:b/>
          <w:bCs/>
          <w:sz w:val="24"/>
          <w:szCs w:val="24"/>
        </w:rPr>
        <w:drawing>
          <wp:anchor distT="0" distB="0" distL="114300" distR="114300" simplePos="0" relativeHeight="251662336" behindDoc="0" locked="0" layoutInCell="1" allowOverlap="1" wp14:anchorId="1E920C48" wp14:editId="54F57A9D">
            <wp:simplePos x="0" y="0"/>
            <wp:positionH relativeFrom="margin">
              <wp:align>center</wp:align>
            </wp:positionH>
            <wp:positionV relativeFrom="paragraph">
              <wp:posOffset>178435</wp:posOffset>
            </wp:positionV>
            <wp:extent cx="3810000" cy="2771775"/>
            <wp:effectExtent l="0" t="0" r="0" b="9525"/>
            <wp:wrapTopAndBottom/>
            <wp:docPr id="984794978"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94978" name="Obraz 1" descr="Obraz zawierający tekst, zrzut ekranu, diagram, Prostoką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810000" cy="2771775"/>
                    </a:xfrm>
                    <a:prstGeom prst="rect">
                      <a:avLst/>
                    </a:prstGeom>
                  </pic:spPr>
                </pic:pic>
              </a:graphicData>
            </a:graphic>
          </wp:anchor>
        </w:drawing>
      </w:r>
    </w:p>
    <w:p w:rsidR="0044150E" w:rsidP="0129304D" w:rsidRDefault="0044150E" w14:paraId="7DDFB903" w14:textId="4409264D">
      <w:pPr>
        <w:pStyle w:val="Akapitzlist"/>
        <w:numPr>
          <w:ilvl w:val="0"/>
          <w:numId w:val="11"/>
        </w:numPr>
        <w:rPr>
          <w:b w:val="1"/>
          <w:bCs w:val="1"/>
          <w:sz w:val="24"/>
          <w:szCs w:val="24"/>
        </w:rPr>
      </w:pPr>
      <w:r w:rsidRPr="0129304D" w:rsidR="5CA06F2F">
        <w:rPr>
          <w:b w:val="1"/>
          <w:bCs w:val="1"/>
          <w:sz w:val="24"/>
          <w:szCs w:val="24"/>
        </w:rPr>
        <w:t>Opis transformacji zmiennych</w:t>
      </w:r>
    </w:p>
    <w:p w:rsidR="0044150E" w:rsidP="0129304D" w:rsidRDefault="0044150E" w14:paraId="44ED4615" w14:textId="641C811F">
      <w:pPr>
        <w:pStyle w:val="Normalny"/>
      </w:pPr>
      <w:r w:rsidRPr="0129304D" w:rsidR="2C274BF5">
        <w:rPr>
          <w:rFonts w:ascii="Calibri" w:hAnsi="Calibri" w:eastAsia="Calibri" w:cs="Calibri"/>
          <w:noProof w:val="0"/>
          <w:sz w:val="24"/>
          <w:szCs w:val="24"/>
          <w:lang w:val="pl-PL"/>
        </w:rPr>
        <w:t>W naszym modelu regresji liniowej postanowiliśmy przetransformować jedną ze zmiennych - Produkt Krajowy Brutto na mieszkańca (</w:t>
      </w:r>
      <w:r w:rsidRPr="0129304D" w:rsidR="2C274BF5">
        <w:rPr>
          <w:rFonts w:ascii="Calibri" w:hAnsi="Calibri" w:eastAsia="Calibri" w:cs="Calibri"/>
          <w:noProof w:val="0"/>
          <w:sz w:val="24"/>
          <w:szCs w:val="24"/>
          <w:lang w:val="pl-PL"/>
        </w:rPr>
        <w:t>GDPoecd</w:t>
      </w:r>
      <w:r w:rsidRPr="0129304D" w:rsidR="2C274BF5">
        <w:rPr>
          <w:rFonts w:ascii="Calibri" w:hAnsi="Calibri" w:eastAsia="Calibri" w:cs="Calibri"/>
          <w:noProof w:val="0"/>
          <w:sz w:val="24"/>
          <w:szCs w:val="24"/>
          <w:lang w:val="pl-PL"/>
        </w:rPr>
        <w:t xml:space="preserve">) - poprzez zastosowanie transformacji logarytmicznej. Dlatego w modelu zamiast surowego PKB na mieszkańca, mamy </w:t>
      </w:r>
      <w:r w:rsidRPr="0129304D" w:rsidR="2C274BF5">
        <w:rPr>
          <w:rFonts w:ascii="Calibri" w:hAnsi="Calibri" w:eastAsia="Calibri" w:cs="Calibri"/>
          <w:noProof w:val="0"/>
          <w:sz w:val="24"/>
          <w:szCs w:val="24"/>
          <w:lang w:val="pl-PL"/>
        </w:rPr>
        <w:t>log(</w:t>
      </w:r>
      <w:r w:rsidRPr="0129304D" w:rsidR="2C274BF5">
        <w:rPr>
          <w:rFonts w:ascii="Calibri" w:hAnsi="Calibri" w:eastAsia="Calibri" w:cs="Calibri"/>
          <w:noProof w:val="0"/>
          <w:sz w:val="24"/>
          <w:szCs w:val="24"/>
          <w:lang w:val="pl-PL"/>
        </w:rPr>
        <w:t>GDPoecd</w:t>
      </w:r>
      <w:r w:rsidRPr="0129304D" w:rsidR="2C274BF5">
        <w:rPr>
          <w:rFonts w:ascii="Calibri" w:hAnsi="Calibri" w:eastAsia="Calibri" w:cs="Calibri"/>
          <w:noProof w:val="0"/>
          <w:sz w:val="24"/>
          <w:szCs w:val="24"/>
          <w:lang w:val="pl-PL"/>
        </w:rPr>
        <w:t>). Zastosowanie transformacji logarytmicznej pozwala na uwzględnienie nieliniowej zależności między PKB a średnią stawką godzinową.</w:t>
      </w:r>
      <w:r w:rsidRPr="0129304D" w:rsidR="04244FC6">
        <w:rPr>
          <w:rFonts w:ascii="Calibri" w:hAnsi="Calibri" w:eastAsia="Calibri" w:cs="Calibri"/>
          <w:noProof w:val="0"/>
          <w:sz w:val="24"/>
          <w:szCs w:val="24"/>
          <w:lang w:val="pl-PL"/>
        </w:rPr>
        <w:t xml:space="preserve"> Logarytm ułatwia interpretacje, ponieważ operujemy zmianami procentowymi zmiennej objaśniającej.</w:t>
      </w:r>
    </w:p>
    <w:p w:rsidR="0044150E" w:rsidP="0129304D" w:rsidRDefault="0044150E" w14:paraId="3DDE4AE0" w14:textId="76C0CADC">
      <w:pPr>
        <w:pStyle w:val="Normalny"/>
      </w:pPr>
      <w:r w:rsidRPr="0129304D" w:rsidR="2C274BF5">
        <w:rPr>
          <w:rFonts w:ascii="Calibri" w:hAnsi="Calibri" w:eastAsia="Calibri" w:cs="Calibri"/>
          <w:noProof w:val="0"/>
          <w:sz w:val="24"/>
          <w:szCs w:val="24"/>
          <w:lang w:val="pl-PL"/>
        </w:rPr>
        <w:t>Pozostałe zmienne w naszym modelu, tj. stopa inflacji (</w:t>
      </w:r>
      <w:r w:rsidRPr="0129304D" w:rsidR="2C274BF5">
        <w:rPr>
          <w:rFonts w:ascii="Calibri" w:hAnsi="Calibri" w:eastAsia="Calibri" w:cs="Calibri"/>
          <w:noProof w:val="0"/>
          <w:sz w:val="24"/>
          <w:szCs w:val="24"/>
          <w:lang w:val="pl-PL"/>
        </w:rPr>
        <w:t>InfRate</w:t>
      </w:r>
      <w:r w:rsidRPr="0129304D" w:rsidR="2C274BF5">
        <w:rPr>
          <w:rFonts w:ascii="Calibri" w:hAnsi="Calibri" w:eastAsia="Calibri" w:cs="Calibri"/>
          <w:noProof w:val="0"/>
          <w:sz w:val="24"/>
          <w:szCs w:val="24"/>
          <w:lang w:val="pl-PL"/>
        </w:rPr>
        <w:t xml:space="preserve">), wskaźnik </w:t>
      </w:r>
      <w:r w:rsidRPr="0129304D" w:rsidR="2C274BF5">
        <w:rPr>
          <w:rFonts w:ascii="Calibri" w:hAnsi="Calibri" w:eastAsia="Calibri" w:cs="Calibri"/>
          <w:noProof w:val="0"/>
          <w:sz w:val="24"/>
          <w:szCs w:val="24"/>
          <w:lang w:val="pl-PL"/>
        </w:rPr>
        <w:t>skolaryzacji</w:t>
      </w:r>
      <w:r w:rsidRPr="0129304D" w:rsidR="2C274BF5">
        <w:rPr>
          <w:rFonts w:ascii="Calibri" w:hAnsi="Calibri" w:eastAsia="Calibri" w:cs="Calibri"/>
          <w:noProof w:val="0"/>
          <w:sz w:val="24"/>
          <w:szCs w:val="24"/>
          <w:lang w:val="pl-PL"/>
        </w:rPr>
        <w:t xml:space="preserve"> (School), poziom wydatków rządowych na cele edukacyjne (</w:t>
      </w:r>
      <w:r w:rsidRPr="0129304D" w:rsidR="2C274BF5">
        <w:rPr>
          <w:rFonts w:ascii="Calibri" w:hAnsi="Calibri" w:eastAsia="Calibri" w:cs="Calibri"/>
          <w:noProof w:val="0"/>
          <w:sz w:val="24"/>
          <w:szCs w:val="24"/>
          <w:lang w:val="pl-PL"/>
        </w:rPr>
        <w:t>EducExpen</w:t>
      </w:r>
      <w:r w:rsidRPr="0129304D" w:rsidR="2C274BF5">
        <w:rPr>
          <w:rFonts w:ascii="Calibri" w:hAnsi="Calibri" w:eastAsia="Calibri" w:cs="Calibri"/>
          <w:noProof w:val="0"/>
          <w:sz w:val="24"/>
          <w:szCs w:val="24"/>
          <w:lang w:val="pl-PL"/>
        </w:rPr>
        <w:t>) oraz stopa bezrobocia (</w:t>
      </w:r>
      <w:r w:rsidRPr="0129304D" w:rsidR="2C274BF5">
        <w:rPr>
          <w:rFonts w:ascii="Calibri" w:hAnsi="Calibri" w:eastAsia="Calibri" w:cs="Calibri"/>
          <w:noProof w:val="0"/>
          <w:sz w:val="24"/>
          <w:szCs w:val="24"/>
          <w:lang w:val="pl-PL"/>
        </w:rPr>
        <w:t>Unempl</w:t>
      </w:r>
      <w:r w:rsidRPr="0129304D" w:rsidR="2C274BF5">
        <w:rPr>
          <w:rFonts w:ascii="Calibri" w:hAnsi="Calibri" w:eastAsia="Calibri" w:cs="Calibri"/>
          <w:noProof w:val="0"/>
          <w:sz w:val="24"/>
          <w:szCs w:val="24"/>
          <w:lang w:val="pl-PL"/>
        </w:rPr>
        <w:t>), pozostawiamy w ich pierwotnej formie, ponieważ uznaliśmy, że ich relacja ze średnią stawką godzinową jest najlepiej opisana w liniowej formie.</w:t>
      </w:r>
      <w:r w:rsidRPr="0129304D" w:rsidR="5CA06F2F">
        <w:rPr>
          <w:rFonts w:ascii="Calibri" w:hAnsi="Calibri" w:eastAsia="Calibri" w:cs="Calibri"/>
          <w:noProof w:val="0"/>
          <w:sz w:val="24"/>
          <w:szCs w:val="24"/>
          <w:lang w:val="pl-PL"/>
        </w:rPr>
        <w:t xml:space="preserve"> Ta decyzja wynika z chęci zachowania prostoty i przejrzystości naszego modelu, co jest istotne zarówno z punktu widzenia interpretacji wyników, jak i unikania nadmiernego dopasowania. Ponadto, nasza początkowa analiza danych sugeruje, że wybrane zmienne są odpowiednio skonstruowane do badania naszego pytania badawczego i nie wymagają dodatkowych modyfikacji.</w:t>
      </w:r>
    </w:p>
    <w:p w:rsidR="0044150E" w:rsidP="0044150E" w:rsidRDefault="0044150E" w14:paraId="41970FD7" w14:textId="77777777">
      <w:pPr>
        <w:pStyle w:val="Akapitzlist"/>
        <w:rPr>
          <w:b/>
          <w:bCs/>
          <w:sz w:val="32"/>
          <w:szCs w:val="32"/>
        </w:rPr>
      </w:pPr>
    </w:p>
    <w:p w:rsidR="00375B31" w:rsidP="0044150E" w:rsidRDefault="0044150E" w14:paraId="70162013" w14:textId="355DE749">
      <w:pPr>
        <w:pStyle w:val="Akapitzlist"/>
        <w:numPr>
          <w:ilvl w:val="0"/>
          <w:numId w:val="11"/>
        </w:numPr>
        <w:rPr>
          <w:b/>
          <w:bCs/>
          <w:sz w:val="32"/>
          <w:szCs w:val="32"/>
        </w:rPr>
      </w:pPr>
      <w:r w:rsidRPr="0129304D" w:rsidR="0044150E">
        <w:rPr>
          <w:b w:val="1"/>
          <w:bCs w:val="1"/>
          <w:sz w:val="32"/>
          <w:szCs w:val="32"/>
        </w:rPr>
        <w:t>Specyfikacja modelu.</w:t>
      </w:r>
    </w:p>
    <w:p w:rsidRPr="0044150E" w:rsidR="0044150E" w:rsidP="0044150E" w:rsidRDefault="0044150E" w14:paraId="4776697D" w14:textId="07C133DC">
      <w:pPr>
        <w:rPr>
          <w:sz w:val="32"/>
          <w:szCs w:val="32"/>
        </w:rPr>
      </w:pPr>
      <m:oMathPara>
        <m:oMathParaPr>
          <m:jc m:val="left"/>
        </m:oMathParaPr>
        <m:oMath>
          <m:r>
            <w:rPr>
              <w:rFonts w:ascii="Cambria Math" w:hAnsi="Cambria Math"/>
              <w:sz w:val="32"/>
              <w:szCs w:val="32"/>
            </w:rPr>
            <m:t xml:space="preserve">AvIncome= </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GDP</m:t>
              </m:r>
            </m:e>
          </m:func>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2</m:t>
              </m:r>
            </m:sub>
          </m:sSub>
          <m:r>
            <w:rPr>
              <w:rFonts w:ascii="Cambria Math" w:hAnsi="Cambria Math"/>
              <w:sz w:val="32"/>
              <w:szCs w:val="32"/>
            </w:rPr>
            <m:t xml:space="preserve">*EducExpen+ </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3</m:t>
              </m:r>
            </m:sub>
          </m:sSub>
          <m:r>
            <w:rPr>
              <w:rFonts w:ascii="Cambria Math" w:hAnsi="Cambria Math"/>
              <w:sz w:val="32"/>
              <w:szCs w:val="32"/>
            </w:rPr>
            <m:t>*InfRate+</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4</m:t>
              </m:r>
            </m:sub>
          </m:sSub>
          <m:r>
            <w:rPr>
              <w:rFonts w:ascii="Cambria Math" w:hAnsi="Cambria Math"/>
              <w:sz w:val="32"/>
              <w:szCs w:val="32"/>
            </w:rPr>
            <m:t xml:space="preserve">*Unempl+ </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5</m:t>
              </m:r>
            </m:sub>
          </m:sSub>
          <m:r>
            <w:rPr>
              <w:rFonts w:ascii="Cambria Math" w:hAnsi="Cambria Math"/>
              <w:sz w:val="32"/>
              <w:szCs w:val="32"/>
            </w:rPr>
            <m:t>*School+ ε</m:t>
          </m:r>
        </m:oMath>
      </m:oMathPara>
    </w:p>
    <w:p w:rsidR="00375B31" w:rsidP="00500074" w:rsidRDefault="00375B31" w14:paraId="7B08FE7C" w14:textId="2F031265">
      <w:pPr>
        <w:rPr>
          <w:sz w:val="24"/>
          <w:szCs w:val="24"/>
        </w:rPr>
      </w:pPr>
    </w:p>
    <w:p w:rsidR="000E48BE" w:rsidP="00500074" w:rsidRDefault="000E48BE" w14:paraId="0D74FEF6" w14:textId="753AA1E4">
      <w:pPr>
        <w:rPr>
          <w:sz w:val="24"/>
          <w:szCs w:val="24"/>
        </w:rPr>
      </w:pPr>
      <w:r>
        <w:rPr>
          <w:sz w:val="24"/>
          <w:szCs w:val="24"/>
        </w:rPr>
        <w:t>,gdzie :</w:t>
      </w:r>
    </w:p>
    <w:p w:rsidR="000E48BE" w:rsidP="00500074" w:rsidRDefault="000E48BE" w14:paraId="6FB9FE2A" w14:textId="7C81909E">
      <w:pPr>
        <w:rPr>
          <w:sz w:val="24"/>
          <w:szCs w:val="24"/>
        </w:rPr>
      </w:pPr>
      <w:r>
        <w:rPr>
          <w:sz w:val="24"/>
          <w:szCs w:val="24"/>
        </w:rPr>
        <w:t>AvIncome – średnia stawka godzinowa</w:t>
      </w:r>
    </w:p>
    <w:p w:rsidR="000E48BE" w:rsidP="00500074" w:rsidRDefault="000E48BE" w14:paraId="3FDEA955" w14:textId="7C89A4C1">
      <w:pPr>
        <w:rPr>
          <w:sz w:val="24"/>
          <w:szCs w:val="24"/>
        </w:rPr>
      </w:pPr>
      <w:r>
        <w:rPr>
          <w:sz w:val="24"/>
          <w:szCs w:val="24"/>
        </w:rPr>
        <w:t>logGDP – logarytm naturalny wartości PKB</w:t>
      </w:r>
    </w:p>
    <w:p w:rsidR="000E48BE" w:rsidP="00500074" w:rsidRDefault="000E48BE" w14:paraId="1B6C37F6" w14:textId="657F7F61">
      <w:pPr>
        <w:rPr>
          <w:sz w:val="24"/>
          <w:szCs w:val="24"/>
        </w:rPr>
      </w:pPr>
      <w:r>
        <w:rPr>
          <w:sz w:val="24"/>
          <w:szCs w:val="24"/>
        </w:rPr>
        <w:t>InfRate – stopa inflacji</w:t>
      </w:r>
    </w:p>
    <w:p w:rsidR="000E48BE" w:rsidP="00500074" w:rsidRDefault="000E48BE" w14:paraId="1BAE8F9B" w14:textId="1987CF82">
      <w:pPr>
        <w:rPr>
          <w:sz w:val="24"/>
          <w:szCs w:val="24"/>
        </w:rPr>
      </w:pPr>
      <w:r>
        <w:rPr>
          <w:sz w:val="24"/>
          <w:szCs w:val="24"/>
        </w:rPr>
        <w:t>Unempl – Stopa bezrobocia</w:t>
      </w:r>
    </w:p>
    <w:p w:rsidR="000E48BE" w:rsidP="00500074" w:rsidRDefault="000E48BE" w14:paraId="7FCD2948" w14:textId="61063A98">
      <w:pPr>
        <w:rPr>
          <w:sz w:val="24"/>
          <w:szCs w:val="24"/>
        </w:rPr>
      </w:pPr>
      <w:r>
        <w:rPr>
          <w:sz w:val="24"/>
          <w:szCs w:val="24"/>
        </w:rPr>
        <w:t>School – współczynnik skolaryzacji</w:t>
      </w:r>
    </w:p>
    <w:p w:rsidR="00D757B5" w:rsidP="00500074" w:rsidRDefault="00D757B5" w14:paraId="3D115B78" w14:textId="698DBF44">
      <w:pPr>
        <w:rPr>
          <w:sz w:val="24"/>
          <w:szCs w:val="24"/>
        </w:rPr>
      </w:pPr>
      <w:r>
        <w:rPr>
          <w:sz w:val="24"/>
          <w:szCs w:val="24"/>
        </w:rPr>
        <w:t>EducExpen – wydatki rządowe na cele edukacyjne</w:t>
      </w:r>
    </w:p>
    <w:p w:rsidR="000E48BE" w:rsidP="00500074" w:rsidRDefault="000E48BE" w14:paraId="4E3A3102" w14:textId="2394BE2B">
      <w:pPr>
        <w:rPr>
          <w:sz w:val="24"/>
          <w:szCs w:val="24"/>
        </w:rPr>
      </w:pPr>
      <w:r>
        <w:rPr>
          <w:rFonts w:cstheme="minorHAnsi"/>
          <w:sz w:val="24"/>
          <w:szCs w:val="24"/>
        </w:rPr>
        <w:t>ɛ</w:t>
      </w:r>
      <w:r>
        <w:rPr>
          <w:sz w:val="24"/>
          <w:szCs w:val="24"/>
        </w:rPr>
        <w:t xml:space="preserve"> - składnik losowy</w:t>
      </w:r>
    </w:p>
    <w:p w:rsidR="000E48BE" w:rsidP="00500074" w:rsidRDefault="000E48BE" w14:paraId="4F26FAFD" w14:textId="77777777">
      <w:pPr>
        <w:rPr>
          <w:sz w:val="24"/>
          <w:szCs w:val="24"/>
        </w:rPr>
      </w:pPr>
    </w:p>
    <w:p w:rsidR="000E48BE" w:rsidP="00500074" w:rsidRDefault="00D757B5" w14:paraId="78A46DD0" w14:textId="7EC75D70">
      <w:pPr>
        <w:rPr>
          <w:sz w:val="24"/>
          <w:szCs w:val="24"/>
        </w:rPr>
      </w:pPr>
      <w:r>
        <w:rPr>
          <w:sz w:val="24"/>
          <w:szCs w:val="24"/>
        </w:rPr>
        <w:t>W oparciu o wiedzę ekonomiczną i obserwacje spodziewamy się dodatniej zależności pomiędzy zmienną objaśnianą a zmiennymi: School, logGDP, InfRate, EducExpen i ujemną do zmiennej Unempl.</w:t>
      </w:r>
    </w:p>
    <w:p w:rsidR="00D757B5" w:rsidP="00500074" w:rsidRDefault="00D757B5" w14:paraId="7E7FC289" w14:textId="77777777">
      <w:pPr>
        <w:rPr>
          <w:sz w:val="24"/>
          <w:szCs w:val="24"/>
        </w:rPr>
      </w:pPr>
    </w:p>
    <w:p w:rsidR="00D757B5" w:rsidP="00D757B5" w:rsidRDefault="00D757B5" w14:paraId="4FC04423" w14:textId="05DDEDB7">
      <w:pPr>
        <w:pStyle w:val="Akapitzlist"/>
        <w:numPr>
          <w:ilvl w:val="0"/>
          <w:numId w:val="11"/>
        </w:numPr>
        <w:rPr>
          <w:b w:val="1"/>
          <w:bCs w:val="1"/>
          <w:sz w:val="32"/>
          <w:szCs w:val="32"/>
        </w:rPr>
      </w:pPr>
      <w:r w:rsidRPr="0129304D" w:rsidR="00D757B5">
        <w:rPr>
          <w:b w:val="1"/>
          <w:bCs w:val="1"/>
          <w:sz w:val="32"/>
          <w:szCs w:val="32"/>
        </w:rPr>
        <w:t>Analiza ekonometryczna.</w:t>
      </w:r>
    </w:p>
    <w:p w:rsidR="785F8741" w:rsidP="0129304D" w:rsidRDefault="785F8741" w14:paraId="536C0B6B" w14:textId="685BA28B">
      <w:pPr>
        <w:pStyle w:val="Normalny"/>
        <w:ind w:left="0"/>
        <w:rPr>
          <w:b w:val="0"/>
          <w:bCs w:val="0"/>
          <w:sz w:val="24"/>
          <w:szCs w:val="24"/>
        </w:rPr>
      </w:pPr>
      <w:r w:rsidRPr="0129304D" w:rsidR="785F8741">
        <w:rPr>
          <w:b w:val="0"/>
          <w:bCs w:val="0"/>
          <w:sz w:val="24"/>
          <w:szCs w:val="24"/>
        </w:rPr>
        <w:t>Badając wpływ naszych zmiennych objaśniających na średnią stawkę godzinową chcemy oszacować parametry modelu za pomocą Klasycznej Metody Najmniejszych K</w:t>
      </w:r>
      <w:r w:rsidRPr="0129304D" w:rsidR="0FF048A8">
        <w:rPr>
          <w:b w:val="0"/>
          <w:bCs w:val="0"/>
          <w:sz w:val="24"/>
          <w:szCs w:val="24"/>
        </w:rPr>
        <w:t xml:space="preserve">wadratów. Zatem w poniższym punkcie zajmiemy się analizą spełnienia przez zaproponowany przez nas model </w:t>
      </w:r>
      <w:r w:rsidRPr="0129304D" w:rsidR="7B8BB5E6">
        <w:rPr>
          <w:b w:val="0"/>
          <w:bCs w:val="0"/>
          <w:sz w:val="24"/>
          <w:szCs w:val="24"/>
        </w:rPr>
        <w:t>zestawu warunków w postaci.</w:t>
      </w:r>
      <w:r w:rsidRPr="0129304D" w:rsidR="29C6BB66">
        <w:rPr>
          <w:b w:val="0"/>
          <w:bCs w:val="0"/>
          <w:sz w:val="24"/>
          <w:szCs w:val="24"/>
        </w:rPr>
        <w:t xml:space="preserve"> </w:t>
      </w:r>
    </w:p>
    <w:p w:rsidR="29C6BB66" w:rsidP="0129304D" w:rsidRDefault="29C6BB66" w14:paraId="6617E027" w14:textId="21F59525">
      <w:pPr>
        <w:pStyle w:val="Normalny"/>
        <w:ind w:left="0"/>
      </w:pPr>
      <w:r w:rsidR="29C6BB66">
        <w:drawing>
          <wp:inline wp14:editId="1990C79D" wp14:anchorId="78EF3E72">
            <wp:extent cx="3467100" cy="1905000"/>
            <wp:effectExtent l="0" t="0" r="0" b="0"/>
            <wp:docPr id="1367652468" name="" title=""/>
            <wp:cNvGraphicFramePr>
              <a:graphicFrameLocks noChangeAspect="1"/>
            </wp:cNvGraphicFramePr>
            <a:graphic>
              <a:graphicData uri="http://schemas.openxmlformats.org/drawingml/2006/picture">
                <pic:pic>
                  <pic:nvPicPr>
                    <pic:cNvPr id="0" name=""/>
                    <pic:cNvPicPr/>
                  </pic:nvPicPr>
                  <pic:blipFill>
                    <a:blip r:embed="R97c6ff8a5e3b429e">
                      <a:extLst>
                        <a:ext xmlns:a="http://schemas.openxmlformats.org/drawingml/2006/main" uri="{28A0092B-C50C-407E-A947-70E740481C1C}">
                          <a14:useLocalDpi val="0"/>
                        </a:ext>
                      </a:extLst>
                    </a:blip>
                    <a:stretch>
                      <a:fillRect/>
                    </a:stretch>
                  </pic:blipFill>
                  <pic:spPr>
                    <a:xfrm>
                      <a:off x="0" y="0"/>
                      <a:ext cx="3467100" cy="1905000"/>
                    </a:xfrm>
                    <a:prstGeom prst="rect">
                      <a:avLst/>
                    </a:prstGeom>
                  </pic:spPr>
                </pic:pic>
              </a:graphicData>
            </a:graphic>
          </wp:inline>
        </w:drawing>
      </w:r>
    </w:p>
    <w:p w:rsidRPr="00D757B5" w:rsidR="00D757B5" w:rsidP="00D757B5" w:rsidRDefault="00AF4919" w14:paraId="45DFEC01" w14:textId="2A51ECD3">
      <w:pPr>
        <w:rPr>
          <w:sz w:val="24"/>
          <w:szCs w:val="24"/>
        </w:rPr>
      </w:pPr>
      <w:r w:rsidRPr="711F78E0" w:rsidR="00AF4919">
        <w:rPr>
          <w:sz w:val="24"/>
          <w:szCs w:val="24"/>
        </w:rPr>
        <w:t>1</w:t>
      </w:r>
      <w:r w:rsidRPr="711F78E0" w:rsidR="5FA26FBD">
        <w:rPr>
          <w:sz w:val="24"/>
          <w:szCs w:val="24"/>
        </w:rPr>
        <w:t>.</w:t>
      </w:r>
      <w:r w:rsidRPr="711F78E0" w:rsidR="00AF4919">
        <w:rPr>
          <w:sz w:val="24"/>
          <w:szCs w:val="24"/>
        </w:rPr>
        <w:t xml:space="preserve"> Analiza endogeniczności </w:t>
      </w:r>
      <w:r w:rsidRPr="711F78E0" w:rsidR="00AF4919">
        <w:rPr>
          <w:sz w:val="24"/>
          <w:szCs w:val="24"/>
        </w:rPr>
        <w:t>regresorów</w:t>
      </w:r>
    </w:p>
    <w:p w:rsidRPr="005D33B6" w:rsidR="000E48BE" w:rsidP="711F78E0" w:rsidRDefault="000E48BE" w14:paraId="7686DDE4" w14:textId="27C2C3AC">
      <w:pPr>
        <w:pStyle w:val="Normalny"/>
      </w:pPr>
      <w:r w:rsidR="2AE7E168">
        <w:drawing>
          <wp:inline wp14:editId="0FAD9BCC" wp14:anchorId="44B97639">
            <wp:extent cx="4333875" cy="1552575"/>
            <wp:effectExtent l="0" t="0" r="0" b="0"/>
            <wp:docPr id="2000430168" name="" title=""/>
            <wp:cNvGraphicFramePr>
              <a:graphicFrameLocks noChangeAspect="1"/>
            </wp:cNvGraphicFramePr>
            <a:graphic>
              <a:graphicData uri="http://schemas.openxmlformats.org/drawingml/2006/picture">
                <pic:pic>
                  <pic:nvPicPr>
                    <pic:cNvPr id="0" name=""/>
                    <pic:cNvPicPr/>
                  </pic:nvPicPr>
                  <pic:blipFill>
                    <a:blip r:embed="Rb6dff88c66524f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33875" cy="1552575"/>
                    </a:xfrm>
                    <a:prstGeom prst="rect">
                      <a:avLst/>
                    </a:prstGeom>
                  </pic:spPr>
                </pic:pic>
              </a:graphicData>
            </a:graphic>
          </wp:inline>
        </w:drawing>
      </w:r>
    </w:p>
    <w:p w:rsidR="711F78E0" w:rsidP="0129304D" w:rsidRDefault="711F78E0" w14:paraId="67AB65C3" w14:textId="062B2B69">
      <w:pPr>
        <w:pStyle w:val="Normalny"/>
        <w:rPr>
          <w:rFonts w:ascii="Calibri" w:hAnsi="Calibri" w:eastAsia="Calibri" w:cs="Calibri"/>
          <w:noProof w:val="0"/>
          <w:sz w:val="22"/>
          <w:szCs w:val="22"/>
          <w:lang w:val="pl-PL"/>
        </w:rPr>
      </w:pPr>
      <w:r w:rsidRPr="0129304D" w:rsidR="6A840A0E">
        <w:rPr>
          <w:rFonts w:ascii="Calibri" w:hAnsi="Calibri" w:eastAsia="Calibri" w:cs="Calibri"/>
          <w:noProof w:val="0"/>
          <w:sz w:val="22"/>
          <w:szCs w:val="22"/>
          <w:lang w:val="pl-PL"/>
        </w:rPr>
        <w:t>Chcą</w:t>
      </w:r>
      <w:r w:rsidRPr="0129304D" w:rsidR="26EF8CF2">
        <w:rPr>
          <w:rFonts w:ascii="Calibri" w:hAnsi="Calibri" w:eastAsia="Calibri" w:cs="Calibri"/>
          <w:noProof w:val="0"/>
          <w:sz w:val="22"/>
          <w:szCs w:val="22"/>
          <w:lang w:val="pl-PL"/>
        </w:rPr>
        <w:t>c</w:t>
      </w:r>
      <w:r w:rsidRPr="0129304D" w:rsidR="6A840A0E">
        <w:rPr>
          <w:rFonts w:ascii="Calibri" w:hAnsi="Calibri" w:eastAsia="Calibri" w:cs="Calibri"/>
          <w:noProof w:val="0"/>
          <w:sz w:val="22"/>
          <w:szCs w:val="22"/>
          <w:lang w:val="pl-PL"/>
        </w:rPr>
        <w:t xml:space="preserve"> posługiwać się Klasyczną Metodą Najmniejszych Kwadratów</w:t>
      </w:r>
      <w:r w:rsidRPr="0129304D" w:rsidR="45AFBC3F">
        <w:rPr>
          <w:rFonts w:ascii="Calibri" w:hAnsi="Calibri" w:eastAsia="Calibri" w:cs="Calibri"/>
          <w:noProof w:val="0"/>
          <w:sz w:val="22"/>
          <w:szCs w:val="22"/>
          <w:lang w:val="pl-PL"/>
        </w:rPr>
        <w:t xml:space="preserve"> musimy zbadać czy zastosowane przez nas </w:t>
      </w:r>
      <w:r w:rsidRPr="0129304D" w:rsidR="45AFBC3F">
        <w:rPr>
          <w:rFonts w:ascii="Calibri" w:hAnsi="Calibri" w:eastAsia="Calibri" w:cs="Calibri"/>
          <w:noProof w:val="0"/>
          <w:sz w:val="22"/>
          <w:szCs w:val="22"/>
          <w:lang w:val="pl-PL"/>
        </w:rPr>
        <w:t>regresory</w:t>
      </w:r>
      <w:r w:rsidRPr="0129304D" w:rsidR="45AFBC3F">
        <w:rPr>
          <w:rFonts w:ascii="Calibri" w:hAnsi="Calibri" w:eastAsia="Calibri" w:cs="Calibri"/>
          <w:noProof w:val="0"/>
          <w:sz w:val="22"/>
          <w:szCs w:val="22"/>
          <w:lang w:val="pl-PL"/>
        </w:rPr>
        <w:t xml:space="preserve"> są egzogeniczne. Niespełnienie tego warunku skutkowałoby </w:t>
      </w:r>
      <w:r w:rsidRPr="0129304D" w:rsidR="45AFBC3F">
        <w:rPr>
          <w:rFonts w:ascii="Calibri" w:hAnsi="Calibri" w:eastAsia="Calibri" w:cs="Calibri"/>
          <w:noProof w:val="0"/>
          <w:sz w:val="22"/>
          <w:szCs w:val="22"/>
          <w:lang w:val="pl-PL"/>
        </w:rPr>
        <w:t>obciążonością</w:t>
      </w:r>
      <w:r w:rsidRPr="0129304D" w:rsidR="45AFBC3F">
        <w:rPr>
          <w:rFonts w:ascii="Calibri" w:hAnsi="Calibri" w:eastAsia="Calibri" w:cs="Calibri"/>
          <w:noProof w:val="0"/>
          <w:sz w:val="22"/>
          <w:szCs w:val="22"/>
          <w:lang w:val="pl-PL"/>
        </w:rPr>
        <w:t xml:space="preserve"> estymatora MNK</w:t>
      </w:r>
      <w:r w:rsidRPr="0129304D" w:rsidR="76462F2C">
        <w:rPr>
          <w:rFonts w:ascii="Calibri" w:hAnsi="Calibri" w:eastAsia="Calibri" w:cs="Calibri"/>
          <w:noProof w:val="0"/>
          <w:sz w:val="22"/>
          <w:szCs w:val="22"/>
          <w:lang w:val="pl-PL"/>
        </w:rPr>
        <w:t xml:space="preserve"> i brakiem jego zgodności. </w:t>
      </w:r>
      <w:r w:rsidRPr="0129304D" w:rsidR="74912D75">
        <w:rPr>
          <w:rFonts w:ascii="Calibri" w:hAnsi="Calibri" w:eastAsia="Calibri" w:cs="Calibri"/>
          <w:noProof w:val="0"/>
          <w:sz w:val="22"/>
          <w:szCs w:val="22"/>
          <w:lang w:val="pl-PL"/>
        </w:rPr>
        <w:t xml:space="preserve">Aby dokonać sprawdzenia wykonaliśmy obliczenia kowariancji pomiędzy kolejnymi zmiennymi objaśniającymi a składnikiem losowym z naszego modelu. </w:t>
      </w:r>
      <w:r w:rsidRPr="0129304D" w:rsidR="3494F8E8">
        <w:rPr>
          <w:rFonts w:ascii="Calibri" w:hAnsi="Calibri" w:eastAsia="Calibri" w:cs="Calibri"/>
          <w:noProof w:val="0"/>
          <w:sz w:val="22"/>
          <w:szCs w:val="22"/>
          <w:lang w:val="pl-PL"/>
        </w:rPr>
        <w:t xml:space="preserve">Powyższe wartości są kowariancjami między </w:t>
      </w:r>
      <w:r w:rsidRPr="0129304D" w:rsidR="1BC34A46">
        <w:rPr>
          <w:rFonts w:ascii="Calibri" w:hAnsi="Calibri" w:eastAsia="Calibri" w:cs="Calibri"/>
          <w:noProof w:val="0"/>
          <w:sz w:val="22"/>
          <w:szCs w:val="22"/>
          <w:lang w:val="pl-PL"/>
        </w:rPr>
        <w:t>składnikiem losowym</w:t>
      </w:r>
      <w:r w:rsidRPr="0129304D" w:rsidR="3494F8E8">
        <w:rPr>
          <w:rFonts w:ascii="Calibri" w:hAnsi="Calibri" w:eastAsia="Calibri" w:cs="Calibri"/>
          <w:noProof w:val="0"/>
          <w:sz w:val="22"/>
          <w:szCs w:val="22"/>
          <w:lang w:val="pl-PL"/>
        </w:rPr>
        <w:t xml:space="preserve"> a zmiennymi objaśniającymi</w:t>
      </w:r>
      <w:r w:rsidRPr="0129304D" w:rsidR="2CA5078D">
        <w:rPr>
          <w:rFonts w:ascii="Calibri" w:hAnsi="Calibri" w:eastAsia="Calibri" w:cs="Calibri"/>
          <w:noProof w:val="0"/>
          <w:sz w:val="22"/>
          <w:szCs w:val="22"/>
          <w:lang w:val="pl-PL"/>
        </w:rPr>
        <w:t xml:space="preserve"> i są bardzo bliskie zeru. </w:t>
      </w:r>
      <w:r w:rsidRPr="0129304D" w:rsidR="076E5D74">
        <w:rPr>
          <w:rFonts w:ascii="Calibri" w:hAnsi="Calibri" w:eastAsia="Calibri" w:cs="Calibri"/>
          <w:noProof w:val="0"/>
          <w:sz w:val="22"/>
          <w:szCs w:val="22"/>
          <w:lang w:val="pl-PL"/>
        </w:rPr>
        <w:t xml:space="preserve">Można to interpretować jako brak dowodów na </w:t>
      </w:r>
      <w:r w:rsidRPr="0129304D" w:rsidR="3CF509CF">
        <w:rPr>
          <w:rFonts w:ascii="Calibri" w:hAnsi="Calibri" w:eastAsia="Calibri" w:cs="Calibri"/>
          <w:noProof w:val="0"/>
          <w:sz w:val="22"/>
          <w:szCs w:val="22"/>
          <w:lang w:val="pl-PL"/>
        </w:rPr>
        <w:t>endogeniczność</w:t>
      </w:r>
      <w:r w:rsidRPr="0129304D" w:rsidR="076E5D74">
        <w:rPr>
          <w:rFonts w:ascii="Calibri" w:hAnsi="Calibri" w:eastAsia="Calibri" w:cs="Calibri"/>
          <w:noProof w:val="0"/>
          <w:sz w:val="22"/>
          <w:szCs w:val="22"/>
          <w:lang w:val="pl-PL"/>
        </w:rPr>
        <w:t xml:space="preserve"> zmiennych objaśniających w modelu, co sugeruje, że nasz model jest dobrze określony i nie ma problemu z endogenicznością.</w:t>
      </w:r>
      <w:r w:rsidRPr="0129304D" w:rsidR="33540BAC">
        <w:rPr>
          <w:rFonts w:ascii="Calibri" w:hAnsi="Calibri" w:eastAsia="Calibri" w:cs="Calibri"/>
          <w:noProof w:val="0"/>
          <w:sz w:val="22"/>
          <w:szCs w:val="22"/>
          <w:lang w:val="pl-PL"/>
        </w:rPr>
        <w:t xml:space="preserve"> </w:t>
      </w:r>
      <w:r w:rsidRPr="0129304D" w:rsidR="111824F3">
        <w:rPr>
          <w:rFonts w:ascii="Calibri" w:hAnsi="Calibri" w:eastAsia="Calibri" w:cs="Calibri"/>
          <w:noProof w:val="0"/>
          <w:sz w:val="22"/>
          <w:szCs w:val="22"/>
          <w:lang w:val="pl-PL"/>
        </w:rPr>
        <w:t xml:space="preserve">Zatem nie musimy korzystać z </w:t>
      </w:r>
      <w:r w:rsidRPr="0129304D" w:rsidR="6E3163B2">
        <w:rPr>
          <w:rFonts w:ascii="Calibri" w:hAnsi="Calibri" w:eastAsia="Calibri" w:cs="Calibri"/>
          <w:noProof w:val="0"/>
          <w:sz w:val="22"/>
          <w:szCs w:val="22"/>
          <w:lang w:val="pl-PL"/>
        </w:rPr>
        <w:t>alternatywne</w:t>
      </w:r>
      <w:r w:rsidRPr="0129304D" w:rsidR="6E3163B2">
        <w:rPr>
          <w:rFonts w:ascii="Calibri" w:hAnsi="Calibri" w:eastAsia="Calibri" w:cs="Calibri"/>
          <w:noProof w:val="0"/>
          <w:sz w:val="22"/>
          <w:szCs w:val="22"/>
          <w:lang w:val="pl-PL"/>
        </w:rPr>
        <w:t>j</w:t>
      </w:r>
      <w:r w:rsidRPr="0129304D" w:rsidR="111824F3">
        <w:rPr>
          <w:rFonts w:ascii="Calibri" w:hAnsi="Calibri" w:eastAsia="Calibri" w:cs="Calibri"/>
          <w:noProof w:val="0"/>
          <w:sz w:val="22"/>
          <w:szCs w:val="22"/>
          <w:lang w:val="pl-PL"/>
        </w:rPr>
        <w:t xml:space="preserve"> metody estymacji jaką jest Metoda Zmiennych Instrumentalnych, gdyż </w:t>
      </w:r>
      <w:r w:rsidRPr="0129304D" w:rsidR="51DEFD2C">
        <w:rPr>
          <w:rFonts w:ascii="Calibri" w:hAnsi="Calibri" w:eastAsia="Calibri" w:cs="Calibri"/>
          <w:noProof w:val="0"/>
          <w:sz w:val="22"/>
          <w:szCs w:val="22"/>
          <w:lang w:val="pl-PL"/>
        </w:rPr>
        <w:t>estymator MNK jest zgodny i nieobciążony.</w:t>
      </w:r>
    </w:p>
    <w:p w:rsidR="711F78E0" w:rsidP="0129304D" w:rsidRDefault="711F78E0" w14:paraId="4EBA17BF" w14:textId="48B64B0B">
      <w:pPr>
        <w:pStyle w:val="Normalny"/>
        <w:rPr>
          <w:rFonts w:ascii="Calibri" w:hAnsi="Calibri" w:eastAsia="Calibri" w:cs="Calibri"/>
          <w:noProof w:val="0"/>
          <w:sz w:val="22"/>
          <w:szCs w:val="22"/>
          <w:lang w:val="pl-PL"/>
        </w:rPr>
      </w:pPr>
    </w:p>
    <w:p w:rsidR="711F78E0" w:rsidP="0129304D" w:rsidRDefault="711F78E0" w14:paraId="014C2EF9" w14:textId="578A204B">
      <w:pPr>
        <w:pStyle w:val="Normalny"/>
        <w:rPr>
          <w:rFonts w:ascii="Calibri" w:hAnsi="Calibri" w:eastAsia="Calibri" w:cs="Calibri"/>
          <w:noProof w:val="0"/>
          <w:sz w:val="22"/>
          <w:szCs w:val="22"/>
          <w:lang w:val="pl-PL"/>
        </w:rPr>
      </w:pPr>
      <w:r w:rsidRPr="0129304D" w:rsidR="26BD2C3C">
        <w:rPr>
          <w:rFonts w:ascii="Calibri" w:hAnsi="Calibri" w:eastAsia="Calibri" w:cs="Calibri"/>
          <w:noProof w:val="0"/>
          <w:sz w:val="22"/>
          <w:szCs w:val="22"/>
          <w:lang w:val="pl-PL"/>
        </w:rPr>
        <w:t xml:space="preserve">1* </w:t>
      </w:r>
      <w:r w:rsidRPr="0129304D" w:rsidR="6B4475AF">
        <w:rPr>
          <w:rFonts w:ascii="Calibri" w:hAnsi="Calibri" w:eastAsia="Calibri" w:cs="Calibri"/>
          <w:noProof w:val="0"/>
          <w:sz w:val="22"/>
          <w:szCs w:val="22"/>
          <w:lang w:val="pl-PL"/>
        </w:rPr>
        <w:t>Model oszacowany MZI</w:t>
      </w:r>
    </w:p>
    <w:p w:rsidR="711F78E0" w:rsidP="711F78E0" w:rsidRDefault="711F78E0" w14:paraId="2EA13696" w14:textId="4E862E88">
      <w:pPr>
        <w:pStyle w:val="Normalny"/>
      </w:pPr>
    </w:p>
    <w:p w:rsidR="711F78E0" w:rsidP="711F78E0" w:rsidRDefault="711F78E0" w14:paraId="7C492FDF" w14:textId="47FC0E7F">
      <w:pPr>
        <w:pStyle w:val="Normalny"/>
      </w:pPr>
      <w:r w:rsidR="07828E0F">
        <w:drawing>
          <wp:inline wp14:editId="0822D753" wp14:anchorId="6861661D">
            <wp:extent cx="4572000" cy="638175"/>
            <wp:effectExtent l="0" t="0" r="0" b="0"/>
            <wp:docPr id="1197511237" name="" title=""/>
            <wp:cNvGraphicFramePr>
              <a:graphicFrameLocks noChangeAspect="1"/>
            </wp:cNvGraphicFramePr>
            <a:graphic>
              <a:graphicData uri="http://schemas.openxmlformats.org/drawingml/2006/picture">
                <pic:pic>
                  <pic:nvPicPr>
                    <pic:cNvPr id="0" name=""/>
                    <pic:cNvPicPr/>
                  </pic:nvPicPr>
                  <pic:blipFill>
                    <a:blip r:embed="R464b87ffe4d04781">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566F6A3B" w:rsidP="711F78E0" w:rsidRDefault="566F6A3B" w14:paraId="34AF03F0" w14:textId="0A71F1BA">
      <w:pPr>
        <w:pStyle w:val="Normalny"/>
      </w:pPr>
      <w:r w:rsidR="566F6A3B">
        <w:rPr/>
        <w:t>2. Ocena współliniowości zmiennych objaśniających</w:t>
      </w:r>
    </w:p>
    <w:p w:rsidR="3CDFCC05" w:rsidP="711F78E0" w:rsidRDefault="3CDFCC05" w14:paraId="206C735F" w14:textId="474A5F47">
      <w:pPr>
        <w:pStyle w:val="Normalny"/>
      </w:pPr>
      <w:r w:rsidR="3CDFCC05">
        <w:drawing>
          <wp:inline wp14:editId="749AFD8C" wp14:anchorId="2213BBB6">
            <wp:extent cx="4572000" cy="695325"/>
            <wp:effectExtent l="0" t="0" r="0" b="0"/>
            <wp:docPr id="547995501" name="" title=""/>
            <wp:cNvGraphicFramePr>
              <a:graphicFrameLocks noChangeAspect="1"/>
            </wp:cNvGraphicFramePr>
            <a:graphic>
              <a:graphicData uri="http://schemas.openxmlformats.org/drawingml/2006/picture">
                <pic:pic>
                  <pic:nvPicPr>
                    <pic:cNvPr id="0" name=""/>
                    <pic:cNvPicPr/>
                  </pic:nvPicPr>
                  <pic:blipFill>
                    <a:blip r:embed="R2f80412a53d548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95325"/>
                    </a:xfrm>
                    <a:prstGeom prst="rect">
                      <a:avLst/>
                    </a:prstGeom>
                  </pic:spPr>
                </pic:pic>
              </a:graphicData>
            </a:graphic>
          </wp:inline>
        </w:drawing>
      </w:r>
    </w:p>
    <w:p w:rsidR="3A6F8C76" w:rsidP="0129304D" w:rsidRDefault="3A6F8C76" w14:paraId="6893B2DD" w14:textId="7B7D1FC5">
      <w:pPr>
        <w:pStyle w:val="Normalny"/>
        <w:rPr>
          <w:rFonts w:ascii="Calibri" w:hAnsi="Calibri" w:eastAsia="Calibri" w:cs="Calibri"/>
          <w:noProof w:val="0"/>
          <w:sz w:val="22"/>
          <w:szCs w:val="22"/>
          <w:lang w:val="pl-PL"/>
        </w:rPr>
      </w:pPr>
      <w:r w:rsidRPr="0129304D" w:rsidR="3A6F8C76">
        <w:rPr>
          <w:rFonts w:ascii="Calibri" w:hAnsi="Calibri" w:eastAsia="Calibri" w:cs="Calibri"/>
          <w:noProof w:val="0"/>
          <w:sz w:val="22"/>
          <w:szCs w:val="22"/>
          <w:lang w:val="pl-PL"/>
        </w:rPr>
        <w:t xml:space="preserve">Wartości </w:t>
      </w:r>
      <w:r w:rsidRPr="0129304D" w:rsidR="041EB2E3">
        <w:rPr>
          <w:rFonts w:ascii="Calibri" w:hAnsi="Calibri" w:eastAsia="Calibri" w:cs="Calibri"/>
          <w:noProof w:val="0"/>
          <w:sz w:val="22"/>
          <w:szCs w:val="22"/>
          <w:lang w:val="pl-PL"/>
        </w:rPr>
        <w:t>Variance</w:t>
      </w:r>
      <w:r w:rsidRPr="0129304D" w:rsidR="041EB2E3">
        <w:rPr>
          <w:rFonts w:ascii="Calibri" w:hAnsi="Calibri" w:eastAsia="Calibri" w:cs="Calibri"/>
          <w:noProof w:val="0"/>
          <w:sz w:val="22"/>
          <w:szCs w:val="22"/>
          <w:lang w:val="pl-PL"/>
        </w:rPr>
        <w:t xml:space="preserve"> </w:t>
      </w:r>
      <w:r w:rsidRPr="0129304D" w:rsidR="041EB2E3">
        <w:rPr>
          <w:rFonts w:ascii="Calibri" w:hAnsi="Calibri" w:eastAsia="Calibri" w:cs="Calibri"/>
          <w:noProof w:val="0"/>
          <w:sz w:val="22"/>
          <w:szCs w:val="22"/>
          <w:lang w:val="pl-PL"/>
        </w:rPr>
        <w:t>Inflation</w:t>
      </w:r>
      <w:r w:rsidRPr="0129304D" w:rsidR="041EB2E3">
        <w:rPr>
          <w:rFonts w:ascii="Calibri" w:hAnsi="Calibri" w:eastAsia="Calibri" w:cs="Calibri"/>
          <w:noProof w:val="0"/>
          <w:sz w:val="22"/>
          <w:szCs w:val="22"/>
          <w:lang w:val="pl-PL"/>
        </w:rPr>
        <w:t xml:space="preserve"> </w:t>
      </w:r>
      <w:r w:rsidRPr="0129304D" w:rsidR="041EB2E3">
        <w:rPr>
          <w:rFonts w:ascii="Calibri" w:hAnsi="Calibri" w:eastAsia="Calibri" w:cs="Calibri"/>
          <w:noProof w:val="0"/>
          <w:sz w:val="22"/>
          <w:szCs w:val="22"/>
          <w:lang w:val="pl-PL"/>
        </w:rPr>
        <w:t xml:space="preserve">Factor </w:t>
      </w:r>
      <w:r w:rsidRPr="0129304D" w:rsidR="28C0CC62">
        <w:rPr>
          <w:rFonts w:ascii="Calibri" w:hAnsi="Calibri" w:eastAsia="Calibri" w:cs="Calibri"/>
          <w:noProof w:val="0"/>
          <w:sz w:val="22"/>
          <w:szCs w:val="22"/>
          <w:lang w:val="pl-PL"/>
        </w:rPr>
        <w:t>(</w:t>
      </w:r>
      <w:r w:rsidRPr="0129304D" w:rsidR="3A6F8C76">
        <w:rPr>
          <w:rFonts w:ascii="Calibri" w:hAnsi="Calibri" w:eastAsia="Calibri" w:cs="Calibri"/>
          <w:noProof w:val="0"/>
          <w:sz w:val="22"/>
          <w:szCs w:val="22"/>
          <w:lang w:val="pl-PL"/>
        </w:rPr>
        <w:t>VIF</w:t>
      </w:r>
      <w:r w:rsidRPr="0129304D" w:rsidR="6144EAB7">
        <w:rPr>
          <w:rFonts w:ascii="Calibri" w:hAnsi="Calibri" w:eastAsia="Calibri" w:cs="Calibri"/>
          <w:noProof w:val="0"/>
          <w:sz w:val="22"/>
          <w:szCs w:val="22"/>
          <w:lang w:val="pl-PL"/>
        </w:rPr>
        <w:t>)</w:t>
      </w:r>
      <w:r w:rsidRPr="0129304D" w:rsidR="3A6F8C76">
        <w:rPr>
          <w:rFonts w:ascii="Calibri" w:hAnsi="Calibri" w:eastAsia="Calibri" w:cs="Calibri"/>
          <w:noProof w:val="0"/>
          <w:sz w:val="22"/>
          <w:szCs w:val="22"/>
          <w:lang w:val="pl-PL"/>
        </w:rPr>
        <w:t xml:space="preserve"> powyżej 5 lub 10 są często uznawane za oznakę istotnej współliniowości</w:t>
      </w:r>
      <w:r w:rsidRPr="0129304D" w:rsidR="373524B7">
        <w:rPr>
          <w:rFonts w:ascii="Calibri" w:hAnsi="Calibri" w:eastAsia="Calibri" w:cs="Calibri"/>
          <w:noProof w:val="0"/>
          <w:sz w:val="22"/>
          <w:szCs w:val="22"/>
          <w:lang w:val="pl-PL"/>
        </w:rPr>
        <w:t xml:space="preserve"> pomiędzy </w:t>
      </w:r>
      <w:r w:rsidRPr="0129304D" w:rsidR="373524B7">
        <w:rPr>
          <w:rFonts w:ascii="Calibri" w:hAnsi="Calibri" w:eastAsia="Calibri" w:cs="Calibri"/>
          <w:noProof w:val="0"/>
          <w:sz w:val="22"/>
          <w:szCs w:val="22"/>
          <w:lang w:val="pl-PL"/>
        </w:rPr>
        <w:t>regresorami</w:t>
      </w:r>
      <w:r w:rsidRPr="0129304D" w:rsidR="3A6F8C76">
        <w:rPr>
          <w:rFonts w:ascii="Calibri" w:hAnsi="Calibri" w:eastAsia="Calibri" w:cs="Calibri"/>
          <w:noProof w:val="0"/>
          <w:sz w:val="22"/>
          <w:szCs w:val="22"/>
          <w:lang w:val="pl-PL"/>
        </w:rPr>
        <w:t xml:space="preserve">. W przypadku naszego modelu, najwyższa wartość VIF to 1.798486 (dla zmiennej </w:t>
      </w:r>
      <w:r w:rsidRPr="0129304D" w:rsidR="3A6F8C76">
        <w:rPr>
          <w:rFonts w:ascii="Calibri" w:hAnsi="Calibri" w:eastAsia="Calibri" w:cs="Calibri"/>
          <w:noProof w:val="0"/>
          <w:sz w:val="22"/>
          <w:szCs w:val="22"/>
          <w:lang w:val="pl-PL"/>
        </w:rPr>
        <w:t>EducExpen</w:t>
      </w:r>
      <w:r w:rsidRPr="0129304D" w:rsidR="3A6F8C76">
        <w:rPr>
          <w:rFonts w:ascii="Calibri" w:hAnsi="Calibri" w:eastAsia="Calibri" w:cs="Calibri"/>
          <w:noProof w:val="0"/>
          <w:sz w:val="22"/>
          <w:szCs w:val="22"/>
          <w:lang w:val="pl-PL"/>
        </w:rPr>
        <w:t xml:space="preserve">), co jest znacznie poniżej tych progów. Zatem na podstawie wyników testu VIF, nie wystarczających dowodów na </w:t>
      </w:r>
      <w:r w:rsidRPr="0129304D" w:rsidR="3A6F8C76">
        <w:rPr>
          <w:rFonts w:ascii="Calibri" w:hAnsi="Calibri" w:eastAsia="Calibri" w:cs="Calibri"/>
          <w:noProof w:val="0"/>
          <w:sz w:val="22"/>
          <w:szCs w:val="22"/>
          <w:lang w:val="pl-PL"/>
        </w:rPr>
        <w:t>współliniowość</w:t>
      </w:r>
      <w:r w:rsidRPr="0129304D" w:rsidR="3A6F8C76">
        <w:rPr>
          <w:rFonts w:ascii="Calibri" w:hAnsi="Calibri" w:eastAsia="Calibri" w:cs="Calibri"/>
          <w:noProof w:val="0"/>
          <w:sz w:val="22"/>
          <w:szCs w:val="22"/>
          <w:lang w:val="pl-PL"/>
        </w:rPr>
        <w:t xml:space="preserve"> w naszym modelu.</w:t>
      </w:r>
      <w:r w:rsidRPr="0129304D" w:rsidR="3B3F7814">
        <w:rPr>
          <w:rFonts w:ascii="Calibri" w:hAnsi="Calibri" w:eastAsia="Calibri" w:cs="Calibri"/>
          <w:noProof w:val="0"/>
          <w:sz w:val="22"/>
          <w:szCs w:val="22"/>
          <w:lang w:val="pl-PL"/>
        </w:rPr>
        <w:t xml:space="preserve"> Zatem możemy stwierdzić, nasz model spełnia będzie najefektywniejszy ze względu na brak współliniowości</w:t>
      </w:r>
      <w:r w:rsidRPr="0129304D" w:rsidR="61757727">
        <w:rPr>
          <w:rFonts w:ascii="Calibri" w:hAnsi="Calibri" w:eastAsia="Calibri" w:cs="Calibri"/>
          <w:noProof w:val="0"/>
          <w:sz w:val="22"/>
          <w:szCs w:val="22"/>
          <w:lang w:val="pl-PL"/>
        </w:rPr>
        <w:t xml:space="preserve"> i niekonieczne jest korzystanie z metody regresji grzbietowej. Estymator KMNK ma korzystniejsze wartości.</w:t>
      </w:r>
    </w:p>
    <w:p w:rsidR="711F78E0" w:rsidP="711F78E0" w:rsidRDefault="711F78E0" w14:paraId="59432DBA" w14:textId="6882F11D">
      <w:pPr>
        <w:pStyle w:val="Normalny"/>
        <w:ind w:left="0"/>
      </w:pPr>
      <w:r w:rsidR="711F78E0">
        <w:rPr/>
        <w:t xml:space="preserve">3. </w:t>
      </w:r>
      <w:r w:rsidR="3D977272">
        <w:rPr/>
        <w:t xml:space="preserve">Ocena </w:t>
      </w:r>
      <w:r w:rsidR="3D977272">
        <w:rPr/>
        <w:t>łącznej istotności modelu</w:t>
      </w:r>
      <w:r w:rsidR="0885524A">
        <w:rPr/>
        <w:t>, dopasowania do danych empirycznych i</w:t>
      </w:r>
      <w:r w:rsidR="3D977272">
        <w:rPr/>
        <w:t xml:space="preserve"> </w:t>
      </w:r>
      <w:r w:rsidR="3D977272">
        <w:rPr/>
        <w:t>istotności poszczególnych zmiennych obj</w:t>
      </w:r>
      <w:r w:rsidR="180C9A58">
        <w:rPr/>
        <w:t>aśniających</w:t>
      </w:r>
    </w:p>
    <w:p w:rsidR="021EBBE6" w:rsidP="711F78E0" w:rsidRDefault="021EBBE6" w14:paraId="2DB89CEE" w14:textId="37783D4A">
      <w:pPr>
        <w:pStyle w:val="Normalny"/>
        <w:ind w:left="0"/>
      </w:pPr>
      <w:r w:rsidR="021EBBE6">
        <w:drawing>
          <wp:inline wp14:editId="3A2642B2" wp14:anchorId="4BEF47AA">
            <wp:extent cx="4572000" cy="2447925"/>
            <wp:effectExtent l="0" t="0" r="0" b="0"/>
            <wp:docPr id="490098001" name="" title="Inserting image..."/>
            <wp:cNvGraphicFramePr>
              <a:graphicFrameLocks noChangeAspect="1"/>
            </wp:cNvGraphicFramePr>
            <a:graphic>
              <a:graphicData uri="http://schemas.openxmlformats.org/drawingml/2006/picture">
                <pic:pic>
                  <pic:nvPicPr>
                    <pic:cNvPr id="0" name=""/>
                    <pic:cNvPicPr/>
                  </pic:nvPicPr>
                  <pic:blipFill>
                    <a:blip r:embed="Ra5d48d5c598a4e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47925"/>
                    </a:xfrm>
                    <a:prstGeom prst="rect">
                      <a:avLst/>
                    </a:prstGeom>
                  </pic:spPr>
                </pic:pic>
              </a:graphicData>
            </a:graphic>
          </wp:inline>
        </w:drawing>
      </w:r>
    </w:p>
    <w:p w:rsidR="7D203209" w:rsidP="0129304D" w:rsidRDefault="7D203209" w14:paraId="2F15070A" w14:textId="6565FC18">
      <w:pPr>
        <w:rPr>
          <w:rFonts w:ascii="Calibri" w:hAnsi="Calibri" w:eastAsia="Calibri" w:cs="Calibri"/>
          <w:b w:val="0"/>
          <w:bCs w:val="0"/>
          <w:noProof w:val="0"/>
          <w:sz w:val="22"/>
          <w:szCs w:val="22"/>
          <w:lang w:val="pl-PL"/>
        </w:rPr>
      </w:pPr>
      <w:r w:rsidRPr="0129304D" w:rsidR="7D203209">
        <w:rPr>
          <w:rFonts w:ascii="Calibri" w:hAnsi="Calibri" w:eastAsia="Calibri" w:cs="Calibri"/>
          <w:b w:val="0"/>
          <w:bCs w:val="0"/>
          <w:noProof w:val="0"/>
          <w:sz w:val="22"/>
          <w:szCs w:val="22"/>
          <w:lang w:val="pl-PL"/>
        </w:rPr>
        <w:t>Istotność zmiennych objaśniających</w:t>
      </w:r>
      <w:r w:rsidRPr="0129304D" w:rsidR="7D203209">
        <w:rPr>
          <w:rFonts w:ascii="Calibri" w:hAnsi="Calibri" w:eastAsia="Calibri" w:cs="Calibri"/>
          <w:b w:val="0"/>
          <w:bCs w:val="0"/>
          <w:noProof w:val="0"/>
          <w:sz w:val="22"/>
          <w:szCs w:val="22"/>
          <w:lang w:val="pl-PL"/>
        </w:rPr>
        <w:t>:</w:t>
      </w:r>
    </w:p>
    <w:p w:rsidR="7D203209" w:rsidP="0129304D" w:rsidRDefault="7D203209" w14:paraId="2728205E" w14:textId="0EF48109">
      <w:pPr>
        <w:pStyle w:val="Akapitzlist"/>
        <w:numPr>
          <w:ilvl w:val="0"/>
          <w:numId w:val="19"/>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 xml:space="preserve">Zmienna </w:t>
      </w:r>
      <w:r w:rsidRPr="0129304D" w:rsidR="7D203209">
        <w:rPr>
          <w:rFonts w:ascii="Calibri" w:hAnsi="Calibri" w:eastAsia="Calibri" w:cs="Calibri"/>
          <w:noProof w:val="0"/>
          <w:sz w:val="22"/>
          <w:szCs w:val="22"/>
          <w:lang w:val="pl-PL"/>
        </w:rPr>
        <w:t>InfRate</w:t>
      </w:r>
      <w:r w:rsidRPr="0129304D" w:rsidR="7D203209">
        <w:rPr>
          <w:rFonts w:ascii="Calibri" w:hAnsi="Calibri" w:eastAsia="Calibri" w:cs="Calibri"/>
          <w:noProof w:val="0"/>
          <w:sz w:val="22"/>
          <w:szCs w:val="22"/>
          <w:lang w:val="pl-PL"/>
        </w:rPr>
        <w:t xml:space="preserve"> nie jest istotna na poziomie istotności 0.05 (p-wartość = 0.05792), ale jest bliska do tego. Oznacza to, że jest pewne powiązanie między wskaźnikiem inflacji a średnią stawką godzinową, ale </w:t>
      </w:r>
      <w:r w:rsidRPr="0129304D" w:rsidR="33C467D1">
        <w:rPr>
          <w:rFonts w:ascii="Calibri" w:hAnsi="Calibri" w:eastAsia="Calibri" w:cs="Calibri"/>
          <w:noProof w:val="0"/>
          <w:sz w:val="22"/>
          <w:szCs w:val="22"/>
          <w:lang w:val="pl-PL"/>
        </w:rPr>
        <w:t>jest ono słabe</w:t>
      </w:r>
      <w:r w:rsidRPr="0129304D" w:rsidR="7D203209">
        <w:rPr>
          <w:rFonts w:ascii="Calibri" w:hAnsi="Calibri" w:eastAsia="Calibri" w:cs="Calibri"/>
          <w:noProof w:val="0"/>
          <w:sz w:val="22"/>
          <w:szCs w:val="22"/>
          <w:lang w:val="pl-PL"/>
        </w:rPr>
        <w:t>.</w:t>
      </w:r>
    </w:p>
    <w:p w:rsidR="7D203209" w:rsidP="0129304D" w:rsidRDefault="7D203209" w14:paraId="09508A02" w14:textId="1604760A">
      <w:pPr>
        <w:pStyle w:val="Akapitzlist"/>
        <w:numPr>
          <w:ilvl w:val="0"/>
          <w:numId w:val="19"/>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Zmienna School jest statystycznie istotna na poziomie istotności 0.05 (p-wartość = 0.01807), co sugeruje, że poziom</w:t>
      </w:r>
      <w:r w:rsidRPr="0129304D" w:rsidR="00E44B24">
        <w:rPr>
          <w:rFonts w:ascii="Calibri" w:hAnsi="Calibri" w:eastAsia="Calibri" w:cs="Calibri"/>
          <w:noProof w:val="0"/>
          <w:sz w:val="22"/>
          <w:szCs w:val="22"/>
          <w:lang w:val="pl-PL"/>
        </w:rPr>
        <w:t xml:space="preserve"> odsetka społeczeństwa posiadającego wyższe wyksztalcenie m</w:t>
      </w:r>
      <w:r w:rsidRPr="0129304D" w:rsidR="7D203209">
        <w:rPr>
          <w:rFonts w:ascii="Calibri" w:hAnsi="Calibri" w:eastAsia="Calibri" w:cs="Calibri"/>
          <w:noProof w:val="0"/>
          <w:sz w:val="22"/>
          <w:szCs w:val="22"/>
          <w:lang w:val="pl-PL"/>
        </w:rPr>
        <w:t>a istotny</w:t>
      </w:r>
      <w:r w:rsidRPr="0129304D" w:rsidR="09F2DE0B">
        <w:rPr>
          <w:rFonts w:ascii="Calibri" w:hAnsi="Calibri" w:eastAsia="Calibri" w:cs="Calibri"/>
          <w:noProof w:val="0"/>
          <w:sz w:val="22"/>
          <w:szCs w:val="22"/>
          <w:lang w:val="pl-PL"/>
        </w:rPr>
        <w:t xml:space="preserve"> statystycznie</w:t>
      </w:r>
      <w:r w:rsidRPr="0129304D" w:rsidR="7D203209">
        <w:rPr>
          <w:rFonts w:ascii="Calibri" w:hAnsi="Calibri" w:eastAsia="Calibri" w:cs="Calibri"/>
          <w:noProof w:val="0"/>
          <w:sz w:val="22"/>
          <w:szCs w:val="22"/>
          <w:lang w:val="pl-PL"/>
        </w:rPr>
        <w:t xml:space="preserve"> wpływ na średnią stawkę godzinową.</w:t>
      </w:r>
    </w:p>
    <w:p w:rsidR="7D203209" w:rsidP="0129304D" w:rsidRDefault="7D203209" w14:paraId="1EACA0D5" w14:textId="028F1666">
      <w:pPr>
        <w:pStyle w:val="Akapitzlist"/>
        <w:numPr>
          <w:ilvl w:val="0"/>
          <w:numId w:val="19"/>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 xml:space="preserve">Zmienna </w:t>
      </w:r>
      <w:r w:rsidRPr="0129304D" w:rsidR="7D203209">
        <w:rPr>
          <w:rFonts w:ascii="Calibri" w:hAnsi="Calibri" w:eastAsia="Calibri" w:cs="Calibri"/>
          <w:noProof w:val="0"/>
          <w:sz w:val="22"/>
          <w:szCs w:val="22"/>
          <w:lang w:val="pl-PL"/>
        </w:rPr>
        <w:t>EducExpen</w:t>
      </w:r>
      <w:r w:rsidRPr="0129304D" w:rsidR="7D203209">
        <w:rPr>
          <w:rFonts w:ascii="Calibri" w:hAnsi="Calibri" w:eastAsia="Calibri" w:cs="Calibri"/>
          <w:noProof w:val="0"/>
          <w:sz w:val="22"/>
          <w:szCs w:val="22"/>
          <w:lang w:val="pl-PL"/>
        </w:rPr>
        <w:t xml:space="preserve"> jest statystycznie istotna na poziomie istotności 0.05 (p-wartość = 0.03901), co wskazuje, że wydatki rządowe na cele edukacyjne mają istotny wpływ na średnią stawkę godzinową.</w:t>
      </w:r>
    </w:p>
    <w:p w:rsidR="7D203209" w:rsidP="0129304D" w:rsidRDefault="7D203209" w14:paraId="564EA09E" w14:textId="19EA59BB">
      <w:pPr>
        <w:pStyle w:val="Akapitzlist"/>
        <w:numPr>
          <w:ilvl w:val="0"/>
          <w:numId w:val="19"/>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 xml:space="preserve">Zmienna </w:t>
      </w:r>
      <w:r w:rsidRPr="0129304D" w:rsidR="7D203209">
        <w:rPr>
          <w:rFonts w:ascii="Calibri" w:hAnsi="Calibri" w:eastAsia="Calibri" w:cs="Calibri"/>
          <w:noProof w:val="0"/>
          <w:sz w:val="22"/>
          <w:szCs w:val="22"/>
          <w:lang w:val="pl-PL"/>
        </w:rPr>
        <w:t>Unempl</w:t>
      </w:r>
      <w:r w:rsidRPr="0129304D" w:rsidR="7D203209">
        <w:rPr>
          <w:rFonts w:ascii="Calibri" w:hAnsi="Calibri" w:eastAsia="Calibri" w:cs="Calibri"/>
          <w:noProof w:val="0"/>
          <w:sz w:val="22"/>
          <w:szCs w:val="22"/>
          <w:lang w:val="pl-PL"/>
        </w:rPr>
        <w:t xml:space="preserve"> jest statystycznie istotna na poziomie istotności 0.0</w:t>
      </w:r>
      <w:r w:rsidRPr="0129304D" w:rsidR="42B55EFA">
        <w:rPr>
          <w:rFonts w:ascii="Calibri" w:hAnsi="Calibri" w:eastAsia="Calibri" w:cs="Calibri"/>
          <w:noProof w:val="0"/>
          <w:sz w:val="22"/>
          <w:szCs w:val="22"/>
          <w:lang w:val="pl-PL"/>
        </w:rPr>
        <w:t>5</w:t>
      </w:r>
      <w:r w:rsidRPr="0129304D" w:rsidR="7D203209">
        <w:rPr>
          <w:rFonts w:ascii="Calibri" w:hAnsi="Calibri" w:eastAsia="Calibri" w:cs="Calibri"/>
          <w:noProof w:val="0"/>
          <w:sz w:val="22"/>
          <w:szCs w:val="22"/>
          <w:lang w:val="pl-PL"/>
        </w:rPr>
        <w:t xml:space="preserve"> (p-wartość = 0.00419), co sugeruje, że stopa bezrobocia ma istotny wpływ na średnią stawkę godzinową.</w:t>
      </w:r>
    </w:p>
    <w:p w:rsidR="7D203209" w:rsidP="0129304D" w:rsidRDefault="7D203209" w14:paraId="1550D8AD" w14:textId="6D15E70A">
      <w:pPr>
        <w:pStyle w:val="Akapitzlist"/>
        <w:numPr>
          <w:ilvl w:val="0"/>
          <w:numId w:val="19"/>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 xml:space="preserve">Zmienna </w:t>
      </w:r>
      <w:r w:rsidRPr="0129304D" w:rsidR="7D203209">
        <w:rPr>
          <w:rFonts w:ascii="Calibri" w:hAnsi="Calibri" w:eastAsia="Calibri" w:cs="Calibri"/>
          <w:noProof w:val="0"/>
          <w:sz w:val="22"/>
          <w:szCs w:val="22"/>
          <w:lang w:val="pl-PL"/>
        </w:rPr>
        <w:t>log(</w:t>
      </w:r>
      <w:r w:rsidRPr="0129304D" w:rsidR="7D203209">
        <w:rPr>
          <w:rFonts w:ascii="Calibri" w:hAnsi="Calibri" w:eastAsia="Calibri" w:cs="Calibri"/>
          <w:noProof w:val="0"/>
          <w:sz w:val="22"/>
          <w:szCs w:val="22"/>
          <w:lang w:val="pl-PL"/>
        </w:rPr>
        <w:t>GDPoecd</w:t>
      </w:r>
      <w:r w:rsidRPr="0129304D" w:rsidR="7D203209">
        <w:rPr>
          <w:rFonts w:ascii="Calibri" w:hAnsi="Calibri" w:eastAsia="Calibri" w:cs="Calibri"/>
          <w:noProof w:val="0"/>
          <w:sz w:val="22"/>
          <w:szCs w:val="22"/>
          <w:lang w:val="pl-PL"/>
        </w:rPr>
        <w:t>) jest wysoce istotna statystycznie (p-wartość &lt; 2e-16), co wskazuje na silny związek między logarytmem PKB na mieszkańca a średnią stawką godzinową.</w:t>
      </w:r>
    </w:p>
    <w:p w:rsidR="7D203209" w:rsidP="0129304D" w:rsidRDefault="7D203209" w14:paraId="0FFD27DC" w14:textId="2077EA39">
      <w:pPr>
        <w:rPr>
          <w:rFonts w:ascii="Calibri" w:hAnsi="Calibri" w:eastAsia="Calibri" w:cs="Calibri"/>
          <w:b w:val="0"/>
          <w:bCs w:val="0"/>
          <w:noProof w:val="0"/>
          <w:sz w:val="22"/>
          <w:szCs w:val="22"/>
          <w:lang w:val="pl-PL"/>
        </w:rPr>
      </w:pPr>
      <w:r w:rsidRPr="0129304D" w:rsidR="7D203209">
        <w:rPr>
          <w:rFonts w:ascii="Calibri" w:hAnsi="Calibri" w:eastAsia="Calibri" w:cs="Calibri"/>
          <w:b w:val="0"/>
          <w:bCs w:val="0"/>
          <w:noProof w:val="0"/>
          <w:sz w:val="22"/>
          <w:szCs w:val="22"/>
          <w:lang w:val="pl-PL"/>
        </w:rPr>
        <w:t>Dopasowanie do danych empirycznych</w:t>
      </w:r>
      <w:r w:rsidRPr="0129304D" w:rsidR="7D203209">
        <w:rPr>
          <w:rFonts w:ascii="Calibri" w:hAnsi="Calibri" w:eastAsia="Calibri" w:cs="Calibri"/>
          <w:b w:val="0"/>
          <w:bCs w:val="0"/>
          <w:noProof w:val="0"/>
          <w:sz w:val="22"/>
          <w:szCs w:val="22"/>
          <w:lang w:val="pl-PL"/>
        </w:rPr>
        <w:t>:</w:t>
      </w:r>
    </w:p>
    <w:p w:rsidR="7D203209" w:rsidP="0129304D" w:rsidRDefault="7D203209" w14:paraId="217147CD" w14:textId="080445D8">
      <w:pPr>
        <w:pStyle w:val="Akapitzlist"/>
        <w:numPr>
          <w:ilvl w:val="0"/>
          <w:numId w:val="20"/>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Wskaźnik R-kwadr</w:t>
      </w:r>
      <w:r w:rsidRPr="0129304D" w:rsidR="7D203209">
        <w:rPr>
          <w:rFonts w:ascii="Calibri" w:hAnsi="Calibri" w:eastAsia="Calibri" w:cs="Calibri"/>
          <w:noProof w:val="0"/>
          <w:sz w:val="22"/>
          <w:szCs w:val="22"/>
          <w:lang w:val="pl-PL"/>
        </w:rPr>
        <w:t xml:space="preserve">at wynosi 0.9345, </w:t>
      </w:r>
      <w:r w:rsidRPr="0129304D" w:rsidR="7D203209">
        <w:rPr>
          <w:rFonts w:ascii="Calibri" w:hAnsi="Calibri" w:eastAsia="Calibri" w:cs="Calibri"/>
          <w:noProof w:val="0"/>
          <w:sz w:val="22"/>
          <w:szCs w:val="22"/>
          <w:lang w:val="pl-PL"/>
        </w:rPr>
        <w:t>co oz</w:t>
      </w:r>
      <w:r w:rsidRPr="0129304D" w:rsidR="7D203209">
        <w:rPr>
          <w:rFonts w:ascii="Calibri" w:hAnsi="Calibri" w:eastAsia="Calibri" w:cs="Calibri"/>
          <w:noProof w:val="0"/>
          <w:sz w:val="22"/>
          <w:szCs w:val="22"/>
          <w:lang w:val="pl-PL"/>
        </w:rPr>
        <w:t>n</w:t>
      </w:r>
      <w:r w:rsidRPr="0129304D" w:rsidR="7D203209">
        <w:rPr>
          <w:rFonts w:ascii="Calibri" w:hAnsi="Calibri" w:eastAsia="Calibri" w:cs="Calibri"/>
          <w:noProof w:val="0"/>
          <w:sz w:val="22"/>
          <w:szCs w:val="22"/>
          <w:lang w:val="pl-PL"/>
        </w:rPr>
        <w:t>acz</w:t>
      </w:r>
      <w:r w:rsidRPr="0129304D" w:rsidR="7D203209">
        <w:rPr>
          <w:rFonts w:ascii="Calibri" w:hAnsi="Calibri" w:eastAsia="Calibri" w:cs="Calibri"/>
          <w:noProof w:val="0"/>
          <w:sz w:val="22"/>
          <w:szCs w:val="22"/>
          <w:lang w:val="pl-PL"/>
        </w:rPr>
        <w:t>a, że model wyjaśnia 93,45% wariancji zmiennej zależnej. Jest to bardzo wysoka wartość, co sugeruje, że model dobrze pasuje do danych.</w:t>
      </w:r>
    </w:p>
    <w:p w:rsidR="7D203209" w:rsidP="0129304D" w:rsidRDefault="7D203209" w14:paraId="029FCAFF" w14:textId="53C61560">
      <w:pPr>
        <w:pStyle w:val="Akapitzlist"/>
        <w:numPr>
          <w:ilvl w:val="0"/>
          <w:numId w:val="20"/>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 xml:space="preserve">Dostosowany R-kwadrat (który uwzględnia liczbę </w:t>
      </w:r>
      <w:r w:rsidRPr="0129304D" w:rsidR="6C152E85">
        <w:rPr>
          <w:rFonts w:ascii="Calibri" w:hAnsi="Calibri" w:eastAsia="Calibri" w:cs="Calibri"/>
          <w:noProof w:val="0"/>
          <w:sz w:val="22"/>
          <w:szCs w:val="22"/>
          <w:lang w:val="pl-PL"/>
        </w:rPr>
        <w:t>regresorów</w:t>
      </w:r>
      <w:r w:rsidRPr="0129304D" w:rsidR="7D203209">
        <w:rPr>
          <w:rFonts w:ascii="Calibri" w:hAnsi="Calibri" w:eastAsia="Calibri" w:cs="Calibri"/>
          <w:noProof w:val="0"/>
          <w:sz w:val="22"/>
          <w:szCs w:val="22"/>
          <w:lang w:val="pl-PL"/>
        </w:rPr>
        <w:t xml:space="preserve"> modelu) wynosi 0.9254, co nadal jest wysoką wartością, co wskazuje na dobre dopasowanie modelu.</w:t>
      </w:r>
    </w:p>
    <w:p w:rsidR="7D203209" w:rsidP="0129304D" w:rsidRDefault="7D203209" w14:paraId="7524694C" w14:textId="1DD5FCD5">
      <w:pPr>
        <w:rPr>
          <w:rFonts w:ascii="Calibri" w:hAnsi="Calibri" w:eastAsia="Calibri" w:cs="Calibri"/>
          <w:b w:val="0"/>
          <w:bCs w:val="0"/>
          <w:noProof w:val="0"/>
          <w:sz w:val="22"/>
          <w:szCs w:val="22"/>
          <w:lang w:val="pl-PL"/>
        </w:rPr>
      </w:pPr>
      <w:r w:rsidRPr="0129304D" w:rsidR="7D203209">
        <w:rPr>
          <w:rFonts w:ascii="Calibri" w:hAnsi="Calibri" w:eastAsia="Calibri" w:cs="Calibri"/>
          <w:b w:val="0"/>
          <w:bCs w:val="0"/>
          <w:noProof w:val="0"/>
          <w:sz w:val="22"/>
          <w:szCs w:val="22"/>
          <w:lang w:val="pl-PL"/>
        </w:rPr>
        <w:t>Łączna istotność modelu</w:t>
      </w:r>
      <w:r w:rsidRPr="0129304D" w:rsidR="33B1F758">
        <w:rPr>
          <w:rFonts w:ascii="Calibri" w:hAnsi="Calibri" w:eastAsia="Calibri" w:cs="Calibri"/>
          <w:b w:val="0"/>
          <w:bCs w:val="0"/>
          <w:noProof w:val="0"/>
          <w:sz w:val="22"/>
          <w:szCs w:val="22"/>
          <w:lang w:val="pl-PL"/>
        </w:rPr>
        <w:t xml:space="preserve"> (uogólniony test Walda)</w:t>
      </w:r>
      <w:r w:rsidRPr="0129304D" w:rsidR="7D203209">
        <w:rPr>
          <w:rFonts w:ascii="Calibri" w:hAnsi="Calibri" w:eastAsia="Calibri" w:cs="Calibri"/>
          <w:b w:val="0"/>
          <w:bCs w:val="0"/>
          <w:noProof w:val="0"/>
          <w:sz w:val="22"/>
          <w:szCs w:val="22"/>
          <w:lang w:val="pl-PL"/>
        </w:rPr>
        <w:t>:</w:t>
      </w:r>
    </w:p>
    <w:p w:rsidR="7D203209" w:rsidP="0129304D" w:rsidRDefault="7D203209" w14:paraId="73F1A1F3" w14:textId="7F86475B">
      <w:pPr>
        <w:pStyle w:val="Akapitzlist"/>
        <w:numPr>
          <w:ilvl w:val="0"/>
          <w:numId w:val="1"/>
        </w:numPr>
        <w:rPr>
          <w:rFonts w:ascii="Calibri" w:hAnsi="Calibri" w:eastAsia="Calibri" w:cs="Calibri"/>
          <w:noProof w:val="0"/>
          <w:sz w:val="22"/>
          <w:szCs w:val="22"/>
          <w:lang w:val="pl-PL"/>
        </w:rPr>
      </w:pPr>
      <w:r w:rsidRPr="0129304D" w:rsidR="7D203209">
        <w:rPr>
          <w:rFonts w:ascii="Calibri" w:hAnsi="Calibri" w:eastAsia="Calibri" w:cs="Calibri"/>
          <w:noProof w:val="0"/>
          <w:sz w:val="22"/>
          <w:szCs w:val="22"/>
          <w:lang w:val="pl-PL"/>
        </w:rPr>
        <w:t>Statystyka F wynosi 102.7, a wartość p dla testu F jest &lt; 2.2e-16, co jest znacznie poniżej poziomu istotności 0.05. Oznacza to, że model jest istotny, czyli przynajmniej jedna ze zmiennych objaśniających jest istotna.</w:t>
      </w:r>
    </w:p>
    <w:p w:rsidR="3D977272" w:rsidP="711F78E0" w:rsidRDefault="3D977272" w14:paraId="3E2BC669" w14:textId="07B18374">
      <w:pPr>
        <w:pStyle w:val="Normalny"/>
        <w:ind w:left="0"/>
      </w:pPr>
      <w:r w:rsidR="3D977272">
        <w:rPr/>
        <w:t>4. Ocena poprawności specyfikacji modelu</w:t>
      </w:r>
    </w:p>
    <w:p w:rsidR="3D7140B8" w:rsidP="711F78E0" w:rsidRDefault="3D7140B8" w14:paraId="370EB6F9" w14:textId="51254853">
      <w:pPr>
        <w:pStyle w:val="Normalny"/>
        <w:ind w:left="0"/>
      </w:pPr>
      <w:r w:rsidR="3D7140B8">
        <w:drawing>
          <wp:inline wp14:editId="0AF151B4" wp14:anchorId="5E2EB29F">
            <wp:extent cx="4572000" cy="1123950"/>
            <wp:effectExtent l="0" t="0" r="0" b="0"/>
            <wp:docPr id="892847326" name="" title="Inserting image..."/>
            <wp:cNvGraphicFramePr>
              <a:graphicFrameLocks noChangeAspect="1"/>
            </wp:cNvGraphicFramePr>
            <a:graphic>
              <a:graphicData uri="http://schemas.openxmlformats.org/drawingml/2006/picture">
                <pic:pic>
                  <pic:nvPicPr>
                    <pic:cNvPr id="0" name=""/>
                    <pic:cNvPicPr/>
                  </pic:nvPicPr>
                  <pic:blipFill>
                    <a:blip r:embed="R2b7fa81217d64a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23950"/>
                    </a:xfrm>
                    <a:prstGeom prst="rect">
                      <a:avLst/>
                    </a:prstGeom>
                  </pic:spPr>
                </pic:pic>
              </a:graphicData>
            </a:graphic>
          </wp:inline>
        </w:drawing>
      </w:r>
    </w:p>
    <w:p w:rsidR="261169EA" w:rsidRDefault="261169EA" w14:paraId="10E02533" w14:textId="24436563">
      <w:r w:rsidRPr="0129304D" w:rsidR="261169EA">
        <w:rPr>
          <w:rFonts w:ascii="Calibri" w:hAnsi="Calibri" w:eastAsia="Calibri" w:cs="Calibri"/>
          <w:noProof w:val="0"/>
          <w:sz w:val="22"/>
          <w:szCs w:val="22"/>
          <w:lang w:val="pl-PL"/>
        </w:rPr>
        <w:t>W naszym przypadku wartość statystyki testu RESET wynosi 2.1731. P-wartość dla tego testu wynosi 0.08276, która jest powyżej poziomu istotności 0.05. Oznacza to, że nie mamy wystarczających dowodów statystycznych, aby odrzucić hipotezę zerową, która mówi, że model jest właściwie specyfikowany.</w:t>
      </w:r>
    </w:p>
    <w:p w:rsidR="0129304D" w:rsidP="0129304D" w:rsidRDefault="0129304D" w14:paraId="7F168F66" w14:textId="4A85DA96">
      <w:pPr>
        <w:pStyle w:val="Normalny"/>
        <w:ind w:left="0"/>
      </w:pPr>
    </w:p>
    <w:p w:rsidR="711F78E0" w:rsidP="711F78E0" w:rsidRDefault="711F78E0" w14:paraId="7BEA8C8E" w14:textId="3844C82C">
      <w:pPr>
        <w:pStyle w:val="Normalny"/>
        <w:ind w:left="0"/>
      </w:pPr>
      <w:r w:rsidR="711F78E0">
        <w:rPr/>
        <w:t xml:space="preserve">5. </w:t>
      </w:r>
      <w:r w:rsidR="3BA2EDA9">
        <w:rPr/>
        <w:t xml:space="preserve">Sprawdzenie sferyczności macierzy wariancji-kowariancji składnika losowego – test na występowanie </w:t>
      </w:r>
      <w:r w:rsidR="3BA2EDA9">
        <w:rPr/>
        <w:t>heteroskedastyczności</w:t>
      </w:r>
      <w:r w:rsidR="3BA2EDA9">
        <w:rPr/>
        <w:t>.</w:t>
      </w:r>
    </w:p>
    <w:p w:rsidR="045799A8" w:rsidP="711F78E0" w:rsidRDefault="045799A8" w14:paraId="3B265B96" w14:textId="3844C82C">
      <w:pPr>
        <w:pStyle w:val="Normalny"/>
        <w:ind w:left="0"/>
      </w:pPr>
      <w:r w:rsidR="045799A8">
        <w:drawing>
          <wp:inline wp14:editId="253CB2C6" wp14:anchorId="0B293402">
            <wp:extent cx="4324350" cy="1457325"/>
            <wp:effectExtent l="0" t="0" r="0" b="0"/>
            <wp:docPr id="1986915587" name="" title="Inserting image..."/>
            <wp:cNvGraphicFramePr>
              <a:graphicFrameLocks noChangeAspect="1"/>
            </wp:cNvGraphicFramePr>
            <a:graphic>
              <a:graphicData uri="http://schemas.openxmlformats.org/drawingml/2006/picture">
                <pic:pic>
                  <pic:nvPicPr>
                    <pic:cNvPr id="0" name=""/>
                    <pic:cNvPicPr/>
                  </pic:nvPicPr>
                  <pic:blipFill>
                    <a:blip r:embed="R9a7acef1d00346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4350" cy="1457325"/>
                    </a:xfrm>
                    <a:prstGeom prst="rect">
                      <a:avLst/>
                    </a:prstGeom>
                  </pic:spPr>
                </pic:pic>
              </a:graphicData>
            </a:graphic>
          </wp:inline>
        </w:drawing>
      </w:r>
    </w:p>
    <w:p w:rsidR="711F78E0" w:rsidP="711F78E0" w:rsidRDefault="711F78E0" w14:paraId="6FCB62FD" w14:textId="7B17E48B">
      <w:pPr>
        <w:pStyle w:val="Normalny"/>
        <w:ind w:left="0"/>
      </w:pPr>
    </w:p>
    <w:p w:rsidR="711F78E0" w:rsidP="0129304D" w:rsidRDefault="711F78E0" w14:paraId="77694429" w14:textId="50B149A1">
      <w:pPr>
        <w:pStyle w:val="Normalny"/>
        <w:ind w:left="0"/>
        <w:rPr>
          <w:rFonts w:ascii="Calibri" w:hAnsi="Calibri" w:eastAsia="Calibri" w:cs="Calibri"/>
          <w:noProof w:val="0"/>
          <w:sz w:val="22"/>
          <w:szCs w:val="22"/>
          <w:lang w:val="pl-PL"/>
        </w:rPr>
      </w:pPr>
      <w:r w:rsidRPr="0129304D" w:rsidR="25C23B66">
        <w:rPr>
          <w:rFonts w:ascii="Calibri" w:hAnsi="Calibri" w:eastAsia="Calibri" w:cs="Calibri"/>
          <w:noProof w:val="0"/>
          <w:sz w:val="22"/>
          <w:szCs w:val="22"/>
          <w:lang w:val="pl-PL"/>
        </w:rPr>
        <w:t xml:space="preserve">Wartość p wynosi 0,5085, czyli jest większa niż konwencjonalne poziomy istotności (0,1, 0,05 lub 0,01). W ten sposób nie </w:t>
      </w:r>
      <w:r w:rsidRPr="0129304D" w:rsidR="38417D6C">
        <w:rPr>
          <w:rFonts w:ascii="Calibri" w:hAnsi="Calibri" w:eastAsia="Calibri" w:cs="Calibri"/>
          <w:noProof w:val="0"/>
          <w:sz w:val="22"/>
          <w:szCs w:val="22"/>
          <w:lang w:val="pl-PL"/>
        </w:rPr>
        <w:t>mamy podstaw, aby</w:t>
      </w:r>
      <w:r w:rsidRPr="0129304D" w:rsidR="25C23B66">
        <w:rPr>
          <w:rFonts w:ascii="Calibri" w:hAnsi="Calibri" w:eastAsia="Calibri" w:cs="Calibri"/>
          <w:noProof w:val="0"/>
          <w:sz w:val="22"/>
          <w:szCs w:val="22"/>
          <w:lang w:val="pl-PL"/>
        </w:rPr>
        <w:t xml:space="preserve"> odrzucić hipotez</w:t>
      </w:r>
      <w:r w:rsidRPr="0129304D" w:rsidR="5EF85B09">
        <w:rPr>
          <w:rFonts w:ascii="Calibri" w:hAnsi="Calibri" w:eastAsia="Calibri" w:cs="Calibri"/>
          <w:noProof w:val="0"/>
          <w:sz w:val="22"/>
          <w:szCs w:val="22"/>
          <w:lang w:val="pl-PL"/>
        </w:rPr>
        <w:t>ę</w:t>
      </w:r>
      <w:r w:rsidRPr="0129304D" w:rsidR="25C23B66">
        <w:rPr>
          <w:rFonts w:ascii="Calibri" w:hAnsi="Calibri" w:eastAsia="Calibri" w:cs="Calibri"/>
          <w:noProof w:val="0"/>
          <w:sz w:val="22"/>
          <w:szCs w:val="22"/>
          <w:lang w:val="pl-PL"/>
        </w:rPr>
        <w:t xml:space="preserve"> zerow</w:t>
      </w:r>
      <w:r w:rsidRPr="0129304D" w:rsidR="3DA94F4B">
        <w:rPr>
          <w:rFonts w:ascii="Calibri" w:hAnsi="Calibri" w:eastAsia="Calibri" w:cs="Calibri"/>
          <w:noProof w:val="0"/>
          <w:sz w:val="22"/>
          <w:szCs w:val="22"/>
          <w:lang w:val="pl-PL"/>
        </w:rPr>
        <w:t xml:space="preserve">ą </w:t>
      </w:r>
      <w:r w:rsidRPr="0129304D" w:rsidR="25C23B66">
        <w:rPr>
          <w:rFonts w:ascii="Calibri" w:hAnsi="Calibri" w:eastAsia="Calibri" w:cs="Calibri"/>
          <w:noProof w:val="0"/>
          <w:sz w:val="22"/>
          <w:szCs w:val="22"/>
          <w:lang w:val="pl-PL"/>
        </w:rPr>
        <w:t>o</w:t>
      </w:r>
      <w:r w:rsidRPr="0129304D" w:rsidR="25C23B66">
        <w:rPr>
          <w:rFonts w:ascii="Calibri" w:hAnsi="Calibri" w:eastAsia="Calibri" w:cs="Calibri"/>
          <w:noProof w:val="0"/>
          <w:sz w:val="22"/>
          <w:szCs w:val="22"/>
          <w:lang w:val="pl-PL"/>
        </w:rPr>
        <w:t xml:space="preserve"> </w:t>
      </w:r>
      <w:r w:rsidRPr="0129304D" w:rsidR="25C23B66">
        <w:rPr>
          <w:rFonts w:ascii="Calibri" w:hAnsi="Calibri" w:eastAsia="Calibri" w:cs="Calibri"/>
          <w:noProof w:val="0"/>
          <w:sz w:val="22"/>
          <w:szCs w:val="22"/>
          <w:lang w:val="pl-PL"/>
        </w:rPr>
        <w:t>h</w:t>
      </w:r>
      <w:r w:rsidRPr="0129304D" w:rsidR="25C23B66">
        <w:rPr>
          <w:rFonts w:ascii="Calibri" w:hAnsi="Calibri" w:eastAsia="Calibri" w:cs="Calibri"/>
          <w:noProof w:val="0"/>
          <w:sz w:val="22"/>
          <w:szCs w:val="22"/>
          <w:lang w:val="pl-PL"/>
        </w:rPr>
        <w:t>om</w:t>
      </w:r>
      <w:r w:rsidRPr="0129304D" w:rsidR="25C23B66">
        <w:rPr>
          <w:rFonts w:ascii="Calibri" w:hAnsi="Calibri" w:eastAsia="Calibri" w:cs="Calibri"/>
          <w:noProof w:val="0"/>
          <w:sz w:val="22"/>
          <w:szCs w:val="22"/>
          <w:lang w:val="pl-PL"/>
        </w:rPr>
        <w:t>os</w:t>
      </w:r>
      <w:r w:rsidRPr="0129304D" w:rsidR="25C23B66">
        <w:rPr>
          <w:rFonts w:ascii="Calibri" w:hAnsi="Calibri" w:eastAsia="Calibri" w:cs="Calibri"/>
          <w:noProof w:val="0"/>
          <w:sz w:val="22"/>
          <w:szCs w:val="22"/>
          <w:lang w:val="pl-PL"/>
        </w:rPr>
        <w:t>kedastycznośc</w:t>
      </w:r>
      <w:r w:rsidRPr="0129304D" w:rsidR="25C23B66">
        <w:rPr>
          <w:rFonts w:ascii="Calibri" w:hAnsi="Calibri" w:eastAsia="Calibri" w:cs="Calibri"/>
          <w:noProof w:val="0"/>
          <w:sz w:val="22"/>
          <w:szCs w:val="22"/>
          <w:lang w:val="pl-PL"/>
        </w:rPr>
        <w:t>i</w:t>
      </w:r>
      <w:r w:rsidRPr="0129304D" w:rsidR="74390993">
        <w:rPr>
          <w:rFonts w:ascii="Calibri" w:hAnsi="Calibri" w:eastAsia="Calibri" w:cs="Calibri"/>
          <w:noProof w:val="0"/>
          <w:sz w:val="22"/>
          <w:szCs w:val="22"/>
          <w:lang w:val="pl-PL"/>
        </w:rPr>
        <w:t xml:space="preserve"> składnika losowego</w:t>
      </w:r>
      <w:r w:rsidRPr="0129304D" w:rsidR="25C23B66">
        <w:rPr>
          <w:rFonts w:ascii="Calibri" w:hAnsi="Calibri" w:eastAsia="Calibri" w:cs="Calibri"/>
          <w:noProof w:val="0"/>
          <w:sz w:val="22"/>
          <w:szCs w:val="22"/>
          <w:lang w:val="pl-PL"/>
        </w:rPr>
        <w:t>.</w:t>
      </w:r>
      <w:r w:rsidRPr="0129304D" w:rsidR="25C23B66">
        <w:rPr>
          <w:rFonts w:ascii="Calibri" w:hAnsi="Calibri" w:eastAsia="Calibri" w:cs="Calibri"/>
          <w:noProof w:val="0"/>
          <w:sz w:val="22"/>
          <w:szCs w:val="22"/>
          <w:lang w:val="pl-PL"/>
        </w:rPr>
        <w:t xml:space="preserve"> S</w:t>
      </w:r>
      <w:r w:rsidRPr="0129304D" w:rsidR="25C23B66">
        <w:rPr>
          <w:rFonts w:ascii="Calibri" w:hAnsi="Calibri" w:eastAsia="Calibri" w:cs="Calibri"/>
          <w:noProof w:val="0"/>
          <w:sz w:val="22"/>
          <w:szCs w:val="22"/>
          <w:lang w:val="pl-PL"/>
        </w:rPr>
        <w:t>ug</w:t>
      </w:r>
      <w:r w:rsidRPr="0129304D" w:rsidR="25C23B66">
        <w:rPr>
          <w:rFonts w:ascii="Calibri" w:hAnsi="Calibri" w:eastAsia="Calibri" w:cs="Calibri"/>
          <w:noProof w:val="0"/>
          <w:sz w:val="22"/>
          <w:szCs w:val="22"/>
          <w:lang w:val="pl-PL"/>
        </w:rPr>
        <w:t xml:space="preserve">eruje to, że w </w:t>
      </w:r>
      <w:r w:rsidRPr="0129304D" w:rsidR="5833A3FF">
        <w:rPr>
          <w:rFonts w:ascii="Calibri" w:hAnsi="Calibri" w:eastAsia="Calibri" w:cs="Calibri"/>
          <w:noProof w:val="0"/>
          <w:sz w:val="22"/>
          <w:szCs w:val="22"/>
          <w:lang w:val="pl-PL"/>
        </w:rPr>
        <w:t xml:space="preserve">naszych </w:t>
      </w:r>
      <w:r w:rsidRPr="0129304D" w:rsidR="25C23B66">
        <w:rPr>
          <w:rFonts w:ascii="Calibri" w:hAnsi="Calibri" w:eastAsia="Calibri" w:cs="Calibri"/>
          <w:noProof w:val="0"/>
          <w:sz w:val="22"/>
          <w:szCs w:val="22"/>
          <w:lang w:val="pl-PL"/>
        </w:rPr>
        <w:t xml:space="preserve">danych nie ma wystarczających dowodów, aby twierdzić, że wariancje </w:t>
      </w:r>
      <w:r w:rsidRPr="0129304D" w:rsidR="4D2A424F">
        <w:rPr>
          <w:rFonts w:ascii="Calibri" w:hAnsi="Calibri" w:eastAsia="Calibri" w:cs="Calibri"/>
          <w:noProof w:val="0"/>
          <w:sz w:val="22"/>
          <w:szCs w:val="22"/>
          <w:lang w:val="pl-PL"/>
        </w:rPr>
        <w:t>składnika losowego</w:t>
      </w:r>
      <w:r w:rsidRPr="0129304D" w:rsidR="25C23B66">
        <w:rPr>
          <w:rFonts w:ascii="Calibri" w:hAnsi="Calibri" w:eastAsia="Calibri" w:cs="Calibri"/>
          <w:noProof w:val="0"/>
          <w:sz w:val="22"/>
          <w:szCs w:val="22"/>
          <w:lang w:val="pl-PL"/>
        </w:rPr>
        <w:t xml:space="preserve"> w </w:t>
      </w:r>
      <w:r w:rsidRPr="0129304D" w:rsidR="3DC3F11F">
        <w:rPr>
          <w:rFonts w:ascii="Calibri" w:hAnsi="Calibri" w:eastAsia="Calibri" w:cs="Calibri"/>
          <w:noProof w:val="0"/>
          <w:sz w:val="22"/>
          <w:szCs w:val="22"/>
          <w:lang w:val="pl-PL"/>
        </w:rPr>
        <w:t>naszy</w:t>
      </w:r>
      <w:r w:rsidRPr="0129304D" w:rsidR="25C23B66">
        <w:rPr>
          <w:rFonts w:ascii="Calibri" w:hAnsi="Calibri" w:eastAsia="Calibri" w:cs="Calibri"/>
          <w:noProof w:val="0"/>
          <w:sz w:val="22"/>
          <w:szCs w:val="22"/>
          <w:lang w:val="pl-PL"/>
        </w:rPr>
        <w:t>m modelu nie są stałe.</w:t>
      </w:r>
      <w:r w:rsidRPr="0129304D" w:rsidR="47420497">
        <w:rPr>
          <w:rFonts w:ascii="Calibri" w:hAnsi="Calibri" w:eastAsia="Calibri" w:cs="Calibri"/>
          <w:noProof w:val="0"/>
          <w:sz w:val="22"/>
          <w:szCs w:val="22"/>
          <w:lang w:val="pl-PL"/>
        </w:rPr>
        <w:t xml:space="preserve"> Co spełnia kolejny warunek zastosowania KMNK jako najefektywniejszego estymatora.</w:t>
      </w:r>
    </w:p>
    <w:p w:rsidR="711F78E0" w:rsidP="711F78E0" w:rsidRDefault="711F78E0" w14:paraId="61DBDC1B" w14:textId="50B149A1">
      <w:pPr>
        <w:pStyle w:val="Normalny"/>
        <w:ind w:left="0"/>
      </w:pPr>
      <w:r w:rsidR="06848F43">
        <w:drawing>
          <wp:inline wp14:editId="3C9B8BCE" wp14:anchorId="2AF4A331">
            <wp:extent cx="4572000" cy="3429000"/>
            <wp:effectExtent l="0" t="0" r="0" b="0"/>
            <wp:docPr id="1409129291" name="" title="Inserting image..."/>
            <wp:cNvGraphicFramePr>
              <a:graphicFrameLocks noChangeAspect="1"/>
            </wp:cNvGraphicFramePr>
            <a:graphic>
              <a:graphicData uri="http://schemas.openxmlformats.org/drawingml/2006/picture">
                <pic:pic>
                  <pic:nvPicPr>
                    <pic:cNvPr id="0" name=""/>
                    <pic:cNvPicPr/>
                  </pic:nvPicPr>
                  <pic:blipFill>
                    <a:blip r:embed="Rfa66722991284115">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711F78E0" w:rsidP="711F78E0" w:rsidRDefault="711F78E0" w14:paraId="5A55796D" w14:textId="72EEF649">
      <w:pPr>
        <w:pStyle w:val="Normalny"/>
        <w:ind w:left="0"/>
      </w:pPr>
      <w:r w:rsidR="0E6A284E">
        <w:rPr/>
        <w:t xml:space="preserve">Na powyższym </w:t>
      </w:r>
      <w:r w:rsidR="064E9033">
        <w:rPr/>
        <w:t>wykresie reszt z modelu nie widać żadnego klarującego się wzoru – ocena organoleptyczna heteroskedastyczności.</w:t>
      </w:r>
    </w:p>
    <w:p w:rsidR="711F78E0" w:rsidP="0129304D" w:rsidRDefault="711F78E0" w14:paraId="7DD7A07C" w14:textId="7FB5AE3B">
      <w:pPr>
        <w:pStyle w:val="Normalny"/>
        <w:ind w:left="0"/>
        <w:rPr>
          <w:rFonts w:ascii="Calibri" w:hAnsi="Calibri" w:eastAsia="Calibri" w:cs="Calibri"/>
          <w:noProof w:val="0"/>
          <w:sz w:val="22"/>
          <w:szCs w:val="22"/>
          <w:lang w:val="pl-PL"/>
        </w:rPr>
      </w:pPr>
      <w:r w:rsidR="711F78E0">
        <w:rPr/>
        <w:t xml:space="preserve">6. </w:t>
      </w:r>
      <w:r w:rsidR="0C7331C3">
        <w:rPr/>
        <w:t>Sprawdzenie właściwości statystycznych składnika losowego – Test na normalność rozkładu</w:t>
      </w:r>
    </w:p>
    <w:p w:rsidR="722C3ABF" w:rsidP="711F78E0" w:rsidRDefault="722C3ABF" w14:paraId="18373BFF" w14:textId="0115A2E6">
      <w:pPr>
        <w:pStyle w:val="Normalny"/>
        <w:ind w:left="0"/>
      </w:pPr>
      <w:r w:rsidR="722C3ABF">
        <w:drawing>
          <wp:inline wp14:editId="182D5C68" wp14:anchorId="1FD4B4FA">
            <wp:extent cx="4324350" cy="1457325"/>
            <wp:effectExtent l="0" t="0" r="0" b="0"/>
            <wp:docPr id="258848644" name="" title="Inserting image..."/>
            <wp:cNvGraphicFramePr>
              <a:graphicFrameLocks noChangeAspect="1"/>
            </wp:cNvGraphicFramePr>
            <a:graphic>
              <a:graphicData uri="http://schemas.openxmlformats.org/drawingml/2006/picture">
                <pic:pic>
                  <pic:nvPicPr>
                    <pic:cNvPr id="0" name=""/>
                    <pic:cNvPicPr/>
                  </pic:nvPicPr>
                  <pic:blipFill>
                    <a:blip r:embed="R56694fe03a4e4d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4350" cy="1457325"/>
                    </a:xfrm>
                    <a:prstGeom prst="rect">
                      <a:avLst/>
                    </a:prstGeom>
                  </pic:spPr>
                </pic:pic>
              </a:graphicData>
            </a:graphic>
          </wp:inline>
        </w:drawing>
      </w:r>
    </w:p>
    <w:p w:rsidR="4AE2D55C" w:rsidP="0129304D" w:rsidRDefault="4AE2D55C" w14:paraId="42D11053" w14:textId="4B21DB37">
      <w:pPr>
        <w:pStyle w:val="Normalny"/>
        <w:ind w:left="0"/>
        <w:rPr>
          <w:rFonts w:ascii="Calibri" w:hAnsi="Calibri" w:eastAsia="Calibri" w:cs="Calibri"/>
          <w:noProof w:val="0"/>
          <w:sz w:val="22"/>
          <w:szCs w:val="22"/>
          <w:lang w:val="pl-PL"/>
        </w:rPr>
      </w:pPr>
      <w:r w:rsidRPr="0129304D" w:rsidR="4AE2D55C">
        <w:rPr>
          <w:rFonts w:ascii="Calibri" w:hAnsi="Calibri" w:eastAsia="Calibri" w:cs="Calibri"/>
          <w:noProof w:val="0"/>
          <w:sz w:val="22"/>
          <w:szCs w:val="22"/>
          <w:lang w:val="pl-PL"/>
        </w:rPr>
        <w:t xml:space="preserve">Dla przeprowadzonego testu </w:t>
      </w:r>
      <w:r w:rsidRPr="0129304D" w:rsidR="4AE2D55C">
        <w:rPr>
          <w:rFonts w:ascii="Calibri" w:hAnsi="Calibri" w:eastAsia="Calibri" w:cs="Calibri"/>
          <w:noProof w:val="0"/>
          <w:sz w:val="22"/>
          <w:szCs w:val="22"/>
          <w:lang w:val="pl-PL"/>
        </w:rPr>
        <w:t>Jarque</w:t>
      </w:r>
      <w:r w:rsidRPr="0129304D" w:rsidR="4AE2D55C">
        <w:rPr>
          <w:rFonts w:ascii="Calibri" w:hAnsi="Calibri" w:eastAsia="Calibri" w:cs="Calibri"/>
          <w:noProof w:val="0"/>
          <w:sz w:val="22"/>
          <w:szCs w:val="22"/>
          <w:lang w:val="pl-PL"/>
        </w:rPr>
        <w:t>-Bera w</w:t>
      </w:r>
      <w:r w:rsidRPr="0129304D" w:rsidR="376D983A">
        <w:rPr>
          <w:rFonts w:ascii="Calibri" w:hAnsi="Calibri" w:eastAsia="Calibri" w:cs="Calibri"/>
          <w:noProof w:val="0"/>
          <w:sz w:val="22"/>
          <w:szCs w:val="22"/>
          <w:lang w:val="pl-PL"/>
        </w:rPr>
        <w:t>artość</w:t>
      </w:r>
      <w:r w:rsidRPr="0129304D" w:rsidR="376D983A">
        <w:rPr>
          <w:rFonts w:ascii="Calibri" w:hAnsi="Calibri" w:eastAsia="Calibri" w:cs="Calibri"/>
          <w:noProof w:val="0"/>
          <w:sz w:val="22"/>
          <w:szCs w:val="22"/>
          <w:lang w:val="pl-PL"/>
        </w:rPr>
        <w:t xml:space="preserve"> statystyki testu wynosi 2.4115. P-wartość dla tego testu wynosi 0.2995, co jest powyżej</w:t>
      </w:r>
      <w:r w:rsidRPr="0129304D" w:rsidR="21AAE730">
        <w:rPr>
          <w:rFonts w:ascii="Calibri" w:hAnsi="Calibri" w:eastAsia="Calibri" w:cs="Calibri"/>
          <w:noProof w:val="0"/>
          <w:sz w:val="22"/>
          <w:szCs w:val="22"/>
          <w:lang w:val="pl-PL"/>
        </w:rPr>
        <w:t xml:space="preserve"> przyjętego</w:t>
      </w:r>
      <w:r w:rsidRPr="0129304D" w:rsidR="376D983A">
        <w:rPr>
          <w:rFonts w:ascii="Calibri" w:hAnsi="Calibri" w:eastAsia="Calibri" w:cs="Calibri"/>
          <w:noProof w:val="0"/>
          <w:sz w:val="22"/>
          <w:szCs w:val="22"/>
          <w:lang w:val="pl-PL"/>
        </w:rPr>
        <w:t xml:space="preserve"> </w:t>
      </w:r>
      <w:r w:rsidRPr="0129304D" w:rsidR="376D983A">
        <w:rPr>
          <w:rFonts w:ascii="Calibri" w:hAnsi="Calibri" w:eastAsia="Calibri" w:cs="Calibri"/>
          <w:noProof w:val="0"/>
          <w:sz w:val="22"/>
          <w:szCs w:val="22"/>
          <w:lang w:val="pl-PL"/>
        </w:rPr>
        <w:t>poziomu istotności 0.05. To oznacza, że nie mamy wystarczających dowodów statystycznych, aby odrzucić hipotezę zerową</w:t>
      </w:r>
      <w:r w:rsidRPr="0129304D" w:rsidR="5FD9D359">
        <w:rPr>
          <w:rFonts w:ascii="Calibri" w:hAnsi="Calibri" w:eastAsia="Calibri" w:cs="Calibri"/>
          <w:noProof w:val="0"/>
          <w:sz w:val="22"/>
          <w:szCs w:val="22"/>
          <w:lang w:val="pl-PL"/>
        </w:rPr>
        <w:t>, która zakłada, iż składnik losowy ma rozkład normalny</w:t>
      </w:r>
      <w:r w:rsidRPr="0129304D" w:rsidR="376D983A">
        <w:rPr>
          <w:rFonts w:ascii="Calibri" w:hAnsi="Calibri" w:eastAsia="Calibri" w:cs="Calibri"/>
          <w:noProof w:val="0"/>
          <w:sz w:val="22"/>
          <w:szCs w:val="22"/>
          <w:lang w:val="pl-PL"/>
        </w:rPr>
        <w:t>.</w:t>
      </w:r>
      <w:r w:rsidRPr="0129304D" w:rsidR="7D4CF901">
        <w:rPr>
          <w:rFonts w:ascii="Calibri" w:hAnsi="Calibri" w:eastAsia="Calibri" w:cs="Calibri"/>
          <w:noProof w:val="0"/>
          <w:sz w:val="22"/>
          <w:szCs w:val="22"/>
          <w:lang w:val="pl-PL"/>
        </w:rPr>
        <w:t xml:space="preserve"> Zatem możemy </w:t>
      </w:r>
      <w:r w:rsidRPr="0129304D" w:rsidR="5483D37F">
        <w:rPr>
          <w:rFonts w:ascii="Calibri" w:hAnsi="Calibri" w:eastAsia="Calibri" w:cs="Calibri"/>
          <w:noProof w:val="0"/>
          <w:sz w:val="22"/>
          <w:szCs w:val="22"/>
          <w:lang w:val="pl-PL"/>
        </w:rPr>
        <w:t>korzystać z pozostałych testów służących do badania własności składnika losowego, iż są one wiarygodne.</w:t>
      </w:r>
    </w:p>
    <w:p w:rsidR="711F78E0" w:rsidP="711F78E0" w:rsidRDefault="711F78E0" w14:paraId="742F57D3" w14:textId="2514D615">
      <w:pPr>
        <w:pStyle w:val="Normalny"/>
        <w:ind w:left="0"/>
      </w:pPr>
    </w:p>
    <w:p w:rsidR="711F78E0" w:rsidP="711F78E0" w:rsidRDefault="711F78E0" w14:paraId="09848925" w14:textId="26DD21E9">
      <w:pPr>
        <w:pStyle w:val="Normalny"/>
        <w:ind w:left="0"/>
      </w:pPr>
      <w:r w:rsidR="711F78E0">
        <w:rPr/>
        <w:t xml:space="preserve">7. </w:t>
      </w:r>
      <w:r w:rsidR="22C4CCC2">
        <w:rPr/>
        <w:t>Interpretacja oszacowań parametrów modelu</w:t>
      </w:r>
    </w:p>
    <w:p w:rsidR="775856EF" w:rsidP="711F78E0" w:rsidRDefault="775856EF" w14:paraId="3E719F7C" w14:textId="029F3E7F">
      <w:pPr>
        <w:pStyle w:val="Normalny"/>
        <w:ind w:left="0"/>
      </w:pPr>
      <w:r w:rsidR="775856EF">
        <w:drawing>
          <wp:inline wp14:editId="32408F28" wp14:anchorId="7644762E">
            <wp:extent cx="4572000" cy="2647950"/>
            <wp:effectExtent l="0" t="0" r="0" b="0"/>
            <wp:docPr id="262227243" name="" title=""/>
            <wp:cNvGraphicFramePr>
              <a:graphicFrameLocks noChangeAspect="1"/>
            </wp:cNvGraphicFramePr>
            <a:graphic>
              <a:graphicData uri="http://schemas.openxmlformats.org/drawingml/2006/picture">
                <pic:pic>
                  <pic:nvPicPr>
                    <pic:cNvPr id="0" name=""/>
                    <pic:cNvPicPr/>
                  </pic:nvPicPr>
                  <pic:blipFill>
                    <a:blip r:embed="R832108f7670045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47950"/>
                    </a:xfrm>
                    <a:prstGeom prst="rect">
                      <a:avLst/>
                    </a:prstGeom>
                  </pic:spPr>
                </pic:pic>
              </a:graphicData>
            </a:graphic>
          </wp:inline>
        </w:drawing>
      </w:r>
    </w:p>
    <w:p w:rsidR="22E9EFDF" w:rsidP="0129304D" w:rsidRDefault="22E9EFDF" w14:paraId="415CBD53" w14:textId="007BAFF8">
      <w:pPr>
        <w:pStyle w:val="Normalny"/>
        <w:rPr>
          <w:rFonts w:ascii="Calibri" w:hAnsi="Calibri" w:eastAsia="Calibri" w:cs="Calibri"/>
          <w:noProof w:val="0"/>
          <w:sz w:val="22"/>
          <w:szCs w:val="22"/>
          <w:lang w:val="pl-PL"/>
        </w:rPr>
      </w:pPr>
      <w:r w:rsidRPr="0129304D" w:rsidR="22E9EFDF">
        <w:rPr>
          <w:rFonts w:ascii="Calibri" w:hAnsi="Calibri" w:eastAsia="Calibri" w:cs="Calibri"/>
          <w:noProof w:val="0"/>
          <w:sz w:val="22"/>
          <w:szCs w:val="22"/>
          <w:lang w:val="pl-PL"/>
        </w:rPr>
        <w:t>Interpretacja oszacowań parametrów estymatora MNK:</w:t>
      </w:r>
    </w:p>
    <w:p w:rsidR="22E9EFDF" w:rsidP="0129304D" w:rsidRDefault="22E9EFDF" w14:paraId="04F3D69E" w14:textId="0DB11057">
      <w:pPr>
        <w:pStyle w:val="Akapitzlist"/>
        <w:numPr>
          <w:ilvl w:val="0"/>
          <w:numId w:val="21"/>
        </w:numPr>
        <w:rPr>
          <w:rFonts w:ascii="Calibri" w:hAnsi="Calibri" w:eastAsia="Calibri" w:cs="Calibri"/>
          <w:noProof w:val="0"/>
          <w:sz w:val="22"/>
          <w:szCs w:val="22"/>
          <w:lang w:val="pl-PL"/>
        </w:rPr>
      </w:pPr>
      <w:r w:rsidRPr="0129304D" w:rsidR="22E9EFDF">
        <w:rPr>
          <w:rFonts w:ascii="Calibri" w:hAnsi="Calibri" w:eastAsia="Calibri" w:cs="Calibri"/>
          <w:noProof w:val="0"/>
          <w:sz w:val="22"/>
          <w:szCs w:val="22"/>
          <w:lang w:val="pl-PL"/>
        </w:rPr>
        <w:t>Constant = -515,80 – w tym przypadku wartość stałej jest pozbawiona logicznej interpretacji</w:t>
      </w:r>
    </w:p>
    <w:p w:rsidR="22E9EFDF" w:rsidP="0129304D" w:rsidRDefault="22E9EFDF" w14:paraId="70FB3D45" w14:textId="7E34BF3B">
      <w:pPr>
        <w:pStyle w:val="Akapitzlist"/>
        <w:numPr>
          <w:ilvl w:val="0"/>
          <w:numId w:val="21"/>
        </w:numPr>
        <w:rPr>
          <w:rFonts w:ascii="Calibri" w:hAnsi="Calibri" w:eastAsia="Calibri" w:cs="Calibri"/>
          <w:noProof w:val="0"/>
          <w:sz w:val="22"/>
          <w:szCs w:val="22"/>
          <w:lang w:val="pl-PL"/>
        </w:rPr>
      </w:pPr>
      <w:r w:rsidRPr="0129304D" w:rsidR="22E9EFDF">
        <w:rPr>
          <w:rFonts w:ascii="Calibri" w:hAnsi="Calibri" w:eastAsia="Calibri" w:cs="Calibri"/>
          <w:noProof w:val="0"/>
          <w:sz w:val="22"/>
          <w:szCs w:val="22"/>
          <w:lang w:val="pl-PL"/>
        </w:rPr>
        <w:t>Oszacowanie parametru dla zmiennej InfRate = 1,09 – wraz ze wzrostem stopy inflacji o 1 p. procentowy średnia stawka godzinowa w danym kraju wzrasta o 1.09 dolara amerykańskiego (Jednakże zmienna nie istotna statystycznie)</w:t>
      </w:r>
    </w:p>
    <w:p w:rsidR="22E9EFDF" w:rsidP="0129304D" w:rsidRDefault="22E9EFDF" w14:paraId="0EDF6BE5" w14:textId="0F6F4744">
      <w:pPr>
        <w:pStyle w:val="Akapitzlist"/>
        <w:numPr>
          <w:ilvl w:val="0"/>
          <w:numId w:val="21"/>
        </w:numPr>
        <w:rPr>
          <w:rFonts w:ascii="Calibri" w:hAnsi="Calibri" w:eastAsia="Calibri" w:cs="Calibri"/>
          <w:noProof w:val="0"/>
          <w:sz w:val="22"/>
          <w:szCs w:val="22"/>
          <w:lang w:val="pl-PL"/>
        </w:rPr>
      </w:pPr>
      <w:r w:rsidRPr="0129304D" w:rsidR="22E9EFDF">
        <w:rPr>
          <w:rFonts w:ascii="Calibri" w:hAnsi="Calibri" w:eastAsia="Calibri" w:cs="Calibri"/>
          <w:noProof w:val="0"/>
          <w:sz w:val="22"/>
          <w:szCs w:val="22"/>
          <w:lang w:val="pl-PL"/>
        </w:rPr>
        <w:t>Oszacowanie parametru dla zmiennej School = 2,18 – wraz ze wzrostem odsetka społeczeństwa posiadającego wyższe wykształcenie średnia stawka godzinowa wzrasta przeciętnie o 2,18 dolara amerykańskiego za godzinę.</w:t>
      </w:r>
    </w:p>
    <w:p w:rsidR="22E9EFDF" w:rsidP="0129304D" w:rsidRDefault="22E9EFDF" w14:paraId="3A777D9F" w14:textId="037F03B4">
      <w:pPr>
        <w:pStyle w:val="Akapitzlist"/>
        <w:numPr>
          <w:ilvl w:val="0"/>
          <w:numId w:val="21"/>
        </w:numPr>
        <w:rPr>
          <w:rFonts w:ascii="Calibri" w:hAnsi="Calibri" w:eastAsia="Calibri" w:cs="Calibri"/>
          <w:noProof w:val="0"/>
          <w:sz w:val="22"/>
          <w:szCs w:val="22"/>
          <w:lang w:val="pl-PL"/>
        </w:rPr>
      </w:pPr>
      <w:r w:rsidRPr="0129304D" w:rsidR="22E9EFDF">
        <w:rPr>
          <w:rFonts w:ascii="Calibri" w:hAnsi="Calibri" w:eastAsia="Calibri" w:cs="Calibri"/>
          <w:noProof w:val="0"/>
          <w:sz w:val="22"/>
          <w:szCs w:val="22"/>
          <w:lang w:val="pl-PL"/>
        </w:rPr>
        <w:t>Oszacowanie parametru dla zmiennej EducExpen = -0,25 – wzraz ze wzrostem wydatków rządowych na cele edukacyjne w stosunku do PKB o jeden punkt procentowy średnia stawka godzinowa przeciętnie maleje o 0,25 dolara amerykańskiego.</w:t>
      </w:r>
    </w:p>
    <w:p w:rsidR="22E9EFDF" w:rsidP="0129304D" w:rsidRDefault="22E9EFDF" w14:paraId="64569D8B" w14:textId="31C1CBA2">
      <w:pPr>
        <w:pStyle w:val="Akapitzlist"/>
        <w:numPr>
          <w:ilvl w:val="0"/>
          <w:numId w:val="21"/>
        </w:numPr>
        <w:rPr>
          <w:rFonts w:ascii="Calibri" w:hAnsi="Calibri" w:eastAsia="Calibri" w:cs="Calibri"/>
          <w:noProof w:val="0"/>
          <w:sz w:val="22"/>
          <w:szCs w:val="22"/>
          <w:lang w:val="pl-PL"/>
        </w:rPr>
      </w:pPr>
      <w:r w:rsidRPr="0129304D" w:rsidR="22E9EFDF">
        <w:rPr>
          <w:rFonts w:ascii="Calibri" w:hAnsi="Calibri" w:eastAsia="Calibri" w:cs="Calibri"/>
          <w:noProof w:val="0"/>
          <w:sz w:val="22"/>
          <w:szCs w:val="22"/>
          <w:lang w:val="pl-PL"/>
        </w:rPr>
        <w:t>Oszacowanie parametru dla zmiennej Unempl = 0,65 – wraz ze wzrostem stopy bezrobocia o jeden punkt procentowy średnia stawka godzinowa rośnie o 0,65 dolara amerykańskiego za godzinę pracy.</w:t>
      </w:r>
    </w:p>
    <w:p w:rsidR="22E9EFDF" w:rsidP="0129304D" w:rsidRDefault="22E9EFDF" w14:paraId="70CD2E6D" w14:textId="15FA78F1">
      <w:pPr>
        <w:pStyle w:val="Akapitzlist"/>
        <w:numPr>
          <w:ilvl w:val="0"/>
          <w:numId w:val="21"/>
        </w:numPr>
        <w:rPr>
          <w:rFonts w:ascii="Calibri" w:hAnsi="Calibri" w:eastAsia="Calibri" w:cs="Calibri"/>
          <w:b w:val="1"/>
          <w:bCs w:val="1"/>
          <w:i w:val="0"/>
          <w:iCs w:val="0"/>
          <w:sz w:val="32"/>
          <w:szCs w:val="32"/>
        </w:rPr>
      </w:pPr>
      <w:r w:rsidRPr="0129304D" w:rsidR="22E9EFDF">
        <w:rPr>
          <w:rFonts w:ascii="Calibri" w:hAnsi="Calibri" w:eastAsia="Calibri" w:cs="Calibri"/>
          <w:noProof w:val="0"/>
          <w:sz w:val="22"/>
          <w:szCs w:val="22"/>
          <w:lang w:val="pl-PL"/>
        </w:rPr>
        <w:t xml:space="preserve">Oszacowanie parametru dla zmiennej </w:t>
      </w:r>
      <w:r w:rsidRPr="0129304D" w:rsidR="22E9EFDF">
        <w:rPr>
          <w:rFonts w:ascii="Calibri" w:hAnsi="Calibri" w:eastAsia="Calibri" w:cs="Calibri"/>
          <w:noProof w:val="0"/>
          <w:sz w:val="22"/>
          <w:szCs w:val="22"/>
          <w:lang w:val="pl-PL"/>
        </w:rPr>
        <w:t>logGDPoecd</w:t>
      </w:r>
      <w:r w:rsidRPr="0129304D" w:rsidR="22E9EFDF">
        <w:rPr>
          <w:rFonts w:ascii="Calibri" w:hAnsi="Calibri" w:eastAsia="Calibri" w:cs="Calibri"/>
          <w:noProof w:val="0"/>
          <w:sz w:val="22"/>
          <w:szCs w:val="22"/>
          <w:lang w:val="pl-PL"/>
        </w:rPr>
        <w:t xml:space="preserve"> = 53,19 – wraz ze wzrostem Produktu Krajowego Brutto o 1% średnia stawka godzinowa wzrasta przeciętnie o 53,19 dolary za </w:t>
      </w:r>
      <w:r w:rsidRPr="0129304D" w:rsidR="22E9EFDF">
        <w:rPr>
          <w:rFonts w:ascii="Calibri" w:hAnsi="Calibri" w:eastAsia="Calibri" w:cs="Calibri"/>
          <w:noProof w:val="0"/>
          <w:sz w:val="22"/>
          <w:szCs w:val="22"/>
          <w:lang w:val="pl-PL"/>
        </w:rPr>
        <w:t>godzinę.</w:t>
      </w:r>
    </w:p>
    <w:p w:rsidR="0129304D" w:rsidP="0129304D" w:rsidRDefault="0129304D" w14:paraId="3BA176B3" w14:textId="1E6FD73D">
      <w:pPr>
        <w:pStyle w:val="Normalny"/>
        <w:ind w:left="0"/>
        <w:rPr>
          <w:rFonts w:ascii="Calibri" w:hAnsi="Calibri" w:eastAsia="Calibri" w:cs="Calibri"/>
          <w:b w:val="1"/>
          <w:bCs w:val="1"/>
          <w:i w:val="0"/>
          <w:iCs w:val="0"/>
          <w:sz w:val="32"/>
          <w:szCs w:val="32"/>
        </w:rPr>
      </w:pPr>
    </w:p>
    <w:p w:rsidR="2DF6EA4D" w:rsidP="0129304D" w:rsidRDefault="2DF6EA4D" w14:paraId="7D164E98" w14:textId="62E80C3E">
      <w:pPr>
        <w:pStyle w:val="Normalny"/>
        <w:ind w:left="0"/>
        <w:rPr>
          <w:rFonts w:ascii="Calibri" w:hAnsi="Calibri" w:eastAsia="Calibri" w:cs="Calibri"/>
          <w:b w:val="1"/>
          <w:bCs w:val="1"/>
          <w:i w:val="0"/>
          <w:iCs w:val="0"/>
          <w:sz w:val="32"/>
          <w:szCs w:val="32"/>
        </w:rPr>
      </w:pPr>
      <w:r w:rsidRPr="0129304D" w:rsidR="2DF6EA4D">
        <w:rPr>
          <w:rFonts w:ascii="Calibri" w:hAnsi="Calibri" w:eastAsia="Calibri" w:cs="Calibri"/>
          <w:b w:val="1"/>
          <w:bCs w:val="1"/>
          <w:i w:val="0"/>
          <w:iCs w:val="0"/>
          <w:sz w:val="32"/>
          <w:szCs w:val="32"/>
        </w:rPr>
        <w:t>P</w:t>
      </w:r>
      <w:r w:rsidRPr="0129304D" w:rsidR="2A23C9FA">
        <w:rPr>
          <w:rFonts w:ascii="Calibri" w:hAnsi="Calibri" w:eastAsia="Calibri" w:cs="Calibri"/>
          <w:b w:val="1"/>
          <w:bCs w:val="1"/>
          <w:i w:val="0"/>
          <w:iCs w:val="0"/>
          <w:sz w:val="32"/>
          <w:szCs w:val="32"/>
        </w:rPr>
        <w:t>odsumowanie</w:t>
      </w:r>
    </w:p>
    <w:p w:rsidR="6F40C38A" w:rsidP="0129304D" w:rsidRDefault="6F40C38A" w14:paraId="11C7EF24" w14:textId="7860B854">
      <w:pPr>
        <w:pStyle w:val="Normalny"/>
        <w:ind w:left="0"/>
        <w:rPr>
          <w:rFonts w:ascii="Calibri" w:hAnsi="Calibri" w:eastAsia="Calibri" w:cs="Calibri"/>
          <w:b w:val="0"/>
          <w:bCs w:val="0"/>
          <w:i w:val="0"/>
          <w:iCs w:val="0"/>
          <w:sz w:val="22"/>
          <w:szCs w:val="22"/>
        </w:rPr>
      </w:pPr>
      <w:r w:rsidRPr="0129304D" w:rsidR="6F40C38A">
        <w:rPr>
          <w:rFonts w:ascii="Calibri" w:hAnsi="Calibri" w:eastAsia="Calibri" w:cs="Calibri"/>
          <w:b w:val="0"/>
          <w:bCs w:val="0"/>
          <w:i w:val="0"/>
          <w:iCs w:val="0"/>
          <w:sz w:val="22"/>
          <w:szCs w:val="22"/>
        </w:rPr>
        <w:t xml:space="preserve">Raport </w:t>
      </w:r>
      <w:r w:rsidRPr="0129304D" w:rsidR="00FD59C9">
        <w:rPr>
          <w:rFonts w:ascii="Calibri" w:hAnsi="Calibri" w:eastAsia="Calibri" w:cs="Calibri"/>
          <w:b w:val="0"/>
          <w:bCs w:val="0"/>
          <w:i w:val="0"/>
          <w:iCs w:val="0"/>
          <w:sz w:val="22"/>
          <w:szCs w:val="22"/>
        </w:rPr>
        <w:t>ten podjął się badania wpływu różnych czynników na średnią stawkę godzinową netto (</w:t>
      </w:r>
      <w:r w:rsidRPr="0129304D" w:rsidR="00FD59C9">
        <w:rPr>
          <w:rFonts w:ascii="Calibri" w:hAnsi="Calibri" w:eastAsia="Calibri" w:cs="Calibri"/>
          <w:b w:val="0"/>
          <w:bCs w:val="0"/>
          <w:i w:val="0"/>
          <w:iCs w:val="0"/>
          <w:sz w:val="22"/>
          <w:szCs w:val="22"/>
        </w:rPr>
        <w:t>AvIncome</w:t>
      </w:r>
      <w:r w:rsidRPr="0129304D" w:rsidR="00FD59C9">
        <w:rPr>
          <w:rFonts w:ascii="Calibri" w:hAnsi="Calibri" w:eastAsia="Calibri" w:cs="Calibri"/>
          <w:b w:val="0"/>
          <w:bCs w:val="0"/>
          <w:i w:val="0"/>
          <w:iCs w:val="0"/>
          <w:sz w:val="22"/>
          <w:szCs w:val="22"/>
        </w:rPr>
        <w:t>) w oparciu o dane OECD</w:t>
      </w:r>
      <w:r w:rsidRPr="0129304D" w:rsidR="105CEFCE">
        <w:rPr>
          <w:rFonts w:ascii="Calibri" w:hAnsi="Calibri" w:eastAsia="Calibri" w:cs="Calibri"/>
          <w:b w:val="0"/>
          <w:bCs w:val="0"/>
          <w:i w:val="0"/>
          <w:iCs w:val="0"/>
          <w:sz w:val="22"/>
          <w:szCs w:val="22"/>
        </w:rPr>
        <w:t xml:space="preserve"> i Eurostatu</w:t>
      </w:r>
      <w:r w:rsidRPr="0129304D" w:rsidR="00FD59C9">
        <w:rPr>
          <w:rFonts w:ascii="Calibri" w:hAnsi="Calibri" w:eastAsia="Calibri" w:cs="Calibri"/>
          <w:b w:val="0"/>
          <w:bCs w:val="0"/>
          <w:i w:val="0"/>
          <w:iCs w:val="0"/>
          <w:sz w:val="22"/>
          <w:szCs w:val="22"/>
        </w:rPr>
        <w:t xml:space="preserve">. Model regresji liniowej </w:t>
      </w:r>
      <w:r w:rsidRPr="0129304D" w:rsidR="00FD59C9">
        <w:rPr>
          <w:rFonts w:ascii="Calibri" w:hAnsi="Calibri" w:eastAsia="Calibri" w:cs="Calibri"/>
          <w:b w:val="0"/>
          <w:bCs w:val="0"/>
          <w:i w:val="0"/>
          <w:iCs w:val="0"/>
          <w:sz w:val="22"/>
          <w:szCs w:val="22"/>
        </w:rPr>
        <w:t>wykorzystany do analizy zawierał pięć zmiennych objaśniających: stopę inflacji (</w:t>
      </w:r>
      <w:r w:rsidRPr="0129304D" w:rsidR="00FD59C9">
        <w:rPr>
          <w:rFonts w:ascii="Calibri" w:hAnsi="Calibri" w:eastAsia="Calibri" w:cs="Calibri"/>
          <w:b w:val="0"/>
          <w:bCs w:val="0"/>
          <w:i w:val="0"/>
          <w:iCs w:val="0"/>
          <w:sz w:val="22"/>
          <w:szCs w:val="22"/>
        </w:rPr>
        <w:t>InfRate</w:t>
      </w:r>
      <w:r w:rsidRPr="0129304D" w:rsidR="00FD59C9">
        <w:rPr>
          <w:rFonts w:ascii="Calibri" w:hAnsi="Calibri" w:eastAsia="Calibri" w:cs="Calibri"/>
          <w:b w:val="0"/>
          <w:bCs w:val="0"/>
          <w:i w:val="0"/>
          <w:iCs w:val="0"/>
          <w:sz w:val="22"/>
          <w:szCs w:val="22"/>
        </w:rPr>
        <w:t>), poziom wykształcenia społeczeństwa (School), wydatki rządowe na edukację (</w:t>
      </w:r>
      <w:r w:rsidRPr="0129304D" w:rsidR="00FD59C9">
        <w:rPr>
          <w:rFonts w:ascii="Calibri" w:hAnsi="Calibri" w:eastAsia="Calibri" w:cs="Calibri"/>
          <w:b w:val="0"/>
          <w:bCs w:val="0"/>
          <w:i w:val="0"/>
          <w:iCs w:val="0"/>
          <w:sz w:val="22"/>
          <w:szCs w:val="22"/>
        </w:rPr>
        <w:t>EducExpen</w:t>
      </w:r>
      <w:r w:rsidRPr="0129304D" w:rsidR="00FD59C9">
        <w:rPr>
          <w:rFonts w:ascii="Calibri" w:hAnsi="Calibri" w:eastAsia="Calibri" w:cs="Calibri"/>
          <w:b w:val="0"/>
          <w:bCs w:val="0"/>
          <w:i w:val="0"/>
          <w:iCs w:val="0"/>
          <w:sz w:val="22"/>
          <w:szCs w:val="22"/>
        </w:rPr>
        <w:t>), stopę bezrobocia (</w:t>
      </w:r>
      <w:r w:rsidRPr="0129304D" w:rsidR="00FD59C9">
        <w:rPr>
          <w:rFonts w:ascii="Calibri" w:hAnsi="Calibri" w:eastAsia="Calibri" w:cs="Calibri"/>
          <w:b w:val="0"/>
          <w:bCs w:val="0"/>
          <w:i w:val="0"/>
          <w:iCs w:val="0"/>
          <w:sz w:val="22"/>
          <w:szCs w:val="22"/>
        </w:rPr>
        <w:t>Unempl</w:t>
      </w:r>
      <w:r w:rsidRPr="0129304D" w:rsidR="00FD59C9">
        <w:rPr>
          <w:rFonts w:ascii="Calibri" w:hAnsi="Calibri" w:eastAsia="Calibri" w:cs="Calibri"/>
          <w:b w:val="0"/>
          <w:bCs w:val="0"/>
          <w:i w:val="0"/>
          <w:iCs w:val="0"/>
          <w:sz w:val="22"/>
          <w:szCs w:val="22"/>
        </w:rPr>
        <w:t>) oraz logarytm PKB na mieszkańca (</w:t>
      </w:r>
      <w:r w:rsidRPr="0129304D" w:rsidR="00FD59C9">
        <w:rPr>
          <w:rFonts w:ascii="Calibri" w:hAnsi="Calibri" w:eastAsia="Calibri" w:cs="Calibri"/>
          <w:b w:val="0"/>
          <w:bCs w:val="0"/>
          <w:i w:val="0"/>
          <w:iCs w:val="0"/>
          <w:sz w:val="22"/>
          <w:szCs w:val="22"/>
        </w:rPr>
        <w:t>log(</w:t>
      </w:r>
      <w:r w:rsidRPr="0129304D" w:rsidR="00FD59C9">
        <w:rPr>
          <w:rFonts w:ascii="Calibri" w:hAnsi="Calibri" w:eastAsia="Calibri" w:cs="Calibri"/>
          <w:b w:val="0"/>
          <w:bCs w:val="0"/>
          <w:i w:val="0"/>
          <w:iCs w:val="0"/>
          <w:sz w:val="22"/>
          <w:szCs w:val="22"/>
        </w:rPr>
        <w:t>GDPoecd</w:t>
      </w:r>
      <w:r w:rsidRPr="0129304D" w:rsidR="00FD59C9">
        <w:rPr>
          <w:rFonts w:ascii="Calibri" w:hAnsi="Calibri" w:eastAsia="Calibri" w:cs="Calibri"/>
          <w:b w:val="0"/>
          <w:bCs w:val="0"/>
          <w:i w:val="0"/>
          <w:iCs w:val="0"/>
          <w:sz w:val="22"/>
          <w:szCs w:val="22"/>
        </w:rPr>
        <w:t>)).</w:t>
      </w:r>
      <w:r w:rsidRPr="0129304D" w:rsidR="611E786D">
        <w:rPr>
          <w:rFonts w:ascii="Calibri" w:hAnsi="Calibri" w:eastAsia="Calibri" w:cs="Calibri"/>
          <w:b w:val="0"/>
          <w:bCs w:val="0"/>
          <w:i w:val="0"/>
          <w:iCs w:val="0"/>
          <w:sz w:val="22"/>
          <w:szCs w:val="22"/>
        </w:rPr>
        <w:t xml:space="preserve"> Oszacowania parametrów strukturalnych zostały wykonane za pomocą metody KMNK. Przeprowadzane testy statystyczne wskazały</w:t>
      </w:r>
      <w:r w:rsidRPr="0129304D" w:rsidR="01034C45">
        <w:rPr>
          <w:rFonts w:ascii="Calibri" w:hAnsi="Calibri" w:eastAsia="Calibri" w:cs="Calibri"/>
          <w:b w:val="0"/>
          <w:bCs w:val="0"/>
          <w:i w:val="0"/>
          <w:iCs w:val="0"/>
          <w:sz w:val="22"/>
          <w:szCs w:val="22"/>
        </w:rPr>
        <w:t xml:space="preserve">, iż zaproponowane przez nas </w:t>
      </w:r>
      <w:r w:rsidRPr="0129304D" w:rsidR="71E01C0E">
        <w:rPr>
          <w:rFonts w:ascii="Calibri" w:hAnsi="Calibri" w:eastAsia="Calibri" w:cs="Calibri"/>
          <w:b w:val="0"/>
          <w:bCs w:val="0"/>
          <w:i w:val="0"/>
          <w:iCs w:val="0"/>
          <w:sz w:val="22"/>
          <w:szCs w:val="22"/>
        </w:rPr>
        <w:t>zmienne wszystkie są egzogeniczne (zbędnym okazało się wykorzystanie Metody Zmiennych Instrumentalnych), ponadto test V</w:t>
      </w:r>
      <w:r w:rsidRPr="0129304D" w:rsidR="4C7B75B4">
        <w:rPr>
          <w:rFonts w:ascii="Calibri" w:hAnsi="Calibri" w:eastAsia="Calibri" w:cs="Calibri"/>
          <w:b w:val="0"/>
          <w:bCs w:val="0"/>
          <w:i w:val="0"/>
          <w:iCs w:val="0"/>
          <w:sz w:val="22"/>
          <w:szCs w:val="22"/>
        </w:rPr>
        <w:t xml:space="preserve">IF wskazał, że nie występuje współliniowość </w:t>
      </w:r>
      <w:r w:rsidRPr="0129304D" w:rsidR="4C7B75B4">
        <w:rPr>
          <w:rFonts w:ascii="Calibri" w:hAnsi="Calibri" w:eastAsia="Calibri" w:cs="Calibri"/>
          <w:b w:val="0"/>
          <w:bCs w:val="0"/>
          <w:i w:val="0"/>
          <w:iCs w:val="0"/>
          <w:sz w:val="22"/>
          <w:szCs w:val="22"/>
        </w:rPr>
        <w:t>regresorów</w:t>
      </w:r>
      <w:r w:rsidRPr="0129304D" w:rsidR="4C7B75B4">
        <w:rPr>
          <w:rFonts w:ascii="Calibri" w:hAnsi="Calibri" w:eastAsia="Calibri" w:cs="Calibri"/>
          <w:b w:val="0"/>
          <w:bCs w:val="0"/>
          <w:i w:val="0"/>
          <w:iCs w:val="0"/>
          <w:sz w:val="22"/>
          <w:szCs w:val="22"/>
        </w:rPr>
        <w:t>, test RESET wskazał, że nie mamy podstaw</w:t>
      </w:r>
      <w:r w:rsidRPr="0129304D" w:rsidR="48D2A4DD">
        <w:rPr>
          <w:rFonts w:ascii="Calibri" w:hAnsi="Calibri" w:eastAsia="Calibri" w:cs="Calibri"/>
          <w:b w:val="0"/>
          <w:bCs w:val="0"/>
          <w:i w:val="0"/>
          <w:iCs w:val="0"/>
          <w:sz w:val="22"/>
          <w:szCs w:val="22"/>
        </w:rPr>
        <w:t xml:space="preserve">, aby odrzucić hipotezę zerową o poprawnej specyfikacji modelu. Dodatkowo test </w:t>
      </w:r>
      <w:r w:rsidRPr="0129304D" w:rsidR="49C59FA9">
        <w:rPr>
          <w:rFonts w:ascii="Calibri" w:hAnsi="Calibri" w:eastAsia="Calibri" w:cs="Calibri"/>
          <w:b w:val="0"/>
          <w:bCs w:val="0"/>
          <w:i w:val="0"/>
          <w:iCs w:val="0"/>
          <w:sz w:val="22"/>
          <w:szCs w:val="22"/>
        </w:rPr>
        <w:t>Breush-Pagan'a</w:t>
      </w:r>
      <w:r w:rsidRPr="0129304D" w:rsidR="48D2A4DD">
        <w:rPr>
          <w:rFonts w:ascii="Calibri" w:hAnsi="Calibri" w:eastAsia="Calibri" w:cs="Calibri"/>
          <w:b w:val="0"/>
          <w:bCs w:val="0"/>
          <w:i w:val="0"/>
          <w:iCs w:val="0"/>
          <w:sz w:val="22"/>
          <w:szCs w:val="22"/>
        </w:rPr>
        <w:t xml:space="preserve"> wskazał, że nie mamy podstaw, aby odrzucić </w:t>
      </w:r>
      <w:r w:rsidRPr="0129304D" w:rsidR="15F9B88E">
        <w:rPr>
          <w:rFonts w:ascii="Calibri" w:hAnsi="Calibri" w:eastAsia="Calibri" w:cs="Calibri"/>
          <w:b w:val="0"/>
          <w:bCs w:val="0"/>
          <w:i w:val="0"/>
          <w:iCs w:val="0"/>
          <w:sz w:val="22"/>
          <w:szCs w:val="22"/>
        </w:rPr>
        <w:t xml:space="preserve">hipotezę zerową o </w:t>
      </w:r>
      <w:r w:rsidRPr="0129304D" w:rsidR="15F9B88E">
        <w:rPr>
          <w:rFonts w:ascii="Calibri" w:hAnsi="Calibri" w:eastAsia="Calibri" w:cs="Calibri"/>
          <w:b w:val="0"/>
          <w:bCs w:val="0"/>
          <w:i w:val="0"/>
          <w:iCs w:val="0"/>
          <w:sz w:val="22"/>
          <w:szCs w:val="22"/>
        </w:rPr>
        <w:t>homoskedastyczności</w:t>
      </w:r>
      <w:r w:rsidRPr="0129304D" w:rsidR="15F9B88E">
        <w:rPr>
          <w:rFonts w:ascii="Calibri" w:hAnsi="Calibri" w:eastAsia="Calibri" w:cs="Calibri"/>
          <w:b w:val="0"/>
          <w:bCs w:val="0"/>
          <w:i w:val="0"/>
          <w:iCs w:val="0"/>
          <w:sz w:val="22"/>
          <w:szCs w:val="22"/>
        </w:rPr>
        <w:t xml:space="preserve"> składnika losowego oraz te</w:t>
      </w:r>
      <w:r w:rsidRPr="0129304D" w:rsidR="614FC734">
        <w:rPr>
          <w:rFonts w:ascii="Calibri" w:hAnsi="Calibri" w:eastAsia="Calibri" w:cs="Calibri"/>
          <w:b w:val="0"/>
          <w:bCs w:val="0"/>
          <w:i w:val="0"/>
          <w:iCs w:val="0"/>
          <w:sz w:val="22"/>
          <w:szCs w:val="22"/>
        </w:rPr>
        <w:t xml:space="preserve">st </w:t>
      </w:r>
      <w:r w:rsidRPr="0129304D" w:rsidR="614FC734">
        <w:rPr>
          <w:rFonts w:ascii="Calibri" w:hAnsi="Calibri" w:eastAsia="Calibri" w:cs="Calibri"/>
          <w:b w:val="0"/>
          <w:bCs w:val="0"/>
          <w:i w:val="0"/>
          <w:iCs w:val="0"/>
          <w:sz w:val="22"/>
          <w:szCs w:val="22"/>
        </w:rPr>
        <w:t>Jarque</w:t>
      </w:r>
      <w:r w:rsidRPr="0129304D" w:rsidR="614FC734">
        <w:rPr>
          <w:rFonts w:ascii="Calibri" w:hAnsi="Calibri" w:eastAsia="Calibri" w:cs="Calibri"/>
          <w:b w:val="0"/>
          <w:bCs w:val="0"/>
          <w:i w:val="0"/>
          <w:iCs w:val="0"/>
          <w:sz w:val="22"/>
          <w:szCs w:val="22"/>
        </w:rPr>
        <w:t>-Bera wskazał, że składnik losowy ma rozkład normalny. Z powyższego wnioskujemy, iż estymator KMNK jest najefektywniejszy i nieobciążony.</w:t>
      </w:r>
      <w:r w:rsidRPr="0129304D" w:rsidR="62E8B527">
        <w:rPr>
          <w:rFonts w:ascii="Calibri" w:hAnsi="Calibri" w:eastAsia="Calibri" w:cs="Calibri"/>
          <w:b w:val="0"/>
          <w:bCs w:val="0"/>
          <w:i w:val="0"/>
          <w:iCs w:val="0"/>
          <w:sz w:val="22"/>
          <w:szCs w:val="22"/>
        </w:rPr>
        <w:t xml:space="preserve"> </w:t>
      </w:r>
    </w:p>
    <w:p w:rsidR="62E8B527" w:rsidP="0129304D" w:rsidRDefault="62E8B527" w14:paraId="421AF497" w14:textId="4F0A2CE8">
      <w:pPr>
        <w:pStyle w:val="Normalny"/>
        <w:ind w:left="0"/>
        <w:rPr>
          <w:rFonts w:ascii="Calibri" w:hAnsi="Calibri" w:eastAsia="Calibri" w:cs="Calibri"/>
          <w:b w:val="0"/>
          <w:bCs w:val="0"/>
          <w:i w:val="0"/>
          <w:iCs w:val="0"/>
          <w:sz w:val="22"/>
          <w:szCs w:val="22"/>
        </w:rPr>
      </w:pPr>
      <w:r w:rsidRPr="0129304D" w:rsidR="62E8B527">
        <w:rPr>
          <w:rFonts w:ascii="Calibri" w:hAnsi="Calibri" w:eastAsia="Calibri" w:cs="Calibri"/>
          <w:b w:val="0"/>
          <w:bCs w:val="0"/>
          <w:i w:val="0"/>
          <w:iCs w:val="0"/>
          <w:sz w:val="22"/>
          <w:szCs w:val="22"/>
        </w:rPr>
        <w:t xml:space="preserve">Model wykazał wysokie dopasowanie (R-kwadrat wynosił 0.9345), co sugeruje, że prawie 94% zmienności w średniej stawce godzinowej netto może być wyjaśnione za pomocą pięciu zmiennych objaśniających w modelu. Ponadto zebrane dane i zaproponowany model spełniają założenia twierdzenia Gaussa-Markowa, oznacza to, że estymator Metody Najmniejszych Kwadratów jest BLUE (Best </w:t>
      </w:r>
      <w:r w:rsidRPr="0129304D" w:rsidR="62E8B527">
        <w:rPr>
          <w:rFonts w:ascii="Calibri" w:hAnsi="Calibri" w:eastAsia="Calibri" w:cs="Calibri"/>
          <w:b w:val="0"/>
          <w:bCs w:val="0"/>
          <w:i w:val="0"/>
          <w:iCs w:val="0"/>
          <w:sz w:val="22"/>
          <w:szCs w:val="22"/>
        </w:rPr>
        <w:t>Linear</w:t>
      </w:r>
      <w:r w:rsidRPr="0129304D" w:rsidR="62E8B527">
        <w:rPr>
          <w:rFonts w:ascii="Calibri" w:hAnsi="Calibri" w:eastAsia="Calibri" w:cs="Calibri"/>
          <w:b w:val="0"/>
          <w:bCs w:val="0"/>
          <w:i w:val="0"/>
          <w:iCs w:val="0"/>
          <w:sz w:val="22"/>
          <w:szCs w:val="22"/>
        </w:rPr>
        <w:t xml:space="preserve"> </w:t>
      </w:r>
      <w:r w:rsidRPr="0129304D" w:rsidR="62E8B527">
        <w:rPr>
          <w:rFonts w:ascii="Calibri" w:hAnsi="Calibri" w:eastAsia="Calibri" w:cs="Calibri"/>
          <w:b w:val="0"/>
          <w:bCs w:val="0"/>
          <w:i w:val="0"/>
          <w:iCs w:val="0"/>
          <w:sz w:val="22"/>
          <w:szCs w:val="22"/>
        </w:rPr>
        <w:t>Unbiased</w:t>
      </w:r>
      <w:r w:rsidRPr="0129304D" w:rsidR="62E8B527">
        <w:rPr>
          <w:rFonts w:ascii="Calibri" w:hAnsi="Calibri" w:eastAsia="Calibri" w:cs="Calibri"/>
          <w:b w:val="0"/>
          <w:bCs w:val="0"/>
          <w:i w:val="0"/>
          <w:iCs w:val="0"/>
          <w:sz w:val="22"/>
          <w:szCs w:val="22"/>
        </w:rPr>
        <w:t xml:space="preserve"> </w:t>
      </w:r>
      <w:r w:rsidRPr="0129304D" w:rsidR="62E8B527">
        <w:rPr>
          <w:rFonts w:ascii="Calibri" w:hAnsi="Calibri" w:eastAsia="Calibri" w:cs="Calibri"/>
          <w:b w:val="0"/>
          <w:bCs w:val="0"/>
          <w:i w:val="0"/>
          <w:iCs w:val="0"/>
          <w:sz w:val="22"/>
          <w:szCs w:val="22"/>
        </w:rPr>
        <w:t>Estimator</w:t>
      </w:r>
      <w:r w:rsidRPr="0129304D" w:rsidR="62E8B527">
        <w:rPr>
          <w:rFonts w:ascii="Calibri" w:hAnsi="Calibri" w:eastAsia="Calibri" w:cs="Calibri"/>
          <w:b w:val="0"/>
          <w:bCs w:val="0"/>
          <w:i w:val="0"/>
          <w:iCs w:val="0"/>
          <w:sz w:val="22"/>
          <w:szCs w:val="22"/>
        </w:rPr>
        <w:t>)</w:t>
      </w:r>
    </w:p>
    <w:p w:rsidR="00FD59C9" w:rsidP="0129304D" w:rsidRDefault="00FD59C9" w14:paraId="43E5E57D" w14:textId="790FF022">
      <w:pPr>
        <w:pStyle w:val="Normalny"/>
        <w:ind w:left="0"/>
        <w:rPr>
          <w:rFonts w:ascii="Calibri" w:hAnsi="Calibri" w:eastAsia="Calibri" w:cs="Calibri"/>
          <w:b w:val="0"/>
          <w:bCs w:val="0"/>
          <w:i w:val="0"/>
          <w:iCs w:val="0"/>
          <w:sz w:val="22"/>
          <w:szCs w:val="22"/>
        </w:rPr>
      </w:pPr>
      <w:r w:rsidRPr="0129304D" w:rsidR="00FD59C9">
        <w:rPr>
          <w:rFonts w:ascii="Calibri" w:hAnsi="Calibri" w:eastAsia="Calibri" w:cs="Calibri"/>
          <w:b w:val="0"/>
          <w:bCs w:val="0"/>
          <w:i w:val="0"/>
          <w:iCs w:val="0"/>
          <w:sz w:val="22"/>
          <w:szCs w:val="22"/>
        </w:rPr>
        <w:t xml:space="preserve">Wyniki analizy sugerują, że wszystkie te czynniki mają istotny wpływ na średnią stawkę godzinową netto. </w:t>
      </w:r>
      <w:r w:rsidRPr="0129304D" w:rsidR="0429886E">
        <w:rPr>
          <w:rFonts w:ascii="Calibri" w:hAnsi="Calibri" w:eastAsia="Calibri" w:cs="Calibri"/>
          <w:b w:val="0"/>
          <w:bCs w:val="0"/>
          <w:i w:val="0"/>
          <w:iCs w:val="0"/>
          <w:sz w:val="22"/>
          <w:szCs w:val="22"/>
        </w:rPr>
        <w:t>Wbrew oczekiwaniom</w:t>
      </w:r>
      <w:r w:rsidRPr="0129304D" w:rsidR="00FD59C9">
        <w:rPr>
          <w:rFonts w:ascii="Calibri" w:hAnsi="Calibri" w:eastAsia="Calibri" w:cs="Calibri"/>
          <w:b w:val="0"/>
          <w:bCs w:val="0"/>
          <w:i w:val="0"/>
          <w:iCs w:val="0"/>
          <w:sz w:val="22"/>
          <w:szCs w:val="22"/>
        </w:rPr>
        <w:t xml:space="preserve">, wydatki rządowe na edukację wykazały ujemny wpływ na średnią stawkę godzinową, co może sugerować, że większe wydatki na edukację niekoniecznie przekładają się na wyższe płace. </w:t>
      </w:r>
      <w:r w:rsidRPr="0129304D" w:rsidR="1BBA49D4">
        <w:rPr>
          <w:rFonts w:ascii="Calibri" w:hAnsi="Calibri" w:eastAsia="Calibri" w:cs="Calibri"/>
          <w:b w:val="0"/>
          <w:bCs w:val="0"/>
          <w:i w:val="0"/>
          <w:iCs w:val="0"/>
          <w:sz w:val="22"/>
          <w:szCs w:val="22"/>
        </w:rPr>
        <w:t>Tak samo stopa bezrobocia</w:t>
      </w:r>
      <w:r w:rsidRPr="0129304D" w:rsidR="4BDD0086">
        <w:rPr>
          <w:rFonts w:ascii="Calibri" w:hAnsi="Calibri" w:eastAsia="Calibri" w:cs="Calibri"/>
          <w:b w:val="0"/>
          <w:bCs w:val="0"/>
          <w:i w:val="0"/>
          <w:iCs w:val="0"/>
          <w:sz w:val="22"/>
          <w:szCs w:val="22"/>
        </w:rPr>
        <w:t xml:space="preserve"> ma zaskakująco pozytywny wpływ na wyższe płace. </w:t>
      </w:r>
      <w:r w:rsidRPr="0129304D" w:rsidR="00FD59C9">
        <w:rPr>
          <w:rFonts w:ascii="Calibri" w:hAnsi="Calibri" w:eastAsia="Calibri" w:cs="Calibri"/>
          <w:b w:val="0"/>
          <w:bCs w:val="0"/>
          <w:i w:val="0"/>
          <w:iCs w:val="0"/>
          <w:sz w:val="22"/>
          <w:szCs w:val="22"/>
        </w:rPr>
        <w:t>Natomiast stopa bezrobocia, stopa inflacji, poziom wykształcenia oraz PKB na mieszkańca miały oczekiwany, pozytywny wpływ na średnią stawkę godzinową.</w:t>
      </w:r>
    </w:p>
    <w:p w:rsidR="00FD59C9" w:rsidP="0129304D" w:rsidRDefault="00FD59C9" w14:paraId="15D01DA8" w14:textId="74779275">
      <w:pPr>
        <w:pStyle w:val="Normalny"/>
        <w:ind w:left="0"/>
        <w:rPr>
          <w:rFonts w:ascii="Calibri" w:hAnsi="Calibri" w:eastAsia="Calibri" w:cs="Calibri"/>
          <w:b w:val="0"/>
          <w:bCs w:val="0"/>
          <w:i w:val="0"/>
          <w:iCs w:val="0"/>
          <w:sz w:val="22"/>
          <w:szCs w:val="22"/>
        </w:rPr>
      </w:pPr>
      <w:r w:rsidRPr="0129304D" w:rsidR="00FD59C9">
        <w:rPr>
          <w:rFonts w:ascii="Calibri" w:hAnsi="Calibri" w:eastAsia="Calibri" w:cs="Calibri"/>
          <w:b w:val="0"/>
          <w:bCs w:val="0"/>
          <w:i w:val="0"/>
          <w:iCs w:val="0"/>
          <w:sz w:val="22"/>
          <w:szCs w:val="22"/>
        </w:rPr>
        <w:t xml:space="preserve">Zmienna </w:t>
      </w:r>
      <w:r w:rsidRPr="0129304D" w:rsidR="00FD59C9">
        <w:rPr>
          <w:rFonts w:ascii="Calibri" w:hAnsi="Calibri" w:eastAsia="Calibri" w:cs="Calibri"/>
          <w:b w:val="0"/>
          <w:bCs w:val="0"/>
          <w:i w:val="0"/>
          <w:iCs w:val="0"/>
          <w:sz w:val="22"/>
          <w:szCs w:val="22"/>
        </w:rPr>
        <w:t>log(</w:t>
      </w:r>
      <w:r w:rsidRPr="0129304D" w:rsidR="00FD59C9">
        <w:rPr>
          <w:rFonts w:ascii="Calibri" w:hAnsi="Calibri" w:eastAsia="Calibri" w:cs="Calibri"/>
          <w:b w:val="0"/>
          <w:bCs w:val="0"/>
          <w:i w:val="0"/>
          <w:iCs w:val="0"/>
          <w:sz w:val="22"/>
          <w:szCs w:val="22"/>
        </w:rPr>
        <w:t>GDPoecd</w:t>
      </w:r>
      <w:r w:rsidRPr="0129304D" w:rsidR="00FD59C9">
        <w:rPr>
          <w:rFonts w:ascii="Calibri" w:hAnsi="Calibri" w:eastAsia="Calibri" w:cs="Calibri"/>
          <w:b w:val="0"/>
          <w:bCs w:val="0"/>
          <w:i w:val="0"/>
          <w:iCs w:val="0"/>
          <w:sz w:val="22"/>
          <w:szCs w:val="22"/>
        </w:rPr>
        <w:t>) miała największy wpływ na średnią stawkę godzinową netto, co sugeruje, że wzrost gospodarczy jest kluczowym czynnikiem wpływającym na płace. Zgodnie z tym, zalecałoby się prowadzenie polityki gospodarczej sprzyjającej wzrostowi PKB na mieszkańca.</w:t>
      </w:r>
    </w:p>
    <w:p w:rsidR="42E8027D" w:rsidP="0129304D" w:rsidRDefault="42E8027D" w14:paraId="2C95C7C6" w14:textId="32A8CCD3">
      <w:pPr>
        <w:pStyle w:val="Normalny"/>
        <w:ind w:left="0"/>
        <w:rPr>
          <w:rFonts w:ascii="Calibri" w:hAnsi="Calibri" w:eastAsia="Calibri" w:cs="Calibri"/>
          <w:b w:val="0"/>
          <w:bCs w:val="0"/>
          <w:i w:val="0"/>
          <w:iCs w:val="0"/>
          <w:sz w:val="22"/>
          <w:szCs w:val="22"/>
        </w:rPr>
      </w:pPr>
      <w:r w:rsidRPr="0129304D" w:rsidR="42E8027D">
        <w:rPr>
          <w:rFonts w:ascii="Calibri" w:hAnsi="Calibri" w:eastAsia="Calibri" w:cs="Calibri"/>
          <w:b w:val="0"/>
          <w:bCs w:val="0"/>
          <w:i w:val="0"/>
          <w:iCs w:val="0"/>
          <w:sz w:val="22"/>
          <w:szCs w:val="22"/>
        </w:rPr>
        <w:t>Na podstawie zgromadzonych danych i przeprowadzonej analizy można wywnioskować, że poziom wykształcenia społeczeństwa</w:t>
      </w:r>
      <w:r w:rsidRPr="0129304D" w:rsidR="33FB7FEE">
        <w:rPr>
          <w:rFonts w:ascii="Calibri" w:hAnsi="Calibri" w:eastAsia="Calibri" w:cs="Calibri"/>
          <w:b w:val="0"/>
          <w:bCs w:val="0"/>
          <w:i w:val="0"/>
          <w:iCs w:val="0"/>
          <w:sz w:val="22"/>
          <w:szCs w:val="22"/>
        </w:rPr>
        <w:t xml:space="preserve"> - reprezentowany odsetkiem osób </w:t>
      </w:r>
      <w:r w:rsidRPr="0129304D" w:rsidR="33FB7FEE">
        <w:rPr>
          <w:rFonts w:ascii="Calibri" w:hAnsi="Calibri" w:eastAsia="Calibri" w:cs="Calibri"/>
          <w:b w:val="0"/>
          <w:bCs w:val="0"/>
          <w:i w:val="0"/>
          <w:iCs w:val="0"/>
          <w:sz w:val="22"/>
          <w:szCs w:val="22"/>
        </w:rPr>
        <w:t>posiadający</w:t>
      </w:r>
      <w:r w:rsidRPr="0129304D" w:rsidR="33FB7FEE">
        <w:rPr>
          <w:rFonts w:ascii="Calibri" w:hAnsi="Calibri" w:eastAsia="Calibri" w:cs="Calibri"/>
          <w:b w:val="0"/>
          <w:bCs w:val="0"/>
          <w:i w:val="0"/>
          <w:iCs w:val="0"/>
          <w:sz w:val="22"/>
          <w:szCs w:val="22"/>
        </w:rPr>
        <w:t>ch wyższe wykształcenie,</w:t>
      </w:r>
      <w:r w:rsidRPr="0129304D" w:rsidR="42E8027D">
        <w:rPr>
          <w:rFonts w:ascii="Calibri" w:hAnsi="Calibri" w:eastAsia="Calibri" w:cs="Calibri"/>
          <w:b w:val="0"/>
          <w:bCs w:val="0"/>
          <w:i w:val="0"/>
          <w:iCs w:val="0"/>
          <w:sz w:val="22"/>
          <w:szCs w:val="22"/>
        </w:rPr>
        <w:t xml:space="preserve"> wymiernie dodatnio wpływa </w:t>
      </w:r>
      <w:r w:rsidRPr="0129304D" w:rsidR="12BA66ED">
        <w:rPr>
          <w:rFonts w:ascii="Calibri" w:hAnsi="Calibri" w:eastAsia="Calibri" w:cs="Calibri"/>
          <w:b w:val="0"/>
          <w:bCs w:val="0"/>
          <w:i w:val="0"/>
          <w:iCs w:val="0"/>
          <w:sz w:val="22"/>
          <w:szCs w:val="22"/>
        </w:rPr>
        <w:t xml:space="preserve">na średnią stawkę godzinową w danym kraju. </w:t>
      </w:r>
    </w:p>
    <w:p w:rsidR="77145115" w:rsidP="0129304D" w:rsidRDefault="77145115" w14:paraId="2753F555" w14:textId="019C3155">
      <w:pPr>
        <w:pStyle w:val="Normalny"/>
        <w:ind w:left="0"/>
        <w:rPr>
          <w:rFonts w:ascii="Calibri" w:hAnsi="Calibri" w:eastAsia="Calibri" w:cs="Calibri"/>
          <w:b w:val="1"/>
          <w:bCs w:val="1"/>
          <w:i w:val="0"/>
          <w:iCs w:val="0"/>
          <w:sz w:val="32"/>
          <w:szCs w:val="32"/>
        </w:rPr>
      </w:pPr>
      <w:r w:rsidRPr="0129304D" w:rsidR="77145115">
        <w:rPr>
          <w:rFonts w:ascii="Calibri" w:hAnsi="Calibri" w:eastAsia="Calibri" w:cs="Calibri"/>
          <w:b w:val="1"/>
          <w:bCs w:val="1"/>
          <w:i w:val="0"/>
          <w:iCs w:val="0"/>
          <w:sz w:val="32"/>
          <w:szCs w:val="32"/>
        </w:rPr>
        <w:t>Bibliografia</w:t>
      </w:r>
    </w:p>
    <w:p w:rsidR="0BBF733D" w:rsidP="0129304D" w:rsidRDefault="0BBF733D" w14:paraId="66B7B7BD" w14:textId="5C1FB9FF">
      <w:pPr>
        <w:pStyle w:val="Akapitzlist"/>
        <w:numPr>
          <w:ilvl w:val="0"/>
          <w:numId w:val="29"/>
        </w:numPr>
        <w:rPr>
          <w:rFonts w:ascii="Calibri" w:hAnsi="Calibri" w:eastAsia="Calibri" w:cs="Calibri"/>
          <w:b w:val="0"/>
          <w:bCs w:val="0"/>
          <w:i w:val="0"/>
          <w:iCs w:val="0"/>
          <w:sz w:val="22"/>
          <w:szCs w:val="22"/>
        </w:rPr>
      </w:pPr>
      <w:r w:rsidRPr="0129304D" w:rsidR="0BBF733D">
        <w:rPr>
          <w:rFonts w:ascii="Calibri" w:hAnsi="Calibri" w:eastAsia="Calibri" w:cs="Calibri"/>
          <w:noProof w:val="0"/>
          <w:sz w:val="22"/>
          <w:szCs w:val="22"/>
          <w:lang w:val="pl-PL"/>
        </w:rPr>
        <w:t>K</w:t>
      </w:r>
      <w:r w:rsidRPr="0129304D" w:rsidR="36DE25FD">
        <w:rPr>
          <w:rFonts w:ascii="Calibri" w:hAnsi="Calibri" w:eastAsia="Calibri" w:cs="Calibri"/>
          <w:noProof w:val="0"/>
          <w:sz w:val="22"/>
          <w:szCs w:val="22"/>
          <w:lang w:val="pl-PL"/>
        </w:rPr>
        <w:t xml:space="preserve">arolina </w:t>
      </w:r>
      <w:r w:rsidRPr="0129304D" w:rsidR="0BBF733D">
        <w:rPr>
          <w:rFonts w:ascii="Calibri" w:hAnsi="Calibri" w:eastAsia="Calibri" w:cs="Calibri"/>
          <w:noProof w:val="0"/>
          <w:sz w:val="22"/>
          <w:szCs w:val="22"/>
          <w:lang w:val="pl-PL"/>
        </w:rPr>
        <w:t>G</w:t>
      </w:r>
      <w:r w:rsidRPr="0129304D" w:rsidR="5D20CA30">
        <w:rPr>
          <w:rFonts w:ascii="Calibri" w:hAnsi="Calibri" w:eastAsia="Calibri" w:cs="Calibri"/>
          <w:noProof w:val="0"/>
          <w:sz w:val="22"/>
          <w:szCs w:val="22"/>
          <w:lang w:val="pl-PL"/>
        </w:rPr>
        <w:t>oraus</w:t>
      </w:r>
      <w:r w:rsidRPr="0129304D" w:rsidR="0BBF733D">
        <w:rPr>
          <w:rFonts w:ascii="Calibri" w:hAnsi="Calibri" w:eastAsia="Calibri" w:cs="Calibri"/>
          <w:noProof w:val="0"/>
          <w:sz w:val="22"/>
          <w:szCs w:val="22"/>
          <w:lang w:val="pl-PL"/>
        </w:rPr>
        <w:t>-Tańska</w:t>
      </w:r>
      <w:r w:rsidRPr="0129304D" w:rsidR="78953FCE">
        <w:rPr>
          <w:rFonts w:ascii="Calibri" w:hAnsi="Calibri" w:eastAsia="Calibri" w:cs="Calibri"/>
          <w:noProof w:val="0"/>
          <w:sz w:val="22"/>
          <w:szCs w:val="22"/>
          <w:lang w:val="pl-PL"/>
        </w:rPr>
        <w:t xml:space="preserve">, </w:t>
      </w:r>
      <w:r w:rsidRPr="0129304D" w:rsidR="0BBF733D">
        <w:rPr>
          <w:rFonts w:ascii="Calibri" w:hAnsi="Calibri" w:eastAsia="Calibri" w:cs="Calibri"/>
          <w:noProof w:val="0"/>
          <w:sz w:val="22"/>
          <w:szCs w:val="22"/>
          <w:lang w:val="pl-PL"/>
        </w:rPr>
        <w:t>Z</w:t>
      </w:r>
      <w:r w:rsidRPr="0129304D" w:rsidR="5276607A">
        <w:rPr>
          <w:rFonts w:ascii="Calibri" w:hAnsi="Calibri" w:eastAsia="Calibri" w:cs="Calibri"/>
          <w:noProof w:val="0"/>
          <w:sz w:val="22"/>
          <w:szCs w:val="22"/>
          <w:lang w:val="pl-PL"/>
        </w:rPr>
        <w:t>uzanna Osika</w:t>
      </w:r>
      <w:r w:rsidRPr="0129304D" w:rsidR="0BBF733D">
        <w:rPr>
          <w:rFonts w:ascii="Calibri" w:hAnsi="Calibri" w:eastAsia="Calibri" w:cs="Calibri"/>
          <w:noProof w:val="0"/>
          <w:sz w:val="22"/>
          <w:szCs w:val="22"/>
          <w:lang w:val="pl-PL"/>
        </w:rPr>
        <w:t xml:space="preserve"> </w:t>
      </w:r>
      <w:r w:rsidRPr="0129304D" w:rsidR="6E81AF40">
        <w:rPr>
          <w:rFonts w:ascii="Calibri" w:hAnsi="Calibri" w:eastAsia="Calibri" w:cs="Calibri"/>
          <w:noProof w:val="0"/>
          <w:sz w:val="22"/>
          <w:szCs w:val="22"/>
          <w:lang w:val="pl-PL"/>
        </w:rPr>
        <w:t>“Stopnie wyższego wykształcenia a zarobki w Polsce</w:t>
      </w:r>
      <w:r>
        <w:br/>
      </w:r>
      <w:r w:rsidRPr="0129304D" w:rsidR="6E81AF40">
        <w:rPr>
          <w:rFonts w:ascii="Calibri" w:hAnsi="Calibri" w:eastAsia="Calibri" w:cs="Calibri"/>
          <w:noProof w:val="0"/>
          <w:sz w:val="22"/>
          <w:szCs w:val="22"/>
          <w:lang w:val="pl-PL"/>
        </w:rPr>
        <w:t xml:space="preserve">i innych krajach OEC” </w:t>
      </w:r>
      <w:r w:rsidRPr="0129304D" w:rsidR="0BBF733D">
        <w:rPr>
          <w:rFonts w:ascii="Calibri" w:hAnsi="Calibri" w:eastAsia="Calibri" w:cs="Calibri"/>
          <w:noProof w:val="0"/>
          <w:sz w:val="22"/>
          <w:szCs w:val="22"/>
          <w:lang w:val="pl-PL"/>
        </w:rPr>
        <w:t>(2020)</w:t>
      </w:r>
      <w:r w:rsidRPr="0129304D" w:rsidR="1C972EFA">
        <w:rPr>
          <w:rFonts w:ascii="Calibri" w:hAnsi="Calibri" w:eastAsia="Calibri" w:cs="Calibri"/>
          <w:noProof w:val="0"/>
          <w:sz w:val="22"/>
          <w:szCs w:val="22"/>
          <w:lang w:val="pl-PL"/>
        </w:rPr>
        <w:t xml:space="preserve"> </w:t>
      </w:r>
      <w:r w:rsidRPr="0129304D" w:rsidR="0BBF733D">
        <w:rPr>
          <w:rFonts w:ascii="Calibri" w:hAnsi="Calibri" w:eastAsia="Calibri" w:cs="Calibri"/>
          <w:b w:val="0"/>
          <w:bCs w:val="0"/>
          <w:i w:val="0"/>
          <w:iCs w:val="0"/>
          <w:sz w:val="22"/>
          <w:szCs w:val="22"/>
        </w:rPr>
        <w:t>https://archiwum.pte.pl/pliki/1/8905/Ekonomista_2020-3_7-37.pdf</w:t>
      </w:r>
    </w:p>
    <w:sectPr w:rsidRPr="005D33B6" w:rsidR="000E48B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5b811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5ff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95c38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f42b8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b7dda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4a46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37f2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4af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7880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f1d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127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fc3c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67b3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b7553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94A3F"/>
    <w:multiLevelType w:val="hybridMultilevel"/>
    <w:tmpl w:val="391A15E2"/>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F19C9"/>
    <w:multiLevelType w:val="hybridMultilevel"/>
    <w:tmpl w:val="D87496C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 w15:restartNumberingAfterBreak="0">
    <w:nsid w:val="1DA441A5"/>
    <w:multiLevelType w:val="hybridMultilevel"/>
    <w:tmpl w:val="43BE49C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 w15:restartNumberingAfterBreak="0">
    <w:nsid w:val="32093986"/>
    <w:multiLevelType w:val="hybridMultilevel"/>
    <w:tmpl w:val="D5B2978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 w15:restartNumberingAfterBreak="0">
    <w:nsid w:val="39C737C7"/>
    <w:multiLevelType w:val="hybridMultilevel"/>
    <w:tmpl w:val="FAD8B38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 w15:restartNumberingAfterBreak="0">
    <w:nsid w:val="433D3ACA"/>
    <w:multiLevelType w:val="hybridMultilevel"/>
    <w:tmpl w:val="0876F4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29">
    <w:abstractNumId w:val="19"/>
  </w:num>
  <w:num w:numId="28">
    <w:abstractNumId w:val="18"/>
  </w:num>
  <w:num w:numId="27">
    <w:abstractNumId w:val="17"/>
  </w:num>
  <w:num w:numId="26">
    <w:abstractNumId w:val="16"/>
  </w:num>
  <w:num w:numId="25">
    <w:abstractNumId w:val="15"/>
  </w:num>
  <w:num w:numId="24">
    <w:abstractNumId w:val="14"/>
  </w:num>
  <w:num w:numId="23">
    <w:abstractNumId w:val="13"/>
  </w:num>
  <w:num w:numId="22">
    <w:abstractNumId w:val="12"/>
  </w:num>
  <w:num w:numId="21">
    <w:abstractNumId w:val="11"/>
  </w:num>
  <w:num w:numId="20">
    <w:abstractNumId w:val="10"/>
  </w:num>
  <w:num w:numId="19">
    <w:abstractNumId w:val="9"/>
  </w:num>
  <w:num w:numId="18">
    <w:abstractNumId w:val="8"/>
  </w:num>
  <w:num w:numId="17">
    <w:abstractNumId w:val="7"/>
  </w:num>
  <w:num w:numId="16">
    <w:abstractNumId w:val="6"/>
  </w:num>
  <w:num w:numId="1" w16cid:durableId="250163774">
    <w:abstractNumId w:val="0"/>
  </w:num>
  <w:num w:numId="2" w16cid:durableId="1249921829">
    <w:abstractNumId w:val="0"/>
  </w:num>
  <w:num w:numId="3" w16cid:durableId="1930505843">
    <w:abstractNumId w:val="0"/>
  </w:num>
  <w:num w:numId="4" w16cid:durableId="745152007">
    <w:abstractNumId w:val="0"/>
  </w:num>
  <w:num w:numId="5" w16cid:durableId="1811748990">
    <w:abstractNumId w:val="0"/>
  </w:num>
  <w:num w:numId="6" w16cid:durableId="660622837">
    <w:abstractNumId w:val="0"/>
  </w:num>
  <w:num w:numId="7" w16cid:durableId="376591287">
    <w:abstractNumId w:val="0"/>
  </w:num>
  <w:num w:numId="8" w16cid:durableId="854341562">
    <w:abstractNumId w:val="0"/>
  </w:num>
  <w:num w:numId="9" w16cid:durableId="1101024541">
    <w:abstractNumId w:val="0"/>
  </w:num>
  <w:num w:numId="10" w16cid:durableId="603080011">
    <w:abstractNumId w:val="0"/>
  </w:num>
  <w:num w:numId="11" w16cid:durableId="585766557">
    <w:abstractNumId w:val="5"/>
  </w:num>
  <w:num w:numId="12" w16cid:durableId="2069256795">
    <w:abstractNumId w:val="1"/>
  </w:num>
  <w:num w:numId="13" w16cid:durableId="1101024751">
    <w:abstractNumId w:val="2"/>
  </w:num>
  <w:num w:numId="14" w16cid:durableId="195629618">
    <w:abstractNumId w:val="4"/>
  </w:num>
  <w:num w:numId="15" w16cid:durableId="164045341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B6"/>
    <w:rsid w:val="00055A1C"/>
    <w:rsid w:val="0008793D"/>
    <w:rsid w:val="000C18CC"/>
    <w:rsid w:val="000E48BE"/>
    <w:rsid w:val="001C0A9B"/>
    <w:rsid w:val="001E157B"/>
    <w:rsid w:val="00204144"/>
    <w:rsid w:val="00375B31"/>
    <w:rsid w:val="003B5B10"/>
    <w:rsid w:val="003B6F12"/>
    <w:rsid w:val="0044150E"/>
    <w:rsid w:val="00442620"/>
    <w:rsid w:val="004D5FD2"/>
    <w:rsid w:val="004EEDC4"/>
    <w:rsid w:val="004F7C8A"/>
    <w:rsid w:val="00500074"/>
    <w:rsid w:val="005D33B6"/>
    <w:rsid w:val="005F2CDF"/>
    <w:rsid w:val="00624DBA"/>
    <w:rsid w:val="00700782"/>
    <w:rsid w:val="007A71D7"/>
    <w:rsid w:val="007D5E3A"/>
    <w:rsid w:val="00893D44"/>
    <w:rsid w:val="009117B2"/>
    <w:rsid w:val="00AF4919"/>
    <w:rsid w:val="00B24867"/>
    <w:rsid w:val="00B63DBB"/>
    <w:rsid w:val="00D757B5"/>
    <w:rsid w:val="00DD1CFC"/>
    <w:rsid w:val="00E44B24"/>
    <w:rsid w:val="00F046C6"/>
    <w:rsid w:val="00FC11F8"/>
    <w:rsid w:val="00FD59C9"/>
    <w:rsid w:val="01034C45"/>
    <w:rsid w:val="0129304D"/>
    <w:rsid w:val="01407E32"/>
    <w:rsid w:val="0191FBAE"/>
    <w:rsid w:val="01ECF3CC"/>
    <w:rsid w:val="021EBBE6"/>
    <w:rsid w:val="0388C42D"/>
    <w:rsid w:val="03D8C43D"/>
    <w:rsid w:val="041EB2E3"/>
    <w:rsid w:val="04244FC6"/>
    <w:rsid w:val="0429886E"/>
    <w:rsid w:val="044774DA"/>
    <w:rsid w:val="045799A8"/>
    <w:rsid w:val="04C84642"/>
    <w:rsid w:val="05639AAE"/>
    <w:rsid w:val="05BDCD69"/>
    <w:rsid w:val="064E9033"/>
    <w:rsid w:val="06848F43"/>
    <w:rsid w:val="06A73C92"/>
    <w:rsid w:val="076E5D74"/>
    <w:rsid w:val="07828E0F"/>
    <w:rsid w:val="0885524A"/>
    <w:rsid w:val="0901BDA0"/>
    <w:rsid w:val="0945D516"/>
    <w:rsid w:val="09F2DE0B"/>
    <w:rsid w:val="09F5D70A"/>
    <w:rsid w:val="0B8AE1D5"/>
    <w:rsid w:val="0BBF733D"/>
    <w:rsid w:val="0C644D7B"/>
    <w:rsid w:val="0C7331C3"/>
    <w:rsid w:val="0D813A1A"/>
    <w:rsid w:val="0E6A284E"/>
    <w:rsid w:val="0EC9412D"/>
    <w:rsid w:val="0FF048A8"/>
    <w:rsid w:val="105CEFCE"/>
    <w:rsid w:val="106A72DC"/>
    <w:rsid w:val="111824F3"/>
    <w:rsid w:val="1150E6FB"/>
    <w:rsid w:val="12BA66ED"/>
    <w:rsid w:val="130B26D0"/>
    <w:rsid w:val="135BF4D9"/>
    <w:rsid w:val="138D784F"/>
    <w:rsid w:val="13C23286"/>
    <w:rsid w:val="147B3D62"/>
    <w:rsid w:val="1548DDE5"/>
    <w:rsid w:val="1578B765"/>
    <w:rsid w:val="15F9B88E"/>
    <w:rsid w:val="162E7B4B"/>
    <w:rsid w:val="167A6D3E"/>
    <w:rsid w:val="1693959B"/>
    <w:rsid w:val="180C9A58"/>
    <w:rsid w:val="181DF854"/>
    <w:rsid w:val="18611E43"/>
    <w:rsid w:val="1862D918"/>
    <w:rsid w:val="1969A167"/>
    <w:rsid w:val="1ADEA0E4"/>
    <w:rsid w:val="1B38C421"/>
    <w:rsid w:val="1BBA49D4"/>
    <w:rsid w:val="1BC34A46"/>
    <w:rsid w:val="1BD52AD7"/>
    <w:rsid w:val="1C972EFA"/>
    <w:rsid w:val="1CAA4450"/>
    <w:rsid w:val="1CB02A14"/>
    <w:rsid w:val="1D89923C"/>
    <w:rsid w:val="1E2064D3"/>
    <w:rsid w:val="1E398D30"/>
    <w:rsid w:val="1E65E7A7"/>
    <w:rsid w:val="1FBC3534"/>
    <w:rsid w:val="2011380A"/>
    <w:rsid w:val="20C132FE"/>
    <w:rsid w:val="21AAE730"/>
    <w:rsid w:val="225D035F"/>
    <w:rsid w:val="22C4CCC2"/>
    <w:rsid w:val="22D2AAE3"/>
    <w:rsid w:val="22E9EFDF"/>
    <w:rsid w:val="2345699D"/>
    <w:rsid w:val="23D9A1E6"/>
    <w:rsid w:val="246E7B44"/>
    <w:rsid w:val="25C23B66"/>
    <w:rsid w:val="261169EA"/>
    <w:rsid w:val="26BD2C3C"/>
    <w:rsid w:val="26EF8CF2"/>
    <w:rsid w:val="28C0CC62"/>
    <w:rsid w:val="295A233D"/>
    <w:rsid w:val="29C6BB66"/>
    <w:rsid w:val="29F7B46A"/>
    <w:rsid w:val="2A23C9FA"/>
    <w:rsid w:val="2AE7E168"/>
    <w:rsid w:val="2B95BA72"/>
    <w:rsid w:val="2C274BF5"/>
    <w:rsid w:val="2CA5078D"/>
    <w:rsid w:val="2D675BCF"/>
    <w:rsid w:val="2DF6EA4D"/>
    <w:rsid w:val="2E3452F6"/>
    <w:rsid w:val="2EA215F3"/>
    <w:rsid w:val="2FB6FAFA"/>
    <w:rsid w:val="3005DC26"/>
    <w:rsid w:val="30603758"/>
    <w:rsid w:val="307FCED4"/>
    <w:rsid w:val="30C3E64A"/>
    <w:rsid w:val="30F809E3"/>
    <w:rsid w:val="3137A028"/>
    <w:rsid w:val="3152CB5B"/>
    <w:rsid w:val="32B3D292"/>
    <w:rsid w:val="32E58DD6"/>
    <w:rsid w:val="32F8BEE9"/>
    <w:rsid w:val="33540BAC"/>
    <w:rsid w:val="3386A8D6"/>
    <w:rsid w:val="33B1F758"/>
    <w:rsid w:val="33C467D1"/>
    <w:rsid w:val="33FB7FEE"/>
    <w:rsid w:val="34815E37"/>
    <w:rsid w:val="3494F8E8"/>
    <w:rsid w:val="36053F41"/>
    <w:rsid w:val="36BB0C3F"/>
    <w:rsid w:val="36DE25FD"/>
    <w:rsid w:val="373524B7"/>
    <w:rsid w:val="376D983A"/>
    <w:rsid w:val="381557DD"/>
    <w:rsid w:val="38417D6C"/>
    <w:rsid w:val="388AE0B9"/>
    <w:rsid w:val="38D12DD6"/>
    <w:rsid w:val="38E39B1B"/>
    <w:rsid w:val="38E39B1B"/>
    <w:rsid w:val="39B1283E"/>
    <w:rsid w:val="3A546733"/>
    <w:rsid w:val="3A6CFE37"/>
    <w:rsid w:val="3A6F8C76"/>
    <w:rsid w:val="3AEAA871"/>
    <w:rsid w:val="3B21BEFD"/>
    <w:rsid w:val="3B3F7814"/>
    <w:rsid w:val="3BA2EDA9"/>
    <w:rsid w:val="3BEFA63B"/>
    <w:rsid w:val="3CDFCC05"/>
    <w:rsid w:val="3CF509CF"/>
    <w:rsid w:val="3D45297F"/>
    <w:rsid w:val="3D7140B8"/>
    <w:rsid w:val="3D977272"/>
    <w:rsid w:val="3DA94F4B"/>
    <w:rsid w:val="3DC3F11F"/>
    <w:rsid w:val="3F2746FD"/>
    <w:rsid w:val="3FCE4DB4"/>
    <w:rsid w:val="4013B4DD"/>
    <w:rsid w:val="4028D598"/>
    <w:rsid w:val="4064C63C"/>
    <w:rsid w:val="4066A94A"/>
    <w:rsid w:val="416A1E15"/>
    <w:rsid w:val="42B55EFA"/>
    <w:rsid w:val="42E8027D"/>
    <w:rsid w:val="42EE009C"/>
    <w:rsid w:val="4305EE76"/>
    <w:rsid w:val="432585F2"/>
    <w:rsid w:val="4402A5A6"/>
    <w:rsid w:val="443E801F"/>
    <w:rsid w:val="444C61F2"/>
    <w:rsid w:val="455C9CA4"/>
    <w:rsid w:val="45AFBC3F"/>
    <w:rsid w:val="46039057"/>
    <w:rsid w:val="47420497"/>
    <w:rsid w:val="48D2A4DD"/>
    <w:rsid w:val="493B3119"/>
    <w:rsid w:val="495608B8"/>
    <w:rsid w:val="499ACCD6"/>
    <w:rsid w:val="49C59FA9"/>
    <w:rsid w:val="49CFCE09"/>
    <w:rsid w:val="49DB1493"/>
    <w:rsid w:val="4AC6EA00"/>
    <w:rsid w:val="4AE2D55C"/>
    <w:rsid w:val="4BDD0086"/>
    <w:rsid w:val="4C5DB79B"/>
    <w:rsid w:val="4C7B75B4"/>
    <w:rsid w:val="4D2A424F"/>
    <w:rsid w:val="4DF579DF"/>
    <w:rsid w:val="4F689BC2"/>
    <w:rsid w:val="4FB35B47"/>
    <w:rsid w:val="5111BC9D"/>
    <w:rsid w:val="51DEFD2C"/>
    <w:rsid w:val="5276607A"/>
    <w:rsid w:val="52CE8CB6"/>
    <w:rsid w:val="5322815F"/>
    <w:rsid w:val="536698D5"/>
    <w:rsid w:val="5483D37F"/>
    <w:rsid w:val="564936C1"/>
    <w:rsid w:val="566F6A3B"/>
    <w:rsid w:val="57350C2E"/>
    <w:rsid w:val="5833A3FF"/>
    <w:rsid w:val="58D0DC8F"/>
    <w:rsid w:val="58FB7199"/>
    <w:rsid w:val="59C88FFE"/>
    <w:rsid w:val="5A7F16B7"/>
    <w:rsid w:val="5A9741FA"/>
    <w:rsid w:val="5AC0763E"/>
    <w:rsid w:val="5BBAD407"/>
    <w:rsid w:val="5BBAD407"/>
    <w:rsid w:val="5C33125B"/>
    <w:rsid w:val="5CA06F2F"/>
    <w:rsid w:val="5D20CA30"/>
    <w:rsid w:val="5DB02BB4"/>
    <w:rsid w:val="5E7B5826"/>
    <w:rsid w:val="5EB6F403"/>
    <w:rsid w:val="5EF361D7"/>
    <w:rsid w:val="5EF85B09"/>
    <w:rsid w:val="5F5A1F6E"/>
    <w:rsid w:val="5FA26FBD"/>
    <w:rsid w:val="5FD9D359"/>
    <w:rsid w:val="60C2C617"/>
    <w:rsid w:val="60C3EE8C"/>
    <w:rsid w:val="60D52FDE"/>
    <w:rsid w:val="611E786D"/>
    <w:rsid w:val="6144EAB7"/>
    <w:rsid w:val="614FC734"/>
    <w:rsid w:val="61757727"/>
    <w:rsid w:val="61A4C24E"/>
    <w:rsid w:val="61E21B2E"/>
    <w:rsid w:val="62478E92"/>
    <w:rsid w:val="62E8B527"/>
    <w:rsid w:val="6346980F"/>
    <w:rsid w:val="63D2D1BF"/>
    <w:rsid w:val="65351D72"/>
    <w:rsid w:val="67912D9E"/>
    <w:rsid w:val="6894D53A"/>
    <w:rsid w:val="69AFD433"/>
    <w:rsid w:val="69C3D096"/>
    <w:rsid w:val="6A840A0E"/>
    <w:rsid w:val="6B4475AF"/>
    <w:rsid w:val="6BC30C05"/>
    <w:rsid w:val="6C152E85"/>
    <w:rsid w:val="6C7DC71E"/>
    <w:rsid w:val="6E3163B2"/>
    <w:rsid w:val="6E81AF40"/>
    <w:rsid w:val="6F3F39F7"/>
    <w:rsid w:val="6F40C38A"/>
    <w:rsid w:val="6F90647E"/>
    <w:rsid w:val="6FB3BC42"/>
    <w:rsid w:val="7043AAE1"/>
    <w:rsid w:val="711F78E0"/>
    <w:rsid w:val="71380FE4"/>
    <w:rsid w:val="717DF5CD"/>
    <w:rsid w:val="71DF169B"/>
    <w:rsid w:val="71E01C0E"/>
    <w:rsid w:val="722C3ABF"/>
    <w:rsid w:val="7236649A"/>
    <w:rsid w:val="7274886C"/>
    <w:rsid w:val="72C0652F"/>
    <w:rsid w:val="73C1DA46"/>
    <w:rsid w:val="74187829"/>
    <w:rsid w:val="74390993"/>
    <w:rsid w:val="7463D5A1"/>
    <w:rsid w:val="748AFD97"/>
    <w:rsid w:val="74912D75"/>
    <w:rsid w:val="74DCB87C"/>
    <w:rsid w:val="75DA09E8"/>
    <w:rsid w:val="76174263"/>
    <w:rsid w:val="76462F2C"/>
    <w:rsid w:val="77145115"/>
    <w:rsid w:val="775856EF"/>
    <w:rsid w:val="785F8741"/>
    <w:rsid w:val="78953FCE"/>
    <w:rsid w:val="78AF39D3"/>
    <w:rsid w:val="78B90632"/>
    <w:rsid w:val="7933A1C7"/>
    <w:rsid w:val="7A97D127"/>
    <w:rsid w:val="7AA697F3"/>
    <w:rsid w:val="7B29A586"/>
    <w:rsid w:val="7B5B8F32"/>
    <w:rsid w:val="7B8BB5E6"/>
    <w:rsid w:val="7C2F6810"/>
    <w:rsid w:val="7D065195"/>
    <w:rsid w:val="7D0F5F7B"/>
    <w:rsid w:val="7D1B3D7D"/>
    <w:rsid w:val="7D203209"/>
    <w:rsid w:val="7D4CF901"/>
    <w:rsid w:val="7DDE38B5"/>
    <w:rsid w:val="7E18B780"/>
    <w:rsid w:val="7EDEEBF4"/>
    <w:rsid w:val="7F7F20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45EF"/>
  <w15:chartTrackingRefBased/>
  <w15:docId w15:val="{44C56116-BA12-42E9-B252-B46313A9C9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NormalnyWeb">
    <w:name w:val="Normal (Web)"/>
    <w:basedOn w:val="Normalny"/>
    <w:uiPriority w:val="99"/>
    <w:semiHidden/>
    <w:unhideWhenUsed/>
    <w:rsid w:val="005D33B6"/>
    <w:pPr>
      <w:spacing w:before="100" w:beforeAutospacing="1" w:after="100" w:afterAutospacing="1" w:line="240" w:lineRule="auto"/>
    </w:pPr>
    <w:rPr>
      <w:rFonts w:ascii="Times New Roman" w:hAnsi="Times New Roman" w:eastAsia="Times New Roman" w:cs="Times New Roman"/>
      <w:kern w:val="0"/>
      <w:sz w:val="24"/>
      <w:szCs w:val="24"/>
      <w:lang w:eastAsia="pl-PL"/>
      <w14:ligatures w14:val="none"/>
    </w:rPr>
  </w:style>
  <w:style w:type="paragraph" w:styleId="Akapitzlist">
    <w:name w:val="List Paragraph"/>
    <w:basedOn w:val="Normalny"/>
    <w:uiPriority w:val="34"/>
    <w:qFormat/>
    <w:rsid w:val="003B6F12"/>
    <w:pPr>
      <w:ind w:left="720"/>
      <w:contextualSpacing/>
    </w:pPr>
  </w:style>
  <w:style w:type="character" w:styleId="Tekstzastpczy">
    <w:name w:val="Placeholder Text"/>
    <w:basedOn w:val="Domylnaczcionkaakapitu"/>
    <w:uiPriority w:val="99"/>
    <w:semiHidden/>
    <w:rsid w:val="0037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3.xml" Id="rId14" /><Relationship Type="http://schemas.openxmlformats.org/officeDocument/2006/relationships/image" Target="/media/imaged.png" Id="R97c6ff8a5e3b429e" /><Relationship Type="http://schemas.openxmlformats.org/officeDocument/2006/relationships/image" Target="/media/imagee.png" Id="Rb6dff88c66524f24" /><Relationship Type="http://schemas.openxmlformats.org/officeDocument/2006/relationships/image" Target="/media/imagef.png" Id="R464b87ffe4d04781" /><Relationship Type="http://schemas.openxmlformats.org/officeDocument/2006/relationships/image" Target="/media/image10.png" Id="R2f80412a53d54859" /><Relationship Type="http://schemas.openxmlformats.org/officeDocument/2006/relationships/image" Target="/media/image11.png" Id="Ra5d48d5c598a4e1c" /><Relationship Type="http://schemas.openxmlformats.org/officeDocument/2006/relationships/image" Target="/media/image12.png" Id="R2b7fa81217d64a76" /><Relationship Type="http://schemas.openxmlformats.org/officeDocument/2006/relationships/image" Target="/media/image13.png" Id="R9a7acef1d003465e" /><Relationship Type="http://schemas.openxmlformats.org/officeDocument/2006/relationships/image" Target="/media/image14.png" Id="Rfa66722991284115" /><Relationship Type="http://schemas.openxmlformats.org/officeDocument/2006/relationships/image" Target="/media/image15.png" Id="R56694fe03a4e4d68" /><Relationship Type="http://schemas.openxmlformats.org/officeDocument/2006/relationships/image" Target="/media/image16.png" Id="R832108f7670045b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1292DD613689140B7A1B6DBDD805ED5" ma:contentTypeVersion="2" ma:contentTypeDescription="Utwórz nowy dokument." ma:contentTypeScope="" ma:versionID="3be865176de6ff06d128f53f13562a1a">
  <xsd:schema xmlns:xsd="http://www.w3.org/2001/XMLSchema" xmlns:xs="http://www.w3.org/2001/XMLSchema" xmlns:p="http://schemas.microsoft.com/office/2006/metadata/properties" xmlns:ns2="1dad28fa-5bb0-4a9d-b7e9-d8f101804a1f" targetNamespace="http://schemas.microsoft.com/office/2006/metadata/properties" ma:root="true" ma:fieldsID="b42d7858159c05af4b5244fe1a291b1e" ns2:_="">
    <xsd:import namespace="1dad28fa-5bb0-4a9d-b7e9-d8f101804a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d28fa-5bb0-4a9d-b7e9-d8f101804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90495C-9F77-4C3D-9466-E24CBF947445}"/>
</file>

<file path=customXml/itemProps2.xml><?xml version="1.0" encoding="utf-8"?>
<ds:datastoreItem xmlns:ds="http://schemas.openxmlformats.org/officeDocument/2006/customXml" ds:itemID="{4035C245-CE4C-46A5-A790-D382586AAB86}"/>
</file>

<file path=customXml/itemProps3.xml><?xml version="1.0" encoding="utf-8"?>
<ds:datastoreItem xmlns:ds="http://schemas.openxmlformats.org/officeDocument/2006/customXml" ds:itemID="{6279D78D-C396-43FA-9CAD-F19389D5C9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Karol Górski</dc:creator>
  <keywords/>
  <dc:description/>
  <lastModifiedBy>Karol Górski</lastModifiedBy>
  <revision>10</revision>
  <dcterms:created xsi:type="dcterms:W3CDTF">2023-06-05T18:54:00.0000000Z</dcterms:created>
  <dcterms:modified xsi:type="dcterms:W3CDTF">2023-06-07T21:46:40.6706501Z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0x010100C1292DD613689140B7A1B6DBDD805ED5</vt:lpwstr>
  </property>
</Properties>
</file>